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06B" w:rsidRPr="0025606B" w:rsidRDefault="0025606B" w:rsidP="0025606B">
      <w:pPr>
        <w:spacing w:after="120"/>
        <w:jc w:val="center"/>
        <w:rPr>
          <w:sz w:val="28"/>
          <w:lang w:val="en-US"/>
        </w:rPr>
      </w:pPr>
      <w:bookmarkStart w:id="0" w:name="_Toc354517283"/>
      <w:r w:rsidRPr="0025606B">
        <w:rPr>
          <w:sz w:val="28"/>
          <w:lang w:val="en-US"/>
        </w:rPr>
        <w:t>Sovereign Credit Risk and Credit Default Swap Spread Reflections</w:t>
      </w:r>
    </w:p>
    <w:bookmarkEnd w:id="0"/>
    <w:p w:rsidR="00DC0765" w:rsidRPr="0025606B" w:rsidRDefault="00DC0765" w:rsidP="0025606B">
      <w:pPr>
        <w:pStyle w:val="KonuBal"/>
        <w:jc w:val="center"/>
        <w:outlineLvl w:val="0"/>
        <w:rPr>
          <w:rFonts w:ascii="Times New Roman" w:hAnsi="Times New Roman" w:cs="Times New Roman"/>
          <w:color w:val="000000" w:themeColor="text1"/>
          <w:sz w:val="2"/>
          <w:szCs w:val="28"/>
          <w:lang w:val="en-US"/>
        </w:rPr>
      </w:pPr>
    </w:p>
    <w:p w:rsidR="0025606B" w:rsidRPr="0025606B" w:rsidRDefault="0025606B" w:rsidP="0025606B">
      <w:pPr>
        <w:pStyle w:val="Default"/>
        <w:jc w:val="center"/>
        <w:rPr>
          <w:b/>
          <w:bCs/>
          <w:sz w:val="22"/>
          <w:szCs w:val="23"/>
          <w:lang w:val="en-US"/>
        </w:rPr>
      </w:pPr>
      <w:proofErr w:type="spellStart"/>
      <w:r w:rsidRPr="0025606B">
        <w:rPr>
          <w:b/>
          <w:bCs/>
          <w:sz w:val="22"/>
          <w:szCs w:val="23"/>
          <w:lang w:val="en-US"/>
        </w:rPr>
        <w:t>Neslihan</w:t>
      </w:r>
      <w:proofErr w:type="spellEnd"/>
      <w:r w:rsidRPr="0025606B">
        <w:rPr>
          <w:b/>
          <w:bCs/>
          <w:sz w:val="22"/>
          <w:szCs w:val="23"/>
          <w:lang w:val="en-US"/>
        </w:rPr>
        <w:t xml:space="preserve"> </w:t>
      </w:r>
      <w:proofErr w:type="spellStart"/>
      <w:r w:rsidRPr="0025606B">
        <w:rPr>
          <w:b/>
          <w:bCs/>
          <w:sz w:val="22"/>
          <w:szCs w:val="23"/>
          <w:lang w:val="en-US"/>
        </w:rPr>
        <w:t>Topbas</w:t>
      </w:r>
      <w:proofErr w:type="spellEnd"/>
    </w:p>
    <w:p w:rsidR="0025606B" w:rsidRPr="0025606B" w:rsidRDefault="0025606B" w:rsidP="0025606B">
      <w:pPr>
        <w:pStyle w:val="Default"/>
        <w:jc w:val="center"/>
        <w:rPr>
          <w:bCs/>
          <w:i/>
          <w:sz w:val="22"/>
          <w:szCs w:val="23"/>
          <w:lang w:val="en-US"/>
        </w:rPr>
      </w:pPr>
      <w:proofErr w:type="spellStart"/>
      <w:r w:rsidRPr="0025606B">
        <w:rPr>
          <w:bCs/>
          <w:i/>
          <w:sz w:val="22"/>
          <w:szCs w:val="23"/>
          <w:lang w:val="en-US"/>
        </w:rPr>
        <w:t>Atılım</w:t>
      </w:r>
      <w:proofErr w:type="spellEnd"/>
      <w:r w:rsidRPr="0025606B">
        <w:rPr>
          <w:bCs/>
          <w:i/>
          <w:sz w:val="22"/>
          <w:szCs w:val="23"/>
          <w:lang w:val="en-US"/>
        </w:rPr>
        <w:t xml:space="preserve"> University, Ankara, Turkey</w:t>
      </w:r>
    </w:p>
    <w:p w:rsidR="0025606B" w:rsidRPr="0025606B" w:rsidRDefault="0025606B" w:rsidP="0025606B">
      <w:pPr>
        <w:pStyle w:val="Default"/>
        <w:jc w:val="center"/>
        <w:rPr>
          <w:sz w:val="22"/>
          <w:szCs w:val="23"/>
          <w:lang w:val="en-US"/>
        </w:rPr>
      </w:pPr>
      <w:r w:rsidRPr="0025606B">
        <w:rPr>
          <w:bCs/>
          <w:sz w:val="22"/>
          <w:szCs w:val="23"/>
          <w:lang w:val="en-US"/>
        </w:rPr>
        <w:t xml:space="preserve"> ntopbas@atilim.edu.tr</w:t>
      </w:r>
    </w:p>
    <w:p w:rsidR="00285B9A" w:rsidRPr="0025606B" w:rsidRDefault="00285B9A" w:rsidP="0025606B">
      <w:pPr>
        <w:jc w:val="both"/>
        <w:rPr>
          <w:b/>
          <w:noProof/>
          <w:sz w:val="22"/>
          <w:szCs w:val="22"/>
          <w:lang w:val="en-US"/>
        </w:rPr>
      </w:pPr>
    </w:p>
    <w:p w:rsidR="00B976C6" w:rsidRPr="0025606B" w:rsidRDefault="0027743E" w:rsidP="0025606B">
      <w:pPr>
        <w:ind w:left="680" w:right="680"/>
        <w:jc w:val="center"/>
        <w:rPr>
          <w:b/>
          <w:noProof/>
          <w:sz w:val="22"/>
          <w:szCs w:val="22"/>
          <w:lang w:val="en-US"/>
        </w:rPr>
      </w:pPr>
      <w:r w:rsidRPr="0025606B">
        <w:rPr>
          <w:b/>
          <w:noProof/>
          <w:sz w:val="22"/>
          <w:szCs w:val="22"/>
          <w:lang w:val="en-US"/>
        </w:rPr>
        <w:t>Abstract</w:t>
      </w:r>
    </w:p>
    <w:p w:rsidR="0025606B" w:rsidRPr="0025606B" w:rsidRDefault="0025606B" w:rsidP="0025606B">
      <w:pPr>
        <w:ind w:left="680" w:right="680"/>
        <w:jc w:val="both"/>
        <w:rPr>
          <w:noProof/>
          <w:sz w:val="22"/>
          <w:szCs w:val="22"/>
          <w:lang w:val="en-US"/>
        </w:rPr>
      </w:pPr>
    </w:p>
    <w:p w:rsidR="0025606B" w:rsidRPr="0025606B" w:rsidRDefault="0025606B" w:rsidP="0025606B">
      <w:pPr>
        <w:ind w:left="680" w:right="680"/>
        <w:jc w:val="both"/>
        <w:rPr>
          <w:noProof/>
          <w:sz w:val="20"/>
          <w:szCs w:val="22"/>
          <w:lang w:val="en-US"/>
        </w:rPr>
      </w:pPr>
      <w:r w:rsidRPr="0025606B">
        <w:rPr>
          <w:sz w:val="22"/>
          <w:lang w:val="en-US"/>
        </w:rPr>
        <w:t>The already experienced turbulence in the global financial system has focused the attentions of the market participants to especially sovereign risk; its major determinants, systematic nature as well as its contagion potential. In this study, the direction of the analysis of the sovereign risk is within the framework of the credit default swap (</w:t>
      </w:r>
      <w:proofErr w:type="spellStart"/>
      <w:r w:rsidRPr="0025606B">
        <w:rPr>
          <w:sz w:val="22"/>
          <w:lang w:val="en-US"/>
        </w:rPr>
        <w:t>cds</w:t>
      </w:r>
      <w:proofErr w:type="spellEnd"/>
      <w:r w:rsidRPr="0025606B">
        <w:rPr>
          <w:sz w:val="22"/>
          <w:lang w:val="en-US"/>
        </w:rPr>
        <w:t>) transactions. The sovereign risk can also be elaborated by using the bond spreads of the sovereign but the latter is also driven by factors other than the sovereign risk such as the interest rate movements, supply conditions, liquidity etc.</w:t>
      </w:r>
    </w:p>
    <w:p w:rsidR="0025606B" w:rsidRPr="0025606B" w:rsidRDefault="0025606B" w:rsidP="0025606B">
      <w:pPr>
        <w:ind w:left="680" w:right="680"/>
        <w:jc w:val="both"/>
        <w:rPr>
          <w:noProof/>
          <w:sz w:val="20"/>
          <w:szCs w:val="22"/>
          <w:lang w:val="en-US"/>
        </w:rPr>
      </w:pPr>
    </w:p>
    <w:p w:rsidR="0025606B" w:rsidRPr="0025606B" w:rsidRDefault="0025606B" w:rsidP="0025606B">
      <w:pPr>
        <w:ind w:left="680" w:right="680"/>
        <w:jc w:val="both"/>
        <w:rPr>
          <w:noProof/>
          <w:sz w:val="20"/>
          <w:szCs w:val="22"/>
          <w:lang w:val="en-US"/>
        </w:rPr>
      </w:pPr>
      <w:r w:rsidRPr="0025606B">
        <w:rPr>
          <w:sz w:val="22"/>
          <w:lang w:val="en-US"/>
        </w:rPr>
        <w:t xml:space="preserve">The already available </w:t>
      </w:r>
      <w:r w:rsidR="00FB5C78" w:rsidRPr="0025606B">
        <w:rPr>
          <w:sz w:val="22"/>
          <w:lang w:val="en-US"/>
        </w:rPr>
        <w:t>economic</w:t>
      </w:r>
      <w:r w:rsidRPr="0025606B">
        <w:rPr>
          <w:sz w:val="22"/>
          <w:lang w:val="en-US"/>
        </w:rPr>
        <w:t xml:space="preserve"> and financial data provides invaluable opportunity to analyze the sovereign risk anticipation of the financial markets as it incorporates the valuation of </w:t>
      </w:r>
      <w:proofErr w:type="spellStart"/>
      <w:r w:rsidRPr="0025606B">
        <w:rPr>
          <w:sz w:val="22"/>
          <w:lang w:val="en-US"/>
        </w:rPr>
        <w:t>cds</w:t>
      </w:r>
      <w:proofErr w:type="spellEnd"/>
      <w:r w:rsidRPr="0025606B">
        <w:rPr>
          <w:sz w:val="22"/>
          <w:lang w:val="en-US"/>
        </w:rPr>
        <w:t xml:space="preserve"> in real crisis times of 2008 and 2009 and 2011-first half of 2012 as well as the before and after economic and financial data of the selected countries namely Brazil, Turkey, Russia, Korea, Greece and Spain.</w:t>
      </w:r>
    </w:p>
    <w:p w:rsidR="0025606B" w:rsidRPr="0025606B" w:rsidRDefault="0025606B" w:rsidP="0025606B">
      <w:pPr>
        <w:ind w:left="680" w:right="680"/>
        <w:jc w:val="both"/>
        <w:rPr>
          <w:noProof/>
          <w:sz w:val="20"/>
          <w:szCs w:val="22"/>
          <w:lang w:val="en-US"/>
        </w:rPr>
      </w:pPr>
    </w:p>
    <w:p w:rsidR="0025606B" w:rsidRPr="0025606B" w:rsidRDefault="0025606B" w:rsidP="0025606B">
      <w:pPr>
        <w:ind w:left="680" w:right="680"/>
        <w:jc w:val="both"/>
        <w:rPr>
          <w:noProof/>
          <w:sz w:val="20"/>
          <w:szCs w:val="22"/>
          <w:lang w:val="en-US"/>
        </w:rPr>
      </w:pPr>
      <w:r w:rsidRPr="0025606B">
        <w:rPr>
          <w:sz w:val="22"/>
          <w:lang w:val="en-US"/>
        </w:rPr>
        <w:t xml:space="preserve">The attitude of the investors towards risk as reflected in the financial market conditions affect the </w:t>
      </w:r>
      <w:proofErr w:type="spellStart"/>
      <w:r w:rsidRPr="0025606B">
        <w:rPr>
          <w:sz w:val="22"/>
          <w:lang w:val="en-US"/>
        </w:rPr>
        <w:t>cds</w:t>
      </w:r>
      <w:proofErr w:type="spellEnd"/>
      <w:r w:rsidRPr="0025606B">
        <w:rPr>
          <w:sz w:val="22"/>
          <w:lang w:val="en-US"/>
        </w:rPr>
        <w:t xml:space="preserve"> spreads of the sovereigns and this creates commonality which can be measured by the correlation between the individual sovereign </w:t>
      </w:r>
      <w:proofErr w:type="spellStart"/>
      <w:r w:rsidRPr="0025606B">
        <w:rPr>
          <w:sz w:val="22"/>
          <w:lang w:val="en-US"/>
        </w:rPr>
        <w:t>cds</w:t>
      </w:r>
      <w:proofErr w:type="spellEnd"/>
      <w:r w:rsidRPr="0025606B">
        <w:rPr>
          <w:sz w:val="22"/>
          <w:lang w:val="en-US"/>
        </w:rPr>
        <w:t xml:space="preserve"> spreads. In order to explain the co-movements in the </w:t>
      </w:r>
      <w:proofErr w:type="spellStart"/>
      <w:r w:rsidRPr="0025606B">
        <w:rPr>
          <w:sz w:val="22"/>
          <w:lang w:val="en-US"/>
        </w:rPr>
        <w:t>cds</w:t>
      </w:r>
      <w:proofErr w:type="spellEnd"/>
      <w:r w:rsidRPr="0025606B">
        <w:rPr>
          <w:sz w:val="22"/>
          <w:lang w:val="en-US"/>
        </w:rPr>
        <w:t xml:space="preserve"> spreads of the selected countries into a smaller number of common factors, principal component analysis was performed and it is seen that the first principal component captures nearly 62 percent and the first three component captures nearly 90 percent of the correlation matrix</w:t>
      </w:r>
    </w:p>
    <w:p w:rsidR="0025606B" w:rsidRPr="0025606B" w:rsidRDefault="0025606B" w:rsidP="0025606B">
      <w:pPr>
        <w:ind w:left="680" w:right="680"/>
        <w:jc w:val="both"/>
        <w:rPr>
          <w:noProof/>
          <w:sz w:val="20"/>
          <w:szCs w:val="22"/>
          <w:lang w:val="en-US"/>
        </w:rPr>
      </w:pPr>
    </w:p>
    <w:p w:rsidR="0025606B" w:rsidRPr="0025606B" w:rsidRDefault="0025606B" w:rsidP="0025606B">
      <w:pPr>
        <w:ind w:left="680" w:right="680"/>
        <w:jc w:val="both"/>
        <w:rPr>
          <w:noProof/>
          <w:sz w:val="20"/>
          <w:szCs w:val="22"/>
          <w:lang w:val="en-US"/>
        </w:rPr>
      </w:pPr>
      <w:r w:rsidRPr="0025606B">
        <w:rPr>
          <w:sz w:val="22"/>
          <w:lang w:val="en-US"/>
        </w:rPr>
        <w:t xml:space="preserve">In this Study, in order to capture the relationships between the </w:t>
      </w:r>
      <w:proofErr w:type="spellStart"/>
      <w:r w:rsidRPr="0025606B">
        <w:rPr>
          <w:sz w:val="22"/>
          <w:lang w:val="en-US"/>
        </w:rPr>
        <w:t>cds</w:t>
      </w:r>
      <w:proofErr w:type="spellEnd"/>
      <w:r w:rsidRPr="0025606B">
        <w:rPr>
          <w:sz w:val="22"/>
          <w:lang w:val="en-US"/>
        </w:rPr>
        <w:t xml:space="preserve"> spreads and the country-specific and the global financial and economic factors, regression analysis have been performed. The country specific factors are determined as foreign exchange rate, foreign currency reserves, local stock market returns, external debt, current account balance as a percentage of gross domestic product. The global financial and economic factors added to the model as independent variables are indexes about US Stock Market Return, US Treasury yields, US corporate yields and Emerging market yields, as well as indicators of equity, term and volatility premium and bond and equity flows.</w:t>
      </w:r>
    </w:p>
    <w:p w:rsidR="0025606B" w:rsidRPr="0025606B" w:rsidRDefault="0025606B" w:rsidP="0025606B">
      <w:pPr>
        <w:ind w:left="680" w:right="680"/>
        <w:jc w:val="both"/>
        <w:rPr>
          <w:noProof/>
          <w:sz w:val="20"/>
          <w:szCs w:val="22"/>
          <w:lang w:val="en-US"/>
        </w:rPr>
      </w:pPr>
    </w:p>
    <w:p w:rsidR="0025606B" w:rsidRPr="0025606B" w:rsidRDefault="0025606B" w:rsidP="0025606B">
      <w:pPr>
        <w:ind w:left="680" w:right="680"/>
        <w:jc w:val="both"/>
        <w:rPr>
          <w:noProof/>
          <w:sz w:val="20"/>
          <w:szCs w:val="22"/>
          <w:lang w:val="en-US"/>
        </w:rPr>
      </w:pPr>
      <w:r w:rsidRPr="0025606B">
        <w:rPr>
          <w:sz w:val="22"/>
          <w:lang w:val="en-US"/>
        </w:rPr>
        <w:t xml:space="preserve">The relationship between the global financial variables and </w:t>
      </w:r>
      <w:proofErr w:type="spellStart"/>
      <w:r w:rsidRPr="0025606B">
        <w:rPr>
          <w:sz w:val="22"/>
          <w:lang w:val="en-US"/>
        </w:rPr>
        <w:t>cds</w:t>
      </w:r>
      <w:proofErr w:type="spellEnd"/>
      <w:r w:rsidRPr="0025606B">
        <w:rPr>
          <w:sz w:val="22"/>
          <w:lang w:val="en-US"/>
        </w:rPr>
        <w:t xml:space="preserve"> spreads reveals the fact that the risk appetite in the global financial market affects the credit risk perception and consequently the </w:t>
      </w:r>
      <w:proofErr w:type="spellStart"/>
      <w:r w:rsidRPr="0025606B">
        <w:rPr>
          <w:sz w:val="22"/>
          <w:lang w:val="en-US"/>
        </w:rPr>
        <w:t>cds</w:t>
      </w:r>
      <w:proofErr w:type="spellEnd"/>
      <w:r w:rsidRPr="0025606B">
        <w:rPr>
          <w:sz w:val="22"/>
          <w:lang w:val="en-US"/>
        </w:rPr>
        <w:t xml:space="preserve"> spreads regardless of the employed indicator of the risk appetite. Specifically, it is also determined that domestic economic situation has significant effects on </w:t>
      </w:r>
      <w:proofErr w:type="spellStart"/>
      <w:r w:rsidRPr="0025606B">
        <w:rPr>
          <w:sz w:val="22"/>
          <w:lang w:val="en-US"/>
        </w:rPr>
        <w:t>cds</w:t>
      </w:r>
      <w:proofErr w:type="spellEnd"/>
      <w:r w:rsidRPr="0025606B">
        <w:rPr>
          <w:sz w:val="22"/>
          <w:lang w:val="en-US"/>
        </w:rPr>
        <w:t xml:space="preserve"> spreads (excluding Greece who experienced considerable turmoil in its economic and financial position), the local variables explain more than 75 percent of the </w:t>
      </w:r>
      <w:proofErr w:type="spellStart"/>
      <w:r w:rsidRPr="0025606B">
        <w:rPr>
          <w:sz w:val="22"/>
          <w:lang w:val="en-US"/>
        </w:rPr>
        <w:t>cds</w:t>
      </w:r>
      <w:proofErr w:type="spellEnd"/>
      <w:r w:rsidRPr="0025606B">
        <w:rPr>
          <w:sz w:val="22"/>
          <w:lang w:val="en-US"/>
        </w:rPr>
        <w:t xml:space="preserve"> spread level and this ratio increases to more than 80 percent when four  emerging market countries are referred. </w:t>
      </w:r>
    </w:p>
    <w:p w:rsidR="0025606B" w:rsidRPr="0025606B" w:rsidRDefault="0025606B" w:rsidP="0025606B">
      <w:pPr>
        <w:ind w:left="680" w:right="680"/>
        <w:jc w:val="both"/>
        <w:rPr>
          <w:noProof/>
          <w:sz w:val="20"/>
          <w:szCs w:val="22"/>
          <w:lang w:val="en-US"/>
        </w:rPr>
      </w:pPr>
    </w:p>
    <w:p w:rsidR="0025606B" w:rsidRDefault="0025606B" w:rsidP="0025606B">
      <w:pPr>
        <w:ind w:left="680" w:right="680"/>
        <w:jc w:val="both"/>
        <w:rPr>
          <w:b/>
          <w:noProof/>
          <w:sz w:val="20"/>
          <w:szCs w:val="22"/>
          <w:lang w:val="en-US"/>
        </w:rPr>
      </w:pPr>
      <w:r w:rsidRPr="0025606B">
        <w:rPr>
          <w:b/>
          <w:bCs/>
          <w:sz w:val="22"/>
          <w:lang w:val="en-US"/>
        </w:rPr>
        <w:t xml:space="preserve">Keywords: </w:t>
      </w:r>
      <w:r w:rsidRPr="0025606B">
        <w:rPr>
          <w:sz w:val="22"/>
          <w:lang w:val="en-US"/>
        </w:rPr>
        <w:t>credit default swaps, sovereign risk, global financial indicators, risk appetite, financial crisis</w:t>
      </w:r>
      <w:r w:rsidR="0027743E" w:rsidRPr="0025606B">
        <w:rPr>
          <w:b/>
          <w:noProof/>
          <w:sz w:val="20"/>
          <w:szCs w:val="22"/>
          <w:lang w:val="en-US"/>
        </w:rPr>
        <w:t xml:space="preserve">          </w:t>
      </w:r>
    </w:p>
    <w:p w:rsidR="001D6F3D" w:rsidRPr="0025606B" w:rsidRDefault="001D6F3D" w:rsidP="0025606B">
      <w:pPr>
        <w:ind w:left="680" w:right="680"/>
        <w:jc w:val="both"/>
        <w:rPr>
          <w:noProof/>
          <w:sz w:val="20"/>
          <w:szCs w:val="22"/>
          <w:lang w:val="en-US"/>
        </w:rPr>
      </w:pPr>
      <w:bookmarkStart w:id="1" w:name="_GoBack"/>
      <w:bookmarkEnd w:id="1"/>
    </w:p>
    <w:p w:rsidR="00285B9A" w:rsidRPr="0025606B" w:rsidRDefault="00285B9A" w:rsidP="0025606B">
      <w:pPr>
        <w:ind w:right="680"/>
        <w:jc w:val="both"/>
        <w:rPr>
          <w:noProof/>
          <w:sz w:val="20"/>
          <w:szCs w:val="22"/>
          <w:lang w:val="en-US"/>
        </w:rPr>
      </w:pPr>
      <w:r w:rsidRPr="0025606B">
        <w:rPr>
          <w:b/>
          <w:noProof/>
          <w:lang w:val="en-US"/>
        </w:rPr>
        <w:lastRenderedPageBreak/>
        <w:t>Introduction</w:t>
      </w:r>
    </w:p>
    <w:p w:rsidR="00285B9A" w:rsidRPr="0025606B" w:rsidRDefault="00285B9A" w:rsidP="0025606B">
      <w:pPr>
        <w:jc w:val="both"/>
        <w:rPr>
          <w:noProof/>
          <w:lang w:val="en-US"/>
        </w:rPr>
      </w:pPr>
    </w:p>
    <w:p w:rsidR="0025606B" w:rsidRPr="0025606B" w:rsidRDefault="0025606B" w:rsidP="0025606B">
      <w:pPr>
        <w:spacing w:after="120"/>
        <w:jc w:val="both"/>
        <w:rPr>
          <w:lang w:val="en-US"/>
        </w:rPr>
      </w:pPr>
      <w:r w:rsidRPr="0025606B">
        <w:rPr>
          <w:lang w:val="en-US"/>
        </w:rPr>
        <w:t>The nearness of Greece to sovereign default situation which was resulted with the biggest sovereign debt restructuring in the amount of approximately €100 billion out of the total debt of €350 billion of the country, triggered the relevant credit default swap transactions under the restructuring definition of the credit event. This had been constituted an important test of the financial system to the payment on sovereign bonds as referenced in credit default swaps (</w:t>
      </w:r>
      <w:proofErr w:type="spellStart"/>
      <w:r w:rsidRPr="0025606B">
        <w:rPr>
          <w:lang w:val="en-US"/>
        </w:rPr>
        <w:t>cds</w:t>
      </w:r>
      <w:proofErr w:type="spellEnd"/>
      <w:r w:rsidRPr="0025606B">
        <w:rPr>
          <w:lang w:val="en-US"/>
        </w:rPr>
        <w:t>). In fact, this restructuring had been the breaking point of the long lasting Eurozone sovereign debt crisis since 2008, and considered to be the beginning point of another era of financial turmoil which will probably end up with new sovereign default cases.</w:t>
      </w:r>
    </w:p>
    <w:p w:rsidR="0025606B" w:rsidRPr="0025606B" w:rsidRDefault="0025606B" w:rsidP="0025606B">
      <w:pPr>
        <w:autoSpaceDE w:val="0"/>
        <w:autoSpaceDN w:val="0"/>
        <w:adjustRightInd w:val="0"/>
        <w:spacing w:after="120"/>
        <w:jc w:val="both"/>
        <w:rPr>
          <w:lang w:val="en-US"/>
        </w:rPr>
      </w:pPr>
      <w:r w:rsidRPr="0025606B">
        <w:rPr>
          <w:lang w:val="en-US"/>
        </w:rPr>
        <w:t xml:space="preserve">This experience was an impressive illustration of the usefulness of </w:t>
      </w:r>
      <w:proofErr w:type="spellStart"/>
      <w:r w:rsidRPr="0025606B">
        <w:rPr>
          <w:lang w:val="en-US"/>
        </w:rPr>
        <w:t>cds</w:t>
      </w:r>
      <w:proofErr w:type="spellEnd"/>
      <w:r w:rsidRPr="0025606B">
        <w:rPr>
          <w:lang w:val="en-US"/>
        </w:rPr>
        <w:t xml:space="preserve"> as an insurance against default risk. A </w:t>
      </w:r>
      <w:proofErr w:type="spellStart"/>
      <w:r w:rsidRPr="0025606B">
        <w:rPr>
          <w:lang w:val="en-US"/>
        </w:rPr>
        <w:t>cds</w:t>
      </w:r>
      <w:proofErr w:type="spellEnd"/>
      <w:r w:rsidRPr="0025606B">
        <w:rPr>
          <w:lang w:val="en-US"/>
        </w:rPr>
        <w:t xml:space="preserve"> is a credit derivative contract providing protection against the default risk (credit event) for a given reference entity (sovereign or corporate). The </w:t>
      </w:r>
      <w:proofErr w:type="spellStart"/>
      <w:r w:rsidRPr="0025606B">
        <w:rPr>
          <w:lang w:val="en-US"/>
        </w:rPr>
        <w:t>cds</w:t>
      </w:r>
      <w:proofErr w:type="spellEnd"/>
      <w:r w:rsidRPr="0025606B">
        <w:rPr>
          <w:lang w:val="en-US"/>
        </w:rPr>
        <w:t xml:space="preserve"> may cover a bond issued by the reference entity or the reference entity itself directly (in which case the contract will be unwound through a cash settlement only). Generally, the buyer of the </w:t>
      </w:r>
      <w:proofErr w:type="spellStart"/>
      <w:r w:rsidRPr="0025606B">
        <w:rPr>
          <w:lang w:val="en-US"/>
        </w:rPr>
        <w:t>cds</w:t>
      </w:r>
      <w:proofErr w:type="spellEnd"/>
      <w:r w:rsidRPr="0025606B">
        <w:rPr>
          <w:lang w:val="en-US"/>
        </w:rPr>
        <w:t xml:space="preserve"> has already exposed to the risk of the reference entity by lending it in the form of loans or bonds and, by the use of the </w:t>
      </w:r>
      <w:proofErr w:type="spellStart"/>
      <w:r w:rsidRPr="0025606B">
        <w:rPr>
          <w:lang w:val="en-US"/>
        </w:rPr>
        <w:t>cds</w:t>
      </w:r>
      <w:proofErr w:type="spellEnd"/>
      <w:r w:rsidRPr="0025606B">
        <w:rPr>
          <w:lang w:val="en-US"/>
        </w:rPr>
        <w:t xml:space="preserve">, she acquires the right to sell the specific bond which she already owns (reference bond issued by the reference entity) at par value if a credit event occurs in exchange of the payments to the seller in the agreed amounts at regular intervals until the </w:t>
      </w:r>
      <w:proofErr w:type="spellStart"/>
      <w:r w:rsidRPr="0025606B">
        <w:rPr>
          <w:lang w:val="en-US"/>
        </w:rPr>
        <w:t>cds</w:t>
      </w:r>
      <w:proofErr w:type="spellEnd"/>
      <w:r w:rsidRPr="0025606B">
        <w:rPr>
          <w:lang w:val="en-US"/>
        </w:rPr>
        <w:t xml:space="preserve"> expires or a credit event occurs. In the latter case, the buyer makes a final payment and the swap is unwound either by delivery of the underlying asset or in cash. </w:t>
      </w:r>
    </w:p>
    <w:p w:rsidR="0025606B" w:rsidRPr="0025606B" w:rsidRDefault="0025606B" w:rsidP="0025606B">
      <w:pPr>
        <w:autoSpaceDE w:val="0"/>
        <w:autoSpaceDN w:val="0"/>
        <w:adjustRightInd w:val="0"/>
        <w:spacing w:after="120"/>
        <w:jc w:val="both"/>
        <w:rPr>
          <w:lang w:val="en-US"/>
        </w:rPr>
      </w:pPr>
      <w:r w:rsidRPr="0025606B">
        <w:rPr>
          <w:lang w:val="en-US"/>
        </w:rPr>
        <w:t>Within this framework, the Depository Trust and Clearing Corporation (DTCC) who provides post-trade processing services for over the counter (OTC) credit derivative trades announced that it completed the restructuring event for the Hellenic Republic (Greece sovereign entity) and a total of US$2.89 billion in net funds were transferred from net sellers of protection to net buyers in March 2012. The amount of the net funds to be transferred was calculated on the basis of the auction for Greece sovereign bonds which was conducted in accordance with the International Swaps and Derivatives Association (ISDA) protocols</w:t>
      </w:r>
      <w:r w:rsidRPr="0025606B">
        <w:rPr>
          <w:rStyle w:val="DipnotBavurusu"/>
          <w:lang w:val="en-US"/>
        </w:rPr>
        <w:footnoteReference w:id="1"/>
      </w:r>
      <w:r w:rsidRPr="0025606B">
        <w:rPr>
          <w:lang w:val="en-US"/>
        </w:rPr>
        <w:t xml:space="preserve"> This experience revealed the importance of the legal specification of the “credit events” on the time of the initiation of the </w:t>
      </w:r>
      <w:proofErr w:type="spellStart"/>
      <w:r w:rsidRPr="0025606B">
        <w:rPr>
          <w:lang w:val="en-US"/>
        </w:rPr>
        <w:t>cds</w:t>
      </w:r>
      <w:proofErr w:type="spellEnd"/>
      <w:r w:rsidRPr="0025606B">
        <w:rPr>
          <w:lang w:val="en-US"/>
        </w:rPr>
        <w:t xml:space="preserve"> transaction whether the reference entity is sovereign or corporate. </w:t>
      </w:r>
    </w:p>
    <w:p w:rsidR="0025606B" w:rsidRPr="0025606B" w:rsidRDefault="0025606B" w:rsidP="0025606B">
      <w:pPr>
        <w:autoSpaceDE w:val="0"/>
        <w:autoSpaceDN w:val="0"/>
        <w:adjustRightInd w:val="0"/>
        <w:spacing w:after="120"/>
        <w:jc w:val="both"/>
        <w:rPr>
          <w:lang w:val="en-US"/>
        </w:rPr>
      </w:pPr>
      <w:r w:rsidRPr="0025606B">
        <w:rPr>
          <w:lang w:val="en-US"/>
        </w:rPr>
        <w:t>The already experienced turbulence in the global financial system focused the attentions of the market participants to especially sovereign risk; its major determinants, systematic nature as well as its contagion potential. In this study, the direction of the analysis of the sovereign risk is within the framework of the credit default swap transactions. The sovereign risk can also be elaborated by using the bond spreads of the sovereign but the latter is also driven by factors other than the sovereign risk such as the interest rate movements, supply conditions, liquidity etc.</w:t>
      </w:r>
    </w:p>
    <w:p w:rsidR="0025606B" w:rsidRPr="0025606B" w:rsidRDefault="0025606B" w:rsidP="0025606B">
      <w:pPr>
        <w:autoSpaceDE w:val="0"/>
        <w:autoSpaceDN w:val="0"/>
        <w:adjustRightInd w:val="0"/>
        <w:spacing w:after="120"/>
        <w:jc w:val="both"/>
        <w:rPr>
          <w:lang w:val="en-US"/>
        </w:rPr>
      </w:pPr>
      <w:r w:rsidRPr="0025606B">
        <w:rPr>
          <w:lang w:val="en-US"/>
        </w:rPr>
        <w:t xml:space="preserve">In the first section of this study, the </w:t>
      </w:r>
      <w:proofErr w:type="spellStart"/>
      <w:r w:rsidRPr="0025606B">
        <w:rPr>
          <w:lang w:val="en-US"/>
        </w:rPr>
        <w:t>cds</w:t>
      </w:r>
      <w:proofErr w:type="spellEnd"/>
      <w:r w:rsidRPr="0025606B">
        <w:rPr>
          <w:lang w:val="en-US"/>
        </w:rPr>
        <w:t xml:space="preserve"> will be elaborated especially in terms of the definition of the credit event under the legal documentation. The aim is to underline that not only default, but also restructuring of the debts can result with a </w:t>
      </w:r>
      <w:proofErr w:type="spellStart"/>
      <w:r w:rsidRPr="0025606B">
        <w:rPr>
          <w:lang w:val="en-US"/>
        </w:rPr>
        <w:t>cds</w:t>
      </w:r>
      <w:proofErr w:type="spellEnd"/>
      <w:r w:rsidRPr="0025606B">
        <w:rPr>
          <w:lang w:val="en-US"/>
        </w:rPr>
        <w:t xml:space="preserve"> to be unwounded. The Second section of this Study will begin with a literature review in order to figure out several different approaches to analyze the sovereign credit risk concept. In the next section, the data and the methodology employed to analyze the sovereign risk within the framework of </w:t>
      </w:r>
      <w:proofErr w:type="spellStart"/>
      <w:r w:rsidRPr="0025606B">
        <w:rPr>
          <w:lang w:val="en-US"/>
        </w:rPr>
        <w:t>cds</w:t>
      </w:r>
      <w:proofErr w:type="spellEnd"/>
      <w:r w:rsidRPr="0025606B">
        <w:rPr>
          <w:lang w:val="en-US"/>
        </w:rPr>
        <w:t xml:space="preserve"> transactions and the findings will be revealed. </w:t>
      </w:r>
    </w:p>
    <w:p w:rsidR="0025606B" w:rsidRPr="0025606B" w:rsidRDefault="0025606B" w:rsidP="0025606B">
      <w:pPr>
        <w:autoSpaceDE w:val="0"/>
        <w:autoSpaceDN w:val="0"/>
        <w:adjustRightInd w:val="0"/>
        <w:spacing w:after="120"/>
        <w:jc w:val="both"/>
        <w:rPr>
          <w:lang w:val="en-US"/>
        </w:rPr>
      </w:pPr>
      <w:r w:rsidRPr="0025606B">
        <w:rPr>
          <w:lang w:val="en-US"/>
        </w:rPr>
        <w:lastRenderedPageBreak/>
        <w:t xml:space="preserve">In the analysis, the multivariate approach of </w:t>
      </w:r>
      <w:proofErr w:type="spellStart"/>
      <w:r w:rsidRPr="0025606B">
        <w:rPr>
          <w:lang w:val="en-US"/>
        </w:rPr>
        <w:t>Longstaff</w:t>
      </w:r>
      <w:proofErr w:type="spellEnd"/>
      <w:r w:rsidRPr="0025606B">
        <w:rPr>
          <w:lang w:val="en-US"/>
        </w:rPr>
        <w:t xml:space="preserve">, Pan, Pedersen and Singleton (2011) has been employed. In their study, </w:t>
      </w:r>
      <w:proofErr w:type="spellStart"/>
      <w:r w:rsidRPr="0025606B">
        <w:rPr>
          <w:lang w:val="en-US"/>
        </w:rPr>
        <w:t>Longstaff</w:t>
      </w:r>
      <w:proofErr w:type="spellEnd"/>
      <w:r w:rsidRPr="0025606B">
        <w:rPr>
          <w:lang w:val="en-US"/>
        </w:rPr>
        <w:t xml:space="preserve"> and friends used the country specific macro-economic factors such as domestic stock market return, foreign exchange rate against US $ and foreign reserves of the sovereign and also global financial factors that may indicate the risk appetite such as US Stock Market Returns, US Treasury yields, corporate yield index etc. The main contribution of this study will be covering the data of the whole crisis time of 2008 and 2009 and especially Greece experience in the late 2011 and beginning 2012 although the sample countries is relatively  limited. </w:t>
      </w:r>
    </w:p>
    <w:p w:rsidR="0025606B" w:rsidRPr="0025606B" w:rsidRDefault="0025606B" w:rsidP="0025606B">
      <w:pPr>
        <w:autoSpaceDE w:val="0"/>
        <w:autoSpaceDN w:val="0"/>
        <w:adjustRightInd w:val="0"/>
        <w:spacing w:after="120"/>
        <w:jc w:val="both"/>
        <w:rPr>
          <w:lang w:val="en-US"/>
        </w:rPr>
      </w:pPr>
      <w:r w:rsidRPr="0025606B">
        <w:rPr>
          <w:lang w:val="en-US"/>
        </w:rPr>
        <w:t xml:space="preserve">The already available economical and financial data provides invaluable opportunity to analyze the sovereign risk anticipation of the markets as it incorporates the valuation of </w:t>
      </w:r>
      <w:proofErr w:type="spellStart"/>
      <w:r w:rsidRPr="0025606B">
        <w:rPr>
          <w:lang w:val="en-US"/>
        </w:rPr>
        <w:t>cds</w:t>
      </w:r>
      <w:proofErr w:type="spellEnd"/>
      <w:r w:rsidRPr="0025606B">
        <w:rPr>
          <w:lang w:val="en-US"/>
        </w:rPr>
        <w:t xml:space="preserve"> in real crisis times of 2008 and 2009 and 2011-first half of 2012 of the selected countries namely Brazil, Turkey, Russia, Korea, Greece and Spain. When selecting the countries firstly the countries which have been in trouble in terms of sovereign riskiness such as Greece and Spain were preferred (although they have been considered as developed countries so far), then geographical diversification of the emerging market countries was considered in order to point out the possible region specific developments (if exists). </w:t>
      </w:r>
    </w:p>
    <w:p w:rsidR="0025606B" w:rsidRPr="0025606B" w:rsidRDefault="0025606B" w:rsidP="0025606B">
      <w:pPr>
        <w:autoSpaceDE w:val="0"/>
        <w:autoSpaceDN w:val="0"/>
        <w:adjustRightInd w:val="0"/>
        <w:spacing w:after="120"/>
        <w:jc w:val="both"/>
        <w:rPr>
          <w:lang w:val="en-US"/>
        </w:rPr>
      </w:pPr>
    </w:p>
    <w:p w:rsidR="0025606B" w:rsidRPr="0025606B" w:rsidRDefault="0025606B" w:rsidP="0025606B">
      <w:pPr>
        <w:pStyle w:val="Balk1"/>
        <w:numPr>
          <w:ilvl w:val="0"/>
          <w:numId w:val="0"/>
        </w:numPr>
        <w:spacing w:before="0" w:after="120" w:line="240" w:lineRule="auto"/>
        <w:ind w:left="357" w:hanging="357"/>
        <w:jc w:val="both"/>
        <w:rPr>
          <w:rFonts w:cs="Times New Roman"/>
          <w:szCs w:val="22"/>
          <w:lang w:val="en-US"/>
        </w:rPr>
      </w:pPr>
      <w:r w:rsidRPr="0025606B">
        <w:rPr>
          <w:rFonts w:cs="Times New Roman"/>
          <w:szCs w:val="22"/>
          <w:lang w:val="en-US"/>
        </w:rPr>
        <w:t xml:space="preserve">Credit Events under </w:t>
      </w:r>
      <w:proofErr w:type="spellStart"/>
      <w:r w:rsidRPr="0025606B">
        <w:rPr>
          <w:rFonts w:cs="Times New Roman"/>
          <w:szCs w:val="22"/>
          <w:lang w:val="en-US"/>
        </w:rPr>
        <w:t>Cds</w:t>
      </w:r>
      <w:proofErr w:type="spellEnd"/>
      <w:r w:rsidRPr="0025606B">
        <w:rPr>
          <w:rFonts w:cs="Times New Roman"/>
          <w:szCs w:val="22"/>
          <w:lang w:val="en-US"/>
        </w:rPr>
        <w:t xml:space="preserve"> Legal Documentation</w:t>
      </w:r>
    </w:p>
    <w:p w:rsidR="0025606B" w:rsidRPr="0025606B" w:rsidRDefault="0025606B" w:rsidP="0025606B">
      <w:pPr>
        <w:rPr>
          <w:lang w:val="en-US"/>
        </w:rPr>
      </w:pPr>
    </w:p>
    <w:p w:rsidR="0025606B" w:rsidRPr="0025606B" w:rsidRDefault="0025606B" w:rsidP="0025606B">
      <w:pPr>
        <w:autoSpaceDE w:val="0"/>
        <w:autoSpaceDN w:val="0"/>
        <w:adjustRightInd w:val="0"/>
        <w:spacing w:after="120"/>
        <w:jc w:val="both"/>
        <w:rPr>
          <w:lang w:val="en-US"/>
        </w:rPr>
      </w:pPr>
      <w:r w:rsidRPr="0025606B">
        <w:rPr>
          <w:lang w:val="en-US"/>
        </w:rPr>
        <w:t>Credit event refers to any credit-related event that triggers the realization of the obligations under a credit default swap. Although the parties may agree to exclude one or more of the defined events, the following six situations are industry-standard as defined in the 1999 ISDA credit derivatives definitions:</w:t>
      </w:r>
    </w:p>
    <w:p w:rsidR="0025606B" w:rsidRPr="0025606B" w:rsidRDefault="0025606B" w:rsidP="0025606B">
      <w:pPr>
        <w:autoSpaceDE w:val="0"/>
        <w:autoSpaceDN w:val="0"/>
        <w:adjustRightInd w:val="0"/>
        <w:spacing w:after="120"/>
        <w:jc w:val="both"/>
        <w:rPr>
          <w:lang w:val="en-US"/>
        </w:rPr>
      </w:pPr>
      <w:r w:rsidRPr="0025606B">
        <w:rPr>
          <w:i/>
          <w:lang w:val="en-US"/>
        </w:rPr>
        <w:t>Bankruptcy</w:t>
      </w:r>
      <w:r w:rsidRPr="0025606B">
        <w:rPr>
          <w:lang w:val="en-US"/>
        </w:rPr>
        <w:t xml:space="preserve"> is defined in the section 5(a)(vii) of the ISDA Master Agreement and it encompasses a large variety of events associated with bankruptcy or insolvency proceedings under English law or New York law, as well as analogous events under other insolvency laws. The ISDA scope of bankruptcy is wider than insolvency-related events used by rating agencies, certain actions taken by the reference entity, like a board meeting or a shareholders meeting to consider the filing of a liquidation petition, may be considered to be an act of bankruptcy as well. </w:t>
      </w:r>
      <w:r w:rsidRPr="0025606B">
        <w:rPr>
          <w:rStyle w:val="DipnotBavurusu"/>
          <w:lang w:val="en-US"/>
        </w:rPr>
        <w:footnoteReference w:id="2"/>
      </w:r>
    </w:p>
    <w:p w:rsidR="0025606B" w:rsidRPr="0025606B" w:rsidRDefault="0025606B" w:rsidP="0025606B">
      <w:pPr>
        <w:autoSpaceDE w:val="0"/>
        <w:autoSpaceDN w:val="0"/>
        <w:adjustRightInd w:val="0"/>
        <w:spacing w:after="120"/>
        <w:jc w:val="both"/>
        <w:rPr>
          <w:lang w:val="en-US"/>
        </w:rPr>
      </w:pPr>
      <w:r w:rsidRPr="0025606B">
        <w:rPr>
          <w:i/>
          <w:lang w:val="en-US"/>
        </w:rPr>
        <w:t>Obligation Acceleration</w:t>
      </w:r>
      <w:r w:rsidRPr="0025606B">
        <w:rPr>
          <w:lang w:val="en-US"/>
        </w:rPr>
        <w:t xml:space="preserve"> concerns the situation, excluding a failure to pay, where the relevant obligation becomes due and payable before its normal expiration date but it is mostly the result of a default by the reference entity. Generally, the credit event is accepted to occur only if the relevant sum being accelerated is above a minimum threshold. Obligation Acceleration is different from obligation default in that if in a credit derivative transaction, obligation default is already specified as a credit event, and obligation acceleration will only be relevant if the default requirement is lower than the one of the obligation default.</w:t>
      </w:r>
    </w:p>
    <w:p w:rsidR="0025606B" w:rsidRPr="0025606B" w:rsidRDefault="0025606B" w:rsidP="0025606B">
      <w:pPr>
        <w:autoSpaceDE w:val="0"/>
        <w:autoSpaceDN w:val="0"/>
        <w:adjustRightInd w:val="0"/>
        <w:spacing w:after="120"/>
        <w:jc w:val="both"/>
        <w:rPr>
          <w:lang w:val="en-US"/>
        </w:rPr>
      </w:pPr>
      <w:r w:rsidRPr="0025606B">
        <w:rPr>
          <w:i/>
          <w:lang w:val="en-US"/>
        </w:rPr>
        <w:t>Obligation Default</w:t>
      </w:r>
      <w:r w:rsidRPr="0025606B">
        <w:rPr>
          <w:lang w:val="en-US"/>
        </w:rPr>
        <w:t xml:space="preserve"> concerns the situation, excluding a failure to pay, where the relevant obligation becomes capable of being declared due and payable as a result of a default by the reference entity before the due time but the relevant sum being defaulted must exceed a minimum threshold generally.</w:t>
      </w:r>
    </w:p>
    <w:p w:rsidR="0025606B" w:rsidRPr="0025606B" w:rsidRDefault="0025606B" w:rsidP="0025606B">
      <w:pPr>
        <w:autoSpaceDE w:val="0"/>
        <w:autoSpaceDN w:val="0"/>
        <w:adjustRightInd w:val="0"/>
        <w:spacing w:after="120"/>
        <w:jc w:val="both"/>
        <w:rPr>
          <w:lang w:val="en-US"/>
        </w:rPr>
      </w:pPr>
      <w:r w:rsidRPr="0025606B">
        <w:rPr>
          <w:i/>
          <w:lang w:val="en-US"/>
        </w:rPr>
        <w:t>Failure to Pay</w:t>
      </w:r>
      <w:r w:rsidRPr="0025606B">
        <w:rPr>
          <w:lang w:val="en-US"/>
        </w:rPr>
        <w:t xml:space="preserve"> refers to a failure of the reference entity to make any payments under one or more obligations at due time but usually it takes into account any contractual or institutional grace period before the credit event is triggered. </w:t>
      </w:r>
    </w:p>
    <w:p w:rsidR="0025606B" w:rsidRPr="0025606B" w:rsidRDefault="0025606B" w:rsidP="0025606B">
      <w:pPr>
        <w:autoSpaceDE w:val="0"/>
        <w:autoSpaceDN w:val="0"/>
        <w:adjustRightInd w:val="0"/>
        <w:spacing w:after="120"/>
        <w:jc w:val="both"/>
        <w:rPr>
          <w:lang w:val="en-US"/>
        </w:rPr>
      </w:pPr>
      <w:r w:rsidRPr="0025606B">
        <w:rPr>
          <w:i/>
          <w:lang w:val="en-US"/>
        </w:rPr>
        <w:lastRenderedPageBreak/>
        <w:t>Repudiation/Moratorium</w:t>
      </w:r>
      <w:r w:rsidRPr="0025606B">
        <w:rPr>
          <w:lang w:val="en-US"/>
        </w:rPr>
        <w:t xml:space="preserve"> refers to situations where the sovereign disaffirms, disclaims or otherwise challenges the validity of the relevant obligation. Usually, like for obligation acceleration or default, a default requirement threshold is specified.</w:t>
      </w:r>
    </w:p>
    <w:p w:rsidR="0025606B" w:rsidRPr="0025606B" w:rsidRDefault="0025606B" w:rsidP="0025606B">
      <w:pPr>
        <w:autoSpaceDE w:val="0"/>
        <w:autoSpaceDN w:val="0"/>
        <w:adjustRightInd w:val="0"/>
        <w:spacing w:after="120"/>
        <w:jc w:val="both"/>
        <w:rPr>
          <w:lang w:val="en-US"/>
        </w:rPr>
      </w:pPr>
      <w:r w:rsidRPr="0025606B">
        <w:rPr>
          <w:i/>
          <w:lang w:val="en-US"/>
        </w:rPr>
        <w:t>Restructuring</w:t>
      </w:r>
      <w:r w:rsidRPr="0025606B">
        <w:rPr>
          <w:lang w:val="en-US"/>
        </w:rPr>
        <w:t xml:space="preserve"> concerns situations where the terms of the relevant obligation especially the external indebtedness in the case where sovereign is the reference entity are modified and become less favorable to the obligation holders. Typical examples are a reduction in the principal amount, a decrease of interest payable under the obligation, a postponement of payment, a change in ranking in priority of payment or any other composition of payment. However, a restructuring event would not be considered to occur in circumstances where the relevant event does not result in a deterioration of the creditworthiness or financial condition of the reference entity.</w:t>
      </w:r>
    </w:p>
    <w:p w:rsidR="0025606B" w:rsidRPr="0025606B" w:rsidRDefault="0025606B" w:rsidP="0025606B">
      <w:pPr>
        <w:autoSpaceDE w:val="0"/>
        <w:autoSpaceDN w:val="0"/>
        <w:adjustRightInd w:val="0"/>
        <w:spacing w:after="120"/>
        <w:jc w:val="both"/>
        <w:rPr>
          <w:lang w:val="en-US"/>
        </w:rPr>
      </w:pPr>
      <w:r w:rsidRPr="0025606B">
        <w:rPr>
          <w:lang w:val="en-US"/>
        </w:rPr>
        <w:t xml:space="preserve">In fact, until Greece experience, sovereign is perceived to be risk free in the financial markets and consequently the pricing of a </w:t>
      </w:r>
      <w:proofErr w:type="spellStart"/>
      <w:r w:rsidRPr="0025606B">
        <w:rPr>
          <w:lang w:val="en-US"/>
        </w:rPr>
        <w:t>cds</w:t>
      </w:r>
      <w:proofErr w:type="spellEnd"/>
      <w:r w:rsidRPr="0025606B">
        <w:rPr>
          <w:lang w:val="en-US"/>
        </w:rPr>
        <w:t xml:space="preserve"> transaction for a specific sovereign was set lower than a reference entity other than sovereign located in the particular country.</w:t>
      </w:r>
      <w:r w:rsidRPr="0025606B">
        <w:rPr>
          <w:rStyle w:val="DipnotBavurusu"/>
          <w:lang w:val="en-US"/>
        </w:rPr>
        <w:footnoteReference w:id="3"/>
      </w:r>
      <w:r w:rsidRPr="0025606B">
        <w:rPr>
          <w:lang w:val="en-US"/>
        </w:rPr>
        <w:t xml:space="preserve"> This positioning has been a result of credit risk, any credit risk other than sovereign also includes sovereign risk as the sovereign may prohibit to make any payment abroad. Basically, the sovereign and corporate default differ in two main aspects; firstly in the case of the corporate default the courts are generally entitled both liquidation and restructuring mechanisms to the assets of the borrower to enforce the creditor rights but in case of the sovereign as most of the assets are located domestically within a country, sovereign cannot credibly commit to handing these assets over in the event of default. On the other hand, the sovereign immunity protects the assets of the sovereign outside the country as well. (</w:t>
      </w:r>
      <w:proofErr w:type="spellStart"/>
      <w:r w:rsidRPr="0025606B">
        <w:rPr>
          <w:lang w:val="en-US"/>
        </w:rPr>
        <w:t>Ang</w:t>
      </w:r>
      <w:proofErr w:type="spellEnd"/>
      <w:r w:rsidRPr="0025606B">
        <w:rPr>
          <w:lang w:val="en-US"/>
        </w:rPr>
        <w:t xml:space="preserve"> and </w:t>
      </w:r>
      <w:proofErr w:type="spellStart"/>
      <w:r w:rsidRPr="0025606B">
        <w:rPr>
          <w:lang w:val="en-US"/>
        </w:rPr>
        <w:t>Longstaff</w:t>
      </w:r>
      <w:proofErr w:type="spellEnd"/>
      <w:r w:rsidRPr="0025606B">
        <w:rPr>
          <w:lang w:val="en-US"/>
        </w:rPr>
        <w:t xml:space="preserve"> 2011, p.4) Secondly, there exists no recognized international process to be followed in case of the sovereign default. In practice, when such a probability occurs, either intergovernmental institutions such as International Monetary Fund comes into the scene in order to provide lending to the country in trouble or consortium of the international banks sit on the table in order to restructure the debt in order to make it payable for the borrower country.</w:t>
      </w:r>
    </w:p>
    <w:p w:rsidR="0025606B" w:rsidRPr="0025606B" w:rsidRDefault="0025606B" w:rsidP="0025606B">
      <w:pPr>
        <w:autoSpaceDE w:val="0"/>
        <w:autoSpaceDN w:val="0"/>
        <w:adjustRightInd w:val="0"/>
        <w:spacing w:after="120"/>
        <w:jc w:val="both"/>
        <w:rPr>
          <w:lang w:val="en-US"/>
        </w:rPr>
      </w:pPr>
      <w:r w:rsidRPr="0025606B">
        <w:rPr>
          <w:lang w:val="en-US"/>
        </w:rPr>
        <w:t xml:space="preserve">The default of any sovereign can be detrimental not for only itself but also for the global financial system as a whole because of the relatively larger amounts of indebtedness. The external indebtedness of the less developed countries is owed mainly to the intergovernmental institutions such as IMF and World bank as they have limited access to private financial system and those institutions lend the money collected from the member countries. For many of the emerging and all of the developed countries, generally external indebtedness has been owed to the international banks and financial institutions. In such a framework, the default of any sovereign is a shock to the international investor confidence so no one wants it to be realized but this does not mean that the financial system never permits any sovereign default.  It is a fact that some countries have never defaulted in the past such as the United States at the federal level, Canada, Australia, South Africa (except for an episode related to sanctions in 1985), most Asian countries, and most Arab countries. On the other hand, Latin America as a region is represented in all default waves since the 1820s as Argentina, Ecuador, and Uruguay defaulted in the most recent wave as well as most previous waves. After the worst global financial crisis in 1930s, the default wave occurred in 1980s affecting many countries especially the newly independent Africa countries. The second important default cycle realized in the period between 1998-2004, </w:t>
      </w:r>
      <w:r w:rsidRPr="0025606B">
        <w:rPr>
          <w:lang w:val="en-US"/>
        </w:rPr>
        <w:lastRenderedPageBreak/>
        <w:t>but IMF played a more aggressive role in preventing debt restructurings. (</w:t>
      </w:r>
      <w:proofErr w:type="spellStart"/>
      <w:r w:rsidRPr="0025606B">
        <w:rPr>
          <w:lang w:val="en-US"/>
        </w:rPr>
        <w:t>Sturzenegger</w:t>
      </w:r>
      <w:proofErr w:type="spellEnd"/>
      <w:r w:rsidRPr="0025606B">
        <w:rPr>
          <w:rStyle w:val="DipnotBavurusu"/>
          <w:lang w:val="en-US"/>
        </w:rPr>
        <w:t xml:space="preserve"> </w:t>
      </w:r>
      <w:r w:rsidRPr="0025606B">
        <w:rPr>
          <w:lang w:val="en-US"/>
        </w:rPr>
        <w:t xml:space="preserve"> and </w:t>
      </w:r>
      <w:hyperlink r:id="rId8" w:history="1">
        <w:proofErr w:type="spellStart"/>
        <w:r w:rsidRPr="0025606B">
          <w:rPr>
            <w:rStyle w:val="Kpr"/>
            <w:lang w:val="en-US"/>
          </w:rPr>
          <w:t>Zettelmeyer</w:t>
        </w:r>
        <w:proofErr w:type="spellEnd"/>
        <w:r w:rsidRPr="0025606B">
          <w:rPr>
            <w:rStyle w:val="Kpr"/>
            <w:lang w:val="en-US"/>
          </w:rPr>
          <w:t xml:space="preserve"> 2007</w:t>
        </w:r>
      </w:hyperlink>
      <w:r w:rsidRPr="0025606B">
        <w:rPr>
          <w:rStyle w:val="Kpr"/>
          <w:lang w:val="en-US"/>
        </w:rPr>
        <w:t>,</w:t>
      </w:r>
      <w:r w:rsidRPr="0025606B">
        <w:rPr>
          <w:rStyle w:val="bodycopy1"/>
          <w:rFonts w:ascii="Times New Roman" w:eastAsiaTheme="majorEastAsia" w:hAnsi="Times New Roman"/>
          <w:color w:val="auto"/>
          <w:sz w:val="22"/>
          <w:szCs w:val="22"/>
          <w:lang w:val="en-US"/>
        </w:rPr>
        <w:t xml:space="preserve"> p.9-10) </w:t>
      </w:r>
      <w:r w:rsidRPr="0025606B">
        <w:rPr>
          <w:lang w:val="en-US"/>
        </w:rPr>
        <w:t>Although it is said to be postponed but not prevented yet, the last default cycle commenced in 2008, ironically not affecting Latin America and other developing countries but developed ones in Europe such as Greece, Spain, Portugal and even France.</w:t>
      </w:r>
    </w:p>
    <w:p w:rsidR="0025606B" w:rsidRPr="0025606B" w:rsidRDefault="0025606B" w:rsidP="0025606B">
      <w:pPr>
        <w:pStyle w:val="Balk1"/>
        <w:numPr>
          <w:ilvl w:val="0"/>
          <w:numId w:val="0"/>
        </w:numPr>
        <w:spacing w:before="0" w:after="120" w:line="240" w:lineRule="auto"/>
        <w:jc w:val="both"/>
        <w:rPr>
          <w:rFonts w:eastAsia="Times New Roman" w:cs="Times New Roman"/>
          <w:b w:val="0"/>
          <w:bCs w:val="0"/>
          <w:sz w:val="24"/>
          <w:szCs w:val="24"/>
          <w:lang w:val="en-US"/>
        </w:rPr>
      </w:pPr>
    </w:p>
    <w:p w:rsidR="0025606B" w:rsidRPr="0025606B" w:rsidRDefault="0025606B" w:rsidP="0025606B">
      <w:pPr>
        <w:pStyle w:val="Balk1"/>
        <w:numPr>
          <w:ilvl w:val="0"/>
          <w:numId w:val="0"/>
        </w:numPr>
        <w:spacing w:before="0" w:after="120" w:line="240" w:lineRule="auto"/>
        <w:jc w:val="both"/>
        <w:rPr>
          <w:rFonts w:cs="Times New Roman"/>
          <w:szCs w:val="22"/>
          <w:lang w:val="en-US"/>
        </w:rPr>
      </w:pPr>
      <w:r w:rsidRPr="0025606B">
        <w:rPr>
          <w:rFonts w:cs="Times New Roman"/>
          <w:szCs w:val="22"/>
          <w:lang w:val="en-US"/>
        </w:rPr>
        <w:t>Literature Review</w:t>
      </w:r>
    </w:p>
    <w:p w:rsidR="0025606B" w:rsidRPr="0025606B" w:rsidRDefault="0025606B" w:rsidP="0025606B">
      <w:pPr>
        <w:spacing w:after="120"/>
        <w:jc w:val="both"/>
        <w:rPr>
          <w:lang w:val="en-US"/>
        </w:rPr>
      </w:pPr>
      <w:r w:rsidRPr="0025606B">
        <w:rPr>
          <w:lang w:val="en-US"/>
        </w:rPr>
        <w:t xml:space="preserve">As the financial reports of a company reveals the financial position of a corporation, the macro economic factors shows the debt payment capacity of the sovereign as well as the vulnerability of this capacity to the external shocks. There exists no agreement on the determinants of sovereign default risk, as reflected in sovereign credit spreads. While some of the analysis show that the government’s ability to service its debt depends on the underlying macroeconomic fundamentals and, therefore, is country-specific, some others revealed strong commonality in the movement of </w:t>
      </w:r>
      <w:proofErr w:type="spellStart"/>
      <w:r w:rsidRPr="0025606B">
        <w:rPr>
          <w:lang w:val="en-US"/>
        </w:rPr>
        <w:t>cds</w:t>
      </w:r>
      <w:proofErr w:type="spellEnd"/>
      <w:r w:rsidRPr="0025606B">
        <w:rPr>
          <w:lang w:val="en-US"/>
        </w:rPr>
        <w:t xml:space="preserve"> spreads regardless of the country specifics.</w:t>
      </w:r>
    </w:p>
    <w:p w:rsidR="0025606B" w:rsidRPr="0025606B" w:rsidRDefault="0025606B" w:rsidP="0025606B">
      <w:pPr>
        <w:spacing w:after="120"/>
        <w:jc w:val="both"/>
        <w:rPr>
          <w:lang w:val="en-US"/>
        </w:rPr>
      </w:pPr>
      <w:r w:rsidRPr="0025606B">
        <w:rPr>
          <w:lang w:val="en-US"/>
        </w:rPr>
        <w:t xml:space="preserve">Most of the early studies had taken into account the individual macroeconomic variable(s) as independent variable and test the relationship between those macro-economic variable(s) and </w:t>
      </w:r>
      <w:proofErr w:type="spellStart"/>
      <w:r w:rsidRPr="0025606B">
        <w:rPr>
          <w:lang w:val="en-US"/>
        </w:rPr>
        <w:t>cds</w:t>
      </w:r>
      <w:proofErr w:type="spellEnd"/>
      <w:r w:rsidRPr="0025606B">
        <w:rPr>
          <w:lang w:val="en-US"/>
        </w:rPr>
        <w:t xml:space="preserve"> spreads such as:</w:t>
      </w:r>
    </w:p>
    <w:p w:rsidR="0025606B" w:rsidRPr="0025606B" w:rsidRDefault="0025606B" w:rsidP="0025606B">
      <w:pPr>
        <w:pStyle w:val="ListeParagraf"/>
        <w:numPr>
          <w:ilvl w:val="0"/>
          <w:numId w:val="3"/>
        </w:numPr>
        <w:spacing w:after="120"/>
        <w:jc w:val="both"/>
        <w:rPr>
          <w:lang w:val="en-US"/>
        </w:rPr>
      </w:pPr>
      <w:r w:rsidRPr="0025606B">
        <w:rPr>
          <w:lang w:val="en-US"/>
        </w:rPr>
        <w:t xml:space="preserve">Low Current Account Balance to GDP ratio signals a decrease in the default probabilities of a country and reduces the </w:t>
      </w:r>
      <w:proofErr w:type="spellStart"/>
      <w:r w:rsidRPr="0025606B">
        <w:rPr>
          <w:lang w:val="en-US"/>
        </w:rPr>
        <w:t>cds</w:t>
      </w:r>
      <w:proofErr w:type="spellEnd"/>
      <w:r w:rsidRPr="0025606B">
        <w:rPr>
          <w:lang w:val="en-US"/>
        </w:rPr>
        <w:t xml:space="preserve"> spreads (</w:t>
      </w:r>
      <w:proofErr w:type="spellStart"/>
      <w:r w:rsidRPr="0025606B">
        <w:rPr>
          <w:lang w:val="en-US"/>
        </w:rPr>
        <w:t>Georgievska</w:t>
      </w:r>
      <w:proofErr w:type="spellEnd"/>
      <w:r w:rsidRPr="0025606B">
        <w:rPr>
          <w:lang w:val="en-US"/>
        </w:rPr>
        <w:t xml:space="preserve"> et al. 2008, p.1037)</w:t>
      </w:r>
      <w:r w:rsidRPr="0025606B">
        <w:rPr>
          <w:vertAlign w:val="superscript"/>
          <w:lang w:val="en-US"/>
        </w:rPr>
        <w:t xml:space="preserve"> </w:t>
      </w:r>
    </w:p>
    <w:p w:rsidR="0025606B" w:rsidRPr="0025606B" w:rsidRDefault="0025606B" w:rsidP="0025606B">
      <w:pPr>
        <w:pStyle w:val="Default"/>
        <w:numPr>
          <w:ilvl w:val="0"/>
          <w:numId w:val="3"/>
        </w:numPr>
        <w:spacing w:after="120"/>
        <w:jc w:val="both"/>
        <w:rPr>
          <w:color w:val="auto"/>
          <w:sz w:val="22"/>
          <w:szCs w:val="22"/>
          <w:lang w:val="en-US"/>
        </w:rPr>
      </w:pPr>
      <w:r w:rsidRPr="0025606B">
        <w:rPr>
          <w:iCs/>
          <w:color w:val="auto"/>
          <w:sz w:val="22"/>
          <w:szCs w:val="22"/>
          <w:lang w:val="en-US"/>
        </w:rPr>
        <w:t>High Import to GDP ratio</w:t>
      </w:r>
      <w:r w:rsidRPr="0025606B">
        <w:rPr>
          <w:color w:val="auto"/>
          <w:sz w:val="22"/>
          <w:szCs w:val="22"/>
          <w:lang w:val="en-US"/>
        </w:rPr>
        <w:t xml:space="preserve"> should lead to higher </w:t>
      </w:r>
      <w:proofErr w:type="spellStart"/>
      <w:r w:rsidRPr="0025606B">
        <w:rPr>
          <w:color w:val="auto"/>
          <w:sz w:val="22"/>
          <w:szCs w:val="22"/>
          <w:lang w:val="en-US"/>
        </w:rPr>
        <w:t>cds</w:t>
      </w:r>
      <w:proofErr w:type="spellEnd"/>
      <w:r w:rsidRPr="0025606B">
        <w:rPr>
          <w:color w:val="auto"/>
          <w:sz w:val="22"/>
          <w:szCs w:val="22"/>
          <w:lang w:val="en-US"/>
        </w:rPr>
        <w:t xml:space="preserve"> spreads as foreign exchange outflow increases (</w:t>
      </w:r>
      <w:proofErr w:type="spellStart"/>
      <w:r w:rsidRPr="0025606B">
        <w:rPr>
          <w:color w:val="auto"/>
          <w:sz w:val="22"/>
          <w:szCs w:val="22"/>
          <w:lang w:val="en-US"/>
        </w:rPr>
        <w:t>Georgievska</w:t>
      </w:r>
      <w:proofErr w:type="spellEnd"/>
      <w:r w:rsidRPr="0025606B">
        <w:rPr>
          <w:color w:val="auto"/>
          <w:sz w:val="22"/>
          <w:szCs w:val="22"/>
          <w:lang w:val="en-US"/>
        </w:rPr>
        <w:t xml:space="preserve"> et al. 2008, p.1040)</w:t>
      </w:r>
    </w:p>
    <w:p w:rsidR="0025606B" w:rsidRPr="0025606B" w:rsidRDefault="0025606B" w:rsidP="0025606B">
      <w:pPr>
        <w:pStyle w:val="ListeParagraf"/>
        <w:numPr>
          <w:ilvl w:val="0"/>
          <w:numId w:val="3"/>
        </w:numPr>
        <w:spacing w:after="120"/>
        <w:jc w:val="both"/>
        <w:rPr>
          <w:lang w:val="en-US"/>
        </w:rPr>
      </w:pPr>
      <w:r w:rsidRPr="0025606B">
        <w:rPr>
          <w:lang w:val="en-US"/>
        </w:rPr>
        <w:t xml:space="preserve">High Debt to Export ratio increases </w:t>
      </w:r>
      <w:proofErr w:type="spellStart"/>
      <w:r w:rsidRPr="0025606B">
        <w:rPr>
          <w:lang w:val="en-US"/>
        </w:rPr>
        <w:t>cds</w:t>
      </w:r>
      <w:proofErr w:type="spellEnd"/>
      <w:r w:rsidRPr="0025606B">
        <w:rPr>
          <w:lang w:val="en-US"/>
        </w:rPr>
        <w:t xml:space="preserve"> spreads (</w:t>
      </w:r>
      <w:proofErr w:type="spellStart"/>
      <w:r w:rsidRPr="0025606B">
        <w:rPr>
          <w:lang w:val="en-US"/>
        </w:rPr>
        <w:t>Catao</w:t>
      </w:r>
      <w:proofErr w:type="spellEnd"/>
      <w:r w:rsidRPr="0025606B">
        <w:rPr>
          <w:lang w:val="en-US"/>
        </w:rPr>
        <w:t xml:space="preserve"> and Sutton 2002, p.16) </w:t>
      </w:r>
    </w:p>
    <w:p w:rsidR="0025606B" w:rsidRPr="0025606B" w:rsidRDefault="0025606B" w:rsidP="0025606B">
      <w:pPr>
        <w:pStyle w:val="Default"/>
        <w:numPr>
          <w:ilvl w:val="0"/>
          <w:numId w:val="3"/>
        </w:numPr>
        <w:spacing w:after="120"/>
        <w:jc w:val="both"/>
        <w:rPr>
          <w:color w:val="auto"/>
          <w:sz w:val="22"/>
          <w:szCs w:val="22"/>
          <w:lang w:val="en-US"/>
        </w:rPr>
      </w:pPr>
      <w:r w:rsidRPr="0025606B">
        <w:rPr>
          <w:iCs/>
          <w:color w:val="auto"/>
          <w:sz w:val="22"/>
          <w:szCs w:val="22"/>
          <w:lang w:val="en-US"/>
        </w:rPr>
        <w:t>High Reserves to Debt ratio</w:t>
      </w:r>
      <w:r w:rsidRPr="0025606B">
        <w:rPr>
          <w:color w:val="auto"/>
          <w:sz w:val="22"/>
          <w:szCs w:val="22"/>
          <w:lang w:val="en-US"/>
        </w:rPr>
        <w:t xml:space="preserve"> should have a negative relationship with the sovereign </w:t>
      </w:r>
      <w:proofErr w:type="spellStart"/>
      <w:r w:rsidRPr="0025606B">
        <w:rPr>
          <w:color w:val="auto"/>
          <w:sz w:val="22"/>
          <w:szCs w:val="22"/>
          <w:lang w:val="en-US"/>
        </w:rPr>
        <w:t>cds</w:t>
      </w:r>
      <w:proofErr w:type="spellEnd"/>
      <w:r w:rsidRPr="0025606B">
        <w:rPr>
          <w:color w:val="auto"/>
          <w:sz w:val="22"/>
          <w:szCs w:val="22"/>
          <w:lang w:val="en-US"/>
        </w:rPr>
        <w:t xml:space="preserve"> spread (</w:t>
      </w:r>
      <w:proofErr w:type="spellStart"/>
      <w:r w:rsidRPr="0025606B">
        <w:rPr>
          <w:color w:val="auto"/>
          <w:sz w:val="22"/>
          <w:szCs w:val="22"/>
          <w:lang w:val="en-US"/>
        </w:rPr>
        <w:t>Catao</w:t>
      </w:r>
      <w:proofErr w:type="spellEnd"/>
      <w:r w:rsidRPr="0025606B">
        <w:rPr>
          <w:color w:val="auto"/>
          <w:sz w:val="22"/>
          <w:szCs w:val="22"/>
          <w:lang w:val="en-US"/>
        </w:rPr>
        <w:t xml:space="preserve"> and Sutton 2002, p.16)</w:t>
      </w:r>
    </w:p>
    <w:p w:rsidR="0025606B" w:rsidRPr="0025606B" w:rsidRDefault="0025606B" w:rsidP="0025606B">
      <w:pPr>
        <w:pStyle w:val="ListeParagraf"/>
        <w:numPr>
          <w:ilvl w:val="0"/>
          <w:numId w:val="3"/>
        </w:numPr>
        <w:spacing w:after="120"/>
        <w:jc w:val="both"/>
        <w:rPr>
          <w:lang w:val="en-US"/>
        </w:rPr>
      </w:pPr>
      <w:r w:rsidRPr="0025606B">
        <w:rPr>
          <w:lang w:val="en-US"/>
        </w:rPr>
        <w:t xml:space="preserve">High debt to GDP ratio is positively related with </w:t>
      </w:r>
      <w:proofErr w:type="spellStart"/>
      <w:r w:rsidRPr="0025606B">
        <w:rPr>
          <w:lang w:val="en-US"/>
        </w:rPr>
        <w:t>cds</w:t>
      </w:r>
      <w:proofErr w:type="spellEnd"/>
      <w:r w:rsidRPr="0025606B">
        <w:rPr>
          <w:lang w:val="en-US"/>
        </w:rPr>
        <w:t xml:space="preserve"> spreads (</w:t>
      </w:r>
      <w:proofErr w:type="spellStart"/>
      <w:r w:rsidRPr="0025606B">
        <w:rPr>
          <w:lang w:val="en-US"/>
        </w:rPr>
        <w:t>Mellios</w:t>
      </w:r>
      <w:proofErr w:type="spellEnd"/>
      <w:r w:rsidRPr="0025606B">
        <w:rPr>
          <w:lang w:val="en-US"/>
        </w:rPr>
        <w:t xml:space="preserve"> and Blanc 2006, p.363) </w:t>
      </w:r>
    </w:p>
    <w:p w:rsidR="0025606B" w:rsidRPr="0025606B" w:rsidRDefault="0025606B" w:rsidP="0025606B">
      <w:pPr>
        <w:pStyle w:val="Default"/>
        <w:numPr>
          <w:ilvl w:val="0"/>
          <w:numId w:val="3"/>
        </w:numPr>
        <w:spacing w:after="120"/>
        <w:jc w:val="both"/>
        <w:rPr>
          <w:color w:val="auto"/>
          <w:sz w:val="22"/>
          <w:szCs w:val="22"/>
          <w:lang w:val="en-US"/>
        </w:rPr>
      </w:pPr>
      <w:r w:rsidRPr="0025606B">
        <w:rPr>
          <w:color w:val="auto"/>
          <w:sz w:val="22"/>
          <w:szCs w:val="22"/>
          <w:lang w:val="en-US"/>
        </w:rPr>
        <w:t>High inflation rate should increase the credit risk attached to a nation (</w:t>
      </w:r>
      <w:proofErr w:type="spellStart"/>
      <w:r w:rsidRPr="0025606B">
        <w:rPr>
          <w:color w:val="auto"/>
          <w:sz w:val="22"/>
          <w:szCs w:val="22"/>
          <w:lang w:val="en-US"/>
        </w:rPr>
        <w:t>Mellios</w:t>
      </w:r>
      <w:proofErr w:type="spellEnd"/>
      <w:r w:rsidRPr="0025606B">
        <w:rPr>
          <w:color w:val="auto"/>
          <w:sz w:val="22"/>
          <w:szCs w:val="22"/>
          <w:lang w:val="en-US"/>
        </w:rPr>
        <w:t xml:space="preserve"> and Blanc 2006, p.365)</w:t>
      </w:r>
    </w:p>
    <w:p w:rsidR="0025606B" w:rsidRPr="0025606B" w:rsidRDefault="0025606B" w:rsidP="0025606B">
      <w:pPr>
        <w:pStyle w:val="Default"/>
        <w:numPr>
          <w:ilvl w:val="0"/>
          <w:numId w:val="3"/>
        </w:numPr>
        <w:spacing w:after="120"/>
        <w:jc w:val="both"/>
        <w:rPr>
          <w:color w:val="auto"/>
          <w:sz w:val="22"/>
          <w:szCs w:val="22"/>
          <w:lang w:val="en-US"/>
        </w:rPr>
      </w:pPr>
      <w:r w:rsidRPr="0025606B">
        <w:rPr>
          <w:color w:val="auto"/>
          <w:sz w:val="22"/>
          <w:szCs w:val="22"/>
          <w:lang w:val="en-US"/>
        </w:rPr>
        <w:t xml:space="preserve">Economic growth decrease the credit risk associated to that country and thus its </w:t>
      </w:r>
      <w:proofErr w:type="spellStart"/>
      <w:r w:rsidRPr="0025606B">
        <w:rPr>
          <w:color w:val="auto"/>
          <w:sz w:val="22"/>
          <w:szCs w:val="22"/>
          <w:lang w:val="en-US"/>
        </w:rPr>
        <w:t>cds</w:t>
      </w:r>
      <w:proofErr w:type="spellEnd"/>
      <w:r w:rsidRPr="0025606B">
        <w:rPr>
          <w:color w:val="auto"/>
          <w:sz w:val="22"/>
          <w:szCs w:val="22"/>
          <w:lang w:val="en-US"/>
        </w:rPr>
        <w:t xml:space="preserve"> spread  (</w:t>
      </w:r>
      <w:proofErr w:type="spellStart"/>
      <w:r w:rsidRPr="0025606B">
        <w:rPr>
          <w:color w:val="auto"/>
          <w:sz w:val="22"/>
          <w:szCs w:val="22"/>
          <w:lang w:val="en-US"/>
        </w:rPr>
        <w:t>Baek</w:t>
      </w:r>
      <w:proofErr w:type="spellEnd"/>
      <w:r w:rsidRPr="0025606B">
        <w:rPr>
          <w:color w:val="auto"/>
          <w:sz w:val="22"/>
          <w:szCs w:val="22"/>
          <w:lang w:val="en-US"/>
        </w:rPr>
        <w:t xml:space="preserve"> et al. 2005, p.544)</w:t>
      </w:r>
    </w:p>
    <w:p w:rsidR="0025606B" w:rsidRPr="0025606B" w:rsidRDefault="0025606B" w:rsidP="0025606B">
      <w:pPr>
        <w:pStyle w:val="Default"/>
        <w:numPr>
          <w:ilvl w:val="0"/>
          <w:numId w:val="3"/>
        </w:numPr>
        <w:spacing w:after="120"/>
        <w:jc w:val="both"/>
        <w:rPr>
          <w:color w:val="auto"/>
          <w:sz w:val="22"/>
          <w:szCs w:val="22"/>
          <w:lang w:val="en-US"/>
        </w:rPr>
      </w:pPr>
      <w:r w:rsidRPr="0025606B">
        <w:rPr>
          <w:color w:val="auto"/>
          <w:sz w:val="22"/>
          <w:szCs w:val="22"/>
          <w:lang w:val="en-US"/>
        </w:rPr>
        <w:t xml:space="preserve">A devaluation of the exchange rate of a country should increase the price of the </w:t>
      </w:r>
      <w:proofErr w:type="spellStart"/>
      <w:r w:rsidRPr="0025606B">
        <w:rPr>
          <w:color w:val="auto"/>
          <w:sz w:val="22"/>
          <w:szCs w:val="22"/>
          <w:lang w:val="en-US"/>
        </w:rPr>
        <w:t>cds</w:t>
      </w:r>
      <w:proofErr w:type="spellEnd"/>
      <w:r w:rsidRPr="0025606B">
        <w:rPr>
          <w:color w:val="auto"/>
          <w:sz w:val="22"/>
          <w:szCs w:val="22"/>
          <w:lang w:val="en-US"/>
        </w:rPr>
        <w:t xml:space="preserve"> spreads as it conveys a doubtful credit position (</w:t>
      </w:r>
      <w:proofErr w:type="spellStart"/>
      <w:r w:rsidRPr="0025606B">
        <w:rPr>
          <w:color w:val="auto"/>
          <w:sz w:val="22"/>
          <w:szCs w:val="22"/>
          <w:lang w:val="en-US"/>
        </w:rPr>
        <w:t>Baek</w:t>
      </w:r>
      <w:proofErr w:type="spellEnd"/>
      <w:r w:rsidRPr="0025606B">
        <w:rPr>
          <w:color w:val="auto"/>
          <w:sz w:val="22"/>
          <w:szCs w:val="22"/>
          <w:lang w:val="en-US"/>
        </w:rPr>
        <w:t xml:space="preserve"> et al. 2005, p.545)</w:t>
      </w:r>
    </w:p>
    <w:p w:rsidR="0025606B" w:rsidRPr="0025606B" w:rsidRDefault="0025606B" w:rsidP="0025606B">
      <w:pPr>
        <w:pStyle w:val="Default"/>
        <w:numPr>
          <w:ilvl w:val="0"/>
          <w:numId w:val="3"/>
        </w:numPr>
        <w:spacing w:after="120"/>
        <w:jc w:val="both"/>
        <w:rPr>
          <w:color w:val="auto"/>
          <w:sz w:val="22"/>
          <w:szCs w:val="22"/>
          <w:lang w:val="en-US"/>
        </w:rPr>
      </w:pPr>
      <w:r w:rsidRPr="0025606B">
        <w:rPr>
          <w:color w:val="auto"/>
          <w:sz w:val="22"/>
          <w:szCs w:val="22"/>
          <w:lang w:val="en-US"/>
        </w:rPr>
        <w:t xml:space="preserve">High Household Debt to GDP ratio of an economy increases the credit risk attached which should lead to higher </w:t>
      </w:r>
      <w:proofErr w:type="spellStart"/>
      <w:r w:rsidRPr="0025606B">
        <w:rPr>
          <w:color w:val="auto"/>
          <w:sz w:val="22"/>
          <w:szCs w:val="22"/>
          <w:lang w:val="en-US"/>
        </w:rPr>
        <w:t>cds</w:t>
      </w:r>
      <w:proofErr w:type="spellEnd"/>
      <w:r w:rsidRPr="0025606B">
        <w:rPr>
          <w:color w:val="auto"/>
          <w:sz w:val="22"/>
          <w:szCs w:val="22"/>
          <w:lang w:val="en-US"/>
        </w:rPr>
        <w:t xml:space="preserve"> spreads (Reinhart and </w:t>
      </w:r>
      <w:proofErr w:type="spellStart"/>
      <w:r w:rsidRPr="0025606B">
        <w:rPr>
          <w:color w:val="auto"/>
          <w:sz w:val="22"/>
          <w:szCs w:val="22"/>
          <w:lang w:val="en-US"/>
        </w:rPr>
        <w:t>Rogoff</w:t>
      </w:r>
      <w:proofErr w:type="spellEnd"/>
      <w:r w:rsidRPr="0025606B">
        <w:rPr>
          <w:color w:val="auto"/>
          <w:sz w:val="22"/>
          <w:szCs w:val="22"/>
          <w:lang w:val="en-US"/>
        </w:rPr>
        <w:t xml:space="preserve"> 2008, p.119)</w:t>
      </w:r>
    </w:p>
    <w:p w:rsidR="0025606B" w:rsidRPr="0025606B" w:rsidRDefault="0025606B" w:rsidP="0025606B">
      <w:pPr>
        <w:pStyle w:val="Default"/>
        <w:numPr>
          <w:ilvl w:val="0"/>
          <w:numId w:val="3"/>
        </w:numPr>
        <w:spacing w:after="120"/>
        <w:jc w:val="both"/>
        <w:rPr>
          <w:color w:val="auto"/>
          <w:sz w:val="22"/>
          <w:szCs w:val="22"/>
          <w:lang w:val="en-US"/>
        </w:rPr>
      </w:pPr>
      <w:r w:rsidRPr="0025606B">
        <w:rPr>
          <w:color w:val="auto"/>
          <w:sz w:val="22"/>
          <w:szCs w:val="22"/>
          <w:lang w:val="en-US"/>
        </w:rPr>
        <w:t xml:space="preserve">The Risk-free rate should therefore be negatively related to </w:t>
      </w:r>
      <w:proofErr w:type="spellStart"/>
      <w:r w:rsidRPr="0025606B">
        <w:rPr>
          <w:color w:val="auto"/>
          <w:sz w:val="22"/>
          <w:szCs w:val="22"/>
          <w:lang w:val="en-US"/>
        </w:rPr>
        <w:t>cds</w:t>
      </w:r>
      <w:proofErr w:type="spellEnd"/>
      <w:r w:rsidRPr="0025606B">
        <w:rPr>
          <w:color w:val="auto"/>
          <w:sz w:val="22"/>
          <w:szCs w:val="22"/>
          <w:lang w:val="en-US"/>
        </w:rPr>
        <w:t xml:space="preserve"> spreads (Fontana and </w:t>
      </w:r>
      <w:proofErr w:type="spellStart"/>
      <w:r w:rsidRPr="0025606B">
        <w:rPr>
          <w:color w:val="auto"/>
          <w:sz w:val="22"/>
          <w:szCs w:val="22"/>
          <w:lang w:val="en-US"/>
        </w:rPr>
        <w:t>Scheicher</w:t>
      </w:r>
      <w:proofErr w:type="spellEnd"/>
      <w:r w:rsidRPr="0025606B">
        <w:rPr>
          <w:color w:val="auto"/>
          <w:sz w:val="22"/>
          <w:szCs w:val="22"/>
          <w:lang w:val="en-US"/>
        </w:rPr>
        <w:t xml:space="preserve"> 2010, p.16) </w:t>
      </w:r>
    </w:p>
    <w:p w:rsidR="0025606B" w:rsidRPr="0025606B" w:rsidRDefault="0025606B" w:rsidP="0025606B">
      <w:pPr>
        <w:pStyle w:val="Default"/>
        <w:numPr>
          <w:ilvl w:val="0"/>
          <w:numId w:val="3"/>
        </w:numPr>
        <w:spacing w:after="120"/>
        <w:jc w:val="both"/>
        <w:rPr>
          <w:color w:val="auto"/>
          <w:sz w:val="22"/>
          <w:szCs w:val="22"/>
          <w:lang w:val="en-US"/>
        </w:rPr>
      </w:pPr>
      <w:r w:rsidRPr="0025606B">
        <w:rPr>
          <w:color w:val="auto"/>
          <w:sz w:val="22"/>
          <w:szCs w:val="22"/>
          <w:lang w:val="en-US"/>
        </w:rPr>
        <w:t>Spreads on emerging market instruments have strong and well-defined relationships to their credit rating, maturity, and currency denomination. (</w:t>
      </w:r>
      <w:proofErr w:type="spellStart"/>
      <w:r w:rsidRPr="0025606B">
        <w:rPr>
          <w:color w:val="auto"/>
          <w:sz w:val="22"/>
          <w:szCs w:val="22"/>
          <w:lang w:val="en-US"/>
        </w:rPr>
        <w:t>Kamin</w:t>
      </w:r>
      <w:proofErr w:type="spellEnd"/>
      <w:r w:rsidRPr="0025606B">
        <w:rPr>
          <w:color w:val="auto"/>
          <w:sz w:val="22"/>
          <w:szCs w:val="22"/>
          <w:lang w:val="en-US"/>
        </w:rPr>
        <w:t xml:space="preserve"> and Kleist 1999, p.16) </w:t>
      </w:r>
    </w:p>
    <w:p w:rsidR="0025606B" w:rsidRPr="0025606B" w:rsidRDefault="0025606B" w:rsidP="0025606B">
      <w:pPr>
        <w:pStyle w:val="ListeParagraf"/>
        <w:numPr>
          <w:ilvl w:val="0"/>
          <w:numId w:val="3"/>
        </w:numPr>
        <w:autoSpaceDE w:val="0"/>
        <w:autoSpaceDN w:val="0"/>
        <w:adjustRightInd w:val="0"/>
        <w:spacing w:after="120"/>
        <w:jc w:val="both"/>
        <w:rPr>
          <w:lang w:val="en-US"/>
        </w:rPr>
      </w:pPr>
      <w:r w:rsidRPr="0025606B">
        <w:rPr>
          <w:lang w:val="en-US"/>
        </w:rPr>
        <w:t>Sovereign ratings effectively summarize and supplement the information contained in macroeconomic indicators and are therefore strongly correlated with market-determined credit spreads.( Cantor, R. and Packer, F. (1996), p.37)</w:t>
      </w:r>
    </w:p>
    <w:p w:rsidR="0025606B" w:rsidRPr="0025606B" w:rsidRDefault="0025606B" w:rsidP="0025606B">
      <w:pPr>
        <w:pStyle w:val="Default"/>
        <w:spacing w:after="120"/>
        <w:jc w:val="both"/>
        <w:rPr>
          <w:color w:val="auto"/>
          <w:sz w:val="22"/>
          <w:szCs w:val="22"/>
          <w:lang w:val="en-US"/>
        </w:rPr>
      </w:pPr>
      <w:r w:rsidRPr="0025606B">
        <w:rPr>
          <w:color w:val="auto"/>
          <w:sz w:val="22"/>
          <w:szCs w:val="22"/>
          <w:lang w:val="en-US"/>
        </w:rPr>
        <w:lastRenderedPageBreak/>
        <w:t xml:space="preserve">As </w:t>
      </w:r>
      <w:proofErr w:type="spellStart"/>
      <w:r w:rsidRPr="0025606B">
        <w:rPr>
          <w:color w:val="auto"/>
          <w:sz w:val="22"/>
          <w:szCs w:val="22"/>
          <w:lang w:val="en-US"/>
        </w:rPr>
        <w:t>cds</w:t>
      </w:r>
      <w:proofErr w:type="spellEnd"/>
      <w:r w:rsidRPr="0025606B">
        <w:rPr>
          <w:color w:val="auto"/>
          <w:sz w:val="22"/>
          <w:szCs w:val="22"/>
          <w:lang w:val="en-US"/>
        </w:rPr>
        <w:t xml:space="preserve"> was originated as an insurance against credit risk, the theoretical findings that particular country specific macro-economic variables determine the </w:t>
      </w:r>
      <w:proofErr w:type="spellStart"/>
      <w:r w:rsidRPr="0025606B">
        <w:rPr>
          <w:color w:val="auto"/>
          <w:sz w:val="22"/>
          <w:szCs w:val="22"/>
          <w:lang w:val="en-US"/>
        </w:rPr>
        <w:t>cds</w:t>
      </w:r>
      <w:proofErr w:type="spellEnd"/>
      <w:r w:rsidRPr="0025606B">
        <w:rPr>
          <w:color w:val="auto"/>
          <w:sz w:val="22"/>
          <w:szCs w:val="22"/>
          <w:lang w:val="en-US"/>
        </w:rPr>
        <w:t xml:space="preserve"> spreads is not surprising. Nevertheless, the observed degree of co-movement of the individual country </w:t>
      </w:r>
      <w:proofErr w:type="spellStart"/>
      <w:r w:rsidRPr="0025606B">
        <w:rPr>
          <w:color w:val="auto"/>
          <w:sz w:val="22"/>
          <w:szCs w:val="22"/>
          <w:lang w:val="en-US"/>
        </w:rPr>
        <w:t>cds</w:t>
      </w:r>
      <w:proofErr w:type="spellEnd"/>
      <w:r w:rsidRPr="0025606B">
        <w:rPr>
          <w:color w:val="auto"/>
          <w:sz w:val="22"/>
          <w:szCs w:val="22"/>
          <w:lang w:val="en-US"/>
        </w:rPr>
        <w:t xml:space="preserve"> spreads pave the way for researchers to identify the common factors(s) driving sovereign credit risk and to study the common variation in global sovereign </w:t>
      </w:r>
      <w:proofErr w:type="spellStart"/>
      <w:r w:rsidRPr="0025606B">
        <w:rPr>
          <w:color w:val="auto"/>
          <w:sz w:val="22"/>
          <w:szCs w:val="22"/>
          <w:lang w:val="en-US"/>
        </w:rPr>
        <w:t>cds</w:t>
      </w:r>
      <w:proofErr w:type="spellEnd"/>
      <w:r w:rsidRPr="0025606B">
        <w:rPr>
          <w:color w:val="auto"/>
          <w:sz w:val="22"/>
          <w:szCs w:val="22"/>
          <w:lang w:val="en-US"/>
        </w:rPr>
        <w:t xml:space="preserve"> spreads. The findings supporting the commonalities in credit spreads are summarized below:</w:t>
      </w:r>
    </w:p>
    <w:p w:rsidR="0025606B" w:rsidRPr="0025606B" w:rsidRDefault="0025606B" w:rsidP="0025606B">
      <w:pPr>
        <w:pStyle w:val="Default"/>
        <w:numPr>
          <w:ilvl w:val="0"/>
          <w:numId w:val="3"/>
        </w:numPr>
        <w:spacing w:after="120"/>
        <w:jc w:val="both"/>
        <w:rPr>
          <w:color w:val="auto"/>
          <w:sz w:val="22"/>
          <w:szCs w:val="22"/>
          <w:lang w:val="en-US"/>
        </w:rPr>
      </w:pPr>
      <w:r w:rsidRPr="0025606B">
        <w:rPr>
          <w:color w:val="auto"/>
          <w:sz w:val="22"/>
          <w:szCs w:val="22"/>
          <w:lang w:val="en-US"/>
        </w:rPr>
        <w:t xml:space="preserve">Spreads on sovereign bonds today co-move to a greater extent than they did historically as they are driven more by global events than country specific fundamentals.(Mauro, </w:t>
      </w:r>
      <w:proofErr w:type="spellStart"/>
      <w:r w:rsidRPr="0025606B">
        <w:rPr>
          <w:color w:val="auto"/>
          <w:sz w:val="22"/>
          <w:szCs w:val="22"/>
          <w:lang w:val="en-US"/>
        </w:rPr>
        <w:t>Sussman</w:t>
      </w:r>
      <w:proofErr w:type="spellEnd"/>
      <w:r w:rsidRPr="0025606B">
        <w:rPr>
          <w:color w:val="auto"/>
          <w:sz w:val="22"/>
          <w:szCs w:val="22"/>
          <w:lang w:val="en-US"/>
        </w:rPr>
        <w:t xml:space="preserve"> and  </w:t>
      </w:r>
      <w:proofErr w:type="spellStart"/>
      <w:r w:rsidRPr="0025606B">
        <w:rPr>
          <w:color w:val="auto"/>
          <w:sz w:val="22"/>
          <w:szCs w:val="22"/>
          <w:lang w:val="en-US"/>
        </w:rPr>
        <w:t>Yafeh</w:t>
      </w:r>
      <w:proofErr w:type="spellEnd"/>
      <w:r w:rsidRPr="0025606B">
        <w:rPr>
          <w:color w:val="auto"/>
          <w:sz w:val="22"/>
          <w:szCs w:val="22"/>
          <w:lang w:val="en-US"/>
        </w:rPr>
        <w:t xml:space="preserve"> 2002, p.703)</w:t>
      </w:r>
    </w:p>
    <w:p w:rsidR="0025606B" w:rsidRPr="0025606B" w:rsidRDefault="0025606B" w:rsidP="0025606B">
      <w:pPr>
        <w:pStyle w:val="Default"/>
        <w:numPr>
          <w:ilvl w:val="0"/>
          <w:numId w:val="3"/>
        </w:numPr>
        <w:spacing w:after="120"/>
        <w:jc w:val="both"/>
        <w:rPr>
          <w:color w:val="auto"/>
          <w:sz w:val="22"/>
          <w:szCs w:val="22"/>
          <w:lang w:val="en-US"/>
        </w:rPr>
      </w:pPr>
      <w:r w:rsidRPr="0025606B">
        <w:rPr>
          <w:color w:val="auto"/>
          <w:sz w:val="22"/>
          <w:szCs w:val="22"/>
          <w:lang w:val="en-US"/>
        </w:rPr>
        <w:t>The sources of credit risk for the emerging markets can be split into three elements: The first element, which is the least relevant, is the result of shocks through country-specific fundamentals. The second element is the result of global variables, such as US stock market returns and the slope of the US Treasury bond curve and the third and most important, element is the contribution of regional factors, such as a systematic component of the four stock markets, a systematic volatility component and investor sentiment.(</w:t>
      </w:r>
      <w:proofErr w:type="spellStart"/>
      <w:r w:rsidRPr="0025606B">
        <w:rPr>
          <w:color w:val="auto"/>
          <w:sz w:val="22"/>
          <w:szCs w:val="22"/>
          <w:lang w:val="en-US"/>
        </w:rPr>
        <w:t>Weigel</w:t>
      </w:r>
      <w:proofErr w:type="spellEnd"/>
      <w:r w:rsidRPr="0025606B">
        <w:rPr>
          <w:color w:val="auto"/>
          <w:sz w:val="22"/>
          <w:szCs w:val="22"/>
          <w:lang w:val="en-US"/>
        </w:rPr>
        <w:t xml:space="preserve"> and </w:t>
      </w:r>
      <w:proofErr w:type="spellStart"/>
      <w:r w:rsidRPr="0025606B">
        <w:rPr>
          <w:color w:val="auto"/>
          <w:sz w:val="22"/>
          <w:szCs w:val="22"/>
          <w:lang w:val="en-US"/>
        </w:rPr>
        <w:t>Gemmill</w:t>
      </w:r>
      <w:proofErr w:type="spellEnd"/>
      <w:r w:rsidRPr="0025606B">
        <w:rPr>
          <w:color w:val="auto"/>
          <w:sz w:val="22"/>
          <w:szCs w:val="22"/>
          <w:lang w:val="en-US"/>
        </w:rPr>
        <w:t xml:space="preserve"> 2006, p.497) </w:t>
      </w:r>
    </w:p>
    <w:p w:rsidR="0025606B" w:rsidRPr="0025606B" w:rsidRDefault="0025606B" w:rsidP="0025606B">
      <w:pPr>
        <w:pStyle w:val="Default"/>
        <w:numPr>
          <w:ilvl w:val="0"/>
          <w:numId w:val="3"/>
        </w:numPr>
        <w:spacing w:after="120"/>
        <w:jc w:val="both"/>
        <w:rPr>
          <w:color w:val="auto"/>
          <w:sz w:val="22"/>
          <w:szCs w:val="22"/>
          <w:lang w:val="en-US"/>
        </w:rPr>
      </w:pPr>
      <w:r w:rsidRPr="0025606B">
        <w:rPr>
          <w:color w:val="auto"/>
          <w:sz w:val="22"/>
          <w:szCs w:val="22"/>
          <w:lang w:val="en-US"/>
        </w:rPr>
        <w:t>Since the structural models of sovereign credit risk focus on country-specific factors in explaining the credit spread of sovereigns, they fail to capture aggregate market effects which  are important determinants of sovereign credit spreads (</w:t>
      </w:r>
      <w:proofErr w:type="spellStart"/>
      <w:r w:rsidRPr="0025606B">
        <w:rPr>
          <w:color w:val="auto"/>
          <w:sz w:val="22"/>
          <w:szCs w:val="22"/>
          <w:lang w:val="en-US"/>
        </w:rPr>
        <w:t>Westphalen</w:t>
      </w:r>
      <w:proofErr w:type="spellEnd"/>
      <w:r w:rsidRPr="0025606B">
        <w:rPr>
          <w:color w:val="auto"/>
          <w:sz w:val="22"/>
          <w:szCs w:val="22"/>
          <w:lang w:val="en-US"/>
        </w:rPr>
        <w:t xml:space="preserve"> 2001, p.20)</w:t>
      </w:r>
    </w:p>
    <w:p w:rsidR="0025606B" w:rsidRPr="0025606B" w:rsidRDefault="0025606B" w:rsidP="0025606B">
      <w:pPr>
        <w:pStyle w:val="Default"/>
        <w:numPr>
          <w:ilvl w:val="0"/>
          <w:numId w:val="3"/>
        </w:numPr>
        <w:spacing w:after="120"/>
        <w:jc w:val="both"/>
        <w:rPr>
          <w:color w:val="auto"/>
          <w:sz w:val="22"/>
          <w:szCs w:val="22"/>
          <w:lang w:val="en-US"/>
        </w:rPr>
      </w:pPr>
      <w:r w:rsidRPr="0025606B">
        <w:rPr>
          <w:color w:val="auto"/>
          <w:sz w:val="22"/>
          <w:szCs w:val="22"/>
          <w:lang w:val="en-US"/>
        </w:rPr>
        <w:t xml:space="preserve">A single common factor drives the common portion of variation in sovereign bond spreads for a sample of 15 emerging market countries (McGuire and  </w:t>
      </w:r>
      <w:proofErr w:type="spellStart"/>
      <w:r w:rsidRPr="0025606B">
        <w:rPr>
          <w:color w:val="auto"/>
          <w:sz w:val="22"/>
          <w:szCs w:val="22"/>
          <w:lang w:val="en-US"/>
        </w:rPr>
        <w:t>Schrijvers</w:t>
      </w:r>
      <w:proofErr w:type="spellEnd"/>
      <w:r w:rsidRPr="0025606B">
        <w:rPr>
          <w:color w:val="auto"/>
          <w:sz w:val="22"/>
          <w:szCs w:val="22"/>
          <w:lang w:val="en-US"/>
        </w:rPr>
        <w:t xml:space="preserve"> 2003, p.20)</w:t>
      </w:r>
    </w:p>
    <w:p w:rsidR="0025606B" w:rsidRPr="0025606B" w:rsidRDefault="0025606B" w:rsidP="0025606B">
      <w:pPr>
        <w:pStyle w:val="Default"/>
        <w:numPr>
          <w:ilvl w:val="0"/>
          <w:numId w:val="3"/>
        </w:numPr>
        <w:spacing w:after="120"/>
        <w:jc w:val="both"/>
        <w:rPr>
          <w:color w:val="auto"/>
          <w:sz w:val="22"/>
          <w:szCs w:val="22"/>
          <w:lang w:val="en-US"/>
        </w:rPr>
      </w:pPr>
      <w:r w:rsidRPr="0025606B">
        <w:rPr>
          <w:color w:val="auto"/>
          <w:sz w:val="22"/>
          <w:szCs w:val="22"/>
          <w:lang w:val="en-US"/>
        </w:rPr>
        <w:t>Sizeable common factor in the changes of emerging market spreads is related to international developments. (Garcia-</w:t>
      </w:r>
      <w:proofErr w:type="spellStart"/>
      <w:r w:rsidRPr="0025606B">
        <w:rPr>
          <w:color w:val="auto"/>
          <w:sz w:val="22"/>
          <w:szCs w:val="22"/>
          <w:lang w:val="en-US"/>
        </w:rPr>
        <w:t>Herrero</w:t>
      </w:r>
      <w:proofErr w:type="spellEnd"/>
      <w:r w:rsidRPr="0025606B">
        <w:rPr>
          <w:color w:val="auto"/>
          <w:sz w:val="22"/>
          <w:szCs w:val="22"/>
          <w:lang w:val="en-US"/>
        </w:rPr>
        <w:t xml:space="preserve"> and Ortiz 2007, p.150)</w:t>
      </w:r>
    </w:p>
    <w:p w:rsidR="0025606B" w:rsidRPr="0025606B" w:rsidRDefault="0025606B" w:rsidP="0025606B">
      <w:pPr>
        <w:pStyle w:val="Default"/>
        <w:numPr>
          <w:ilvl w:val="0"/>
          <w:numId w:val="3"/>
        </w:numPr>
        <w:spacing w:after="120"/>
        <w:jc w:val="both"/>
        <w:rPr>
          <w:color w:val="auto"/>
          <w:sz w:val="22"/>
          <w:szCs w:val="22"/>
          <w:lang w:val="en-US"/>
        </w:rPr>
      </w:pPr>
      <w:r w:rsidRPr="0025606B">
        <w:rPr>
          <w:color w:val="auto"/>
          <w:sz w:val="22"/>
          <w:szCs w:val="22"/>
          <w:lang w:val="en-US"/>
        </w:rPr>
        <w:t xml:space="preserve">Liquidity, solvency and economic stability variables significantly affect the market premium of country risk as reflected in the </w:t>
      </w:r>
      <w:proofErr w:type="spellStart"/>
      <w:r w:rsidRPr="0025606B">
        <w:rPr>
          <w:color w:val="auto"/>
          <w:sz w:val="22"/>
          <w:szCs w:val="22"/>
          <w:lang w:val="en-US"/>
        </w:rPr>
        <w:t>cds</w:t>
      </w:r>
      <w:proofErr w:type="spellEnd"/>
      <w:r w:rsidRPr="0025606B">
        <w:rPr>
          <w:color w:val="auto"/>
          <w:sz w:val="22"/>
          <w:szCs w:val="22"/>
          <w:lang w:val="en-US"/>
        </w:rPr>
        <w:t xml:space="preserve"> spreads. (</w:t>
      </w:r>
      <w:r w:rsidRPr="0025606B">
        <w:rPr>
          <w:rStyle w:val="DipnotBavurusu"/>
          <w:color w:val="auto"/>
          <w:sz w:val="22"/>
          <w:szCs w:val="22"/>
          <w:lang w:val="en-US"/>
        </w:rPr>
        <w:t xml:space="preserve"> </w:t>
      </w:r>
      <w:proofErr w:type="spellStart"/>
      <w:r w:rsidRPr="0025606B">
        <w:rPr>
          <w:color w:val="auto"/>
          <w:sz w:val="22"/>
          <w:szCs w:val="22"/>
          <w:lang w:val="en-US"/>
        </w:rPr>
        <w:t>Baek</w:t>
      </w:r>
      <w:proofErr w:type="spellEnd"/>
      <w:r w:rsidRPr="0025606B">
        <w:rPr>
          <w:color w:val="auto"/>
          <w:sz w:val="22"/>
          <w:szCs w:val="22"/>
          <w:lang w:val="en-US"/>
        </w:rPr>
        <w:t xml:space="preserve">, </w:t>
      </w:r>
      <w:proofErr w:type="spellStart"/>
      <w:r w:rsidRPr="0025606B">
        <w:rPr>
          <w:color w:val="auto"/>
          <w:sz w:val="22"/>
          <w:szCs w:val="22"/>
          <w:lang w:val="en-US"/>
        </w:rPr>
        <w:t>Bandopadhyaya</w:t>
      </w:r>
      <w:proofErr w:type="spellEnd"/>
      <w:r w:rsidRPr="0025606B">
        <w:rPr>
          <w:color w:val="auto"/>
          <w:sz w:val="22"/>
          <w:szCs w:val="22"/>
          <w:lang w:val="en-US"/>
        </w:rPr>
        <w:t xml:space="preserve"> and Du 2005,p.547)</w:t>
      </w:r>
    </w:p>
    <w:p w:rsidR="0025606B" w:rsidRPr="0025606B" w:rsidRDefault="0025606B" w:rsidP="0025606B">
      <w:pPr>
        <w:pStyle w:val="Default"/>
        <w:numPr>
          <w:ilvl w:val="0"/>
          <w:numId w:val="3"/>
        </w:numPr>
        <w:spacing w:after="120"/>
        <w:jc w:val="both"/>
        <w:rPr>
          <w:color w:val="auto"/>
          <w:sz w:val="22"/>
          <w:szCs w:val="22"/>
          <w:lang w:val="en-US"/>
        </w:rPr>
      </w:pPr>
      <w:r w:rsidRPr="0025606B">
        <w:rPr>
          <w:color w:val="auto"/>
          <w:sz w:val="22"/>
          <w:szCs w:val="22"/>
          <w:lang w:val="en-US"/>
        </w:rPr>
        <w:t>The credit spreads for Mexico, Turkey and Korea share a strong common relation to US stock market volatility as measured by the VIX index.( Pan and Singleton 2008, p.2380)</w:t>
      </w:r>
    </w:p>
    <w:p w:rsidR="0025606B" w:rsidRPr="0025606B" w:rsidRDefault="0025606B" w:rsidP="0025606B">
      <w:pPr>
        <w:pStyle w:val="Default"/>
        <w:numPr>
          <w:ilvl w:val="0"/>
          <w:numId w:val="3"/>
        </w:numPr>
        <w:spacing w:after="120"/>
        <w:jc w:val="both"/>
        <w:rPr>
          <w:color w:val="auto"/>
          <w:sz w:val="22"/>
          <w:szCs w:val="22"/>
          <w:lang w:val="en-US"/>
        </w:rPr>
      </w:pPr>
      <w:r w:rsidRPr="0025606B">
        <w:rPr>
          <w:color w:val="auto"/>
          <w:sz w:val="22"/>
          <w:szCs w:val="22"/>
          <w:lang w:val="en-US"/>
        </w:rPr>
        <w:t xml:space="preserve">The distance-to-default is largely driven by systematic global and regional factors, so investors should treat the credit risk of these emerging markets as </w:t>
      </w:r>
      <w:proofErr w:type="spellStart"/>
      <w:r w:rsidRPr="0025606B">
        <w:rPr>
          <w:color w:val="auto"/>
          <w:sz w:val="22"/>
          <w:szCs w:val="22"/>
          <w:lang w:val="en-US"/>
        </w:rPr>
        <w:t>nondiversifiable</w:t>
      </w:r>
      <w:proofErr w:type="spellEnd"/>
      <w:r w:rsidRPr="0025606B">
        <w:rPr>
          <w:color w:val="auto"/>
          <w:sz w:val="22"/>
          <w:szCs w:val="22"/>
          <w:lang w:val="en-US"/>
        </w:rPr>
        <w:t xml:space="preserve">. ( </w:t>
      </w:r>
      <w:proofErr w:type="spellStart"/>
      <w:r w:rsidRPr="0025606B">
        <w:rPr>
          <w:color w:val="auto"/>
          <w:sz w:val="22"/>
          <w:szCs w:val="22"/>
          <w:lang w:val="en-US"/>
        </w:rPr>
        <w:t>Weigel</w:t>
      </w:r>
      <w:proofErr w:type="spellEnd"/>
      <w:r w:rsidRPr="0025606B">
        <w:rPr>
          <w:color w:val="auto"/>
          <w:sz w:val="22"/>
          <w:szCs w:val="22"/>
          <w:lang w:val="en-US"/>
        </w:rPr>
        <w:t xml:space="preserve"> and </w:t>
      </w:r>
      <w:proofErr w:type="spellStart"/>
      <w:r w:rsidRPr="0025606B">
        <w:rPr>
          <w:color w:val="auto"/>
          <w:sz w:val="22"/>
          <w:szCs w:val="22"/>
          <w:lang w:val="en-US"/>
        </w:rPr>
        <w:t>Gemmill</w:t>
      </w:r>
      <w:proofErr w:type="spellEnd"/>
      <w:r w:rsidRPr="0025606B">
        <w:rPr>
          <w:color w:val="auto"/>
          <w:sz w:val="22"/>
          <w:szCs w:val="22"/>
          <w:lang w:val="en-US"/>
        </w:rPr>
        <w:t xml:space="preserve"> 2006, p.490)</w:t>
      </w:r>
    </w:p>
    <w:p w:rsidR="0025606B" w:rsidRPr="0025606B" w:rsidRDefault="0025606B" w:rsidP="0025606B">
      <w:pPr>
        <w:autoSpaceDE w:val="0"/>
        <w:autoSpaceDN w:val="0"/>
        <w:adjustRightInd w:val="0"/>
        <w:spacing w:after="120"/>
        <w:jc w:val="both"/>
        <w:rPr>
          <w:rFonts w:eastAsia="CMR10"/>
          <w:lang w:val="en-US"/>
        </w:rPr>
      </w:pPr>
      <w:r w:rsidRPr="0025606B">
        <w:rPr>
          <w:lang w:val="en-US"/>
        </w:rPr>
        <w:t xml:space="preserve">The research of </w:t>
      </w:r>
      <w:proofErr w:type="spellStart"/>
      <w:r w:rsidRPr="0025606B">
        <w:rPr>
          <w:lang w:val="en-US"/>
        </w:rPr>
        <w:t>Longstaff</w:t>
      </w:r>
      <w:proofErr w:type="spellEnd"/>
      <w:r w:rsidRPr="0025606B">
        <w:rPr>
          <w:lang w:val="en-US"/>
        </w:rPr>
        <w:t xml:space="preserve"> and friends (2011) stipulates that </w:t>
      </w:r>
      <w:r w:rsidRPr="0025606B">
        <w:rPr>
          <w:rFonts w:eastAsia="CMR10"/>
          <w:lang w:val="en-US"/>
        </w:rPr>
        <w:t xml:space="preserve">sovereign credit risk is driven much more by global financial market variables and global risk </w:t>
      </w:r>
      <w:proofErr w:type="spellStart"/>
      <w:r w:rsidRPr="0025606B">
        <w:rPr>
          <w:rFonts w:eastAsia="CMR10"/>
          <w:lang w:val="en-US"/>
        </w:rPr>
        <w:t>premia</w:t>
      </w:r>
      <w:proofErr w:type="spellEnd"/>
      <w:r w:rsidRPr="0025606B">
        <w:rPr>
          <w:rFonts w:eastAsia="CMR10"/>
          <w:lang w:val="en-US"/>
        </w:rPr>
        <w:t xml:space="preserve"> than by local economic forces. This dependence on common global factors such as U.S. stock market returns and high-yield spread changes induces significant correlation into the credit spreads of a broad cross-section of sovereign nations. After inclusion of the data of crisis time of 2008 and 2009, they went one step further and determined that both the risk-premium and default-risk components of </w:t>
      </w:r>
      <w:proofErr w:type="spellStart"/>
      <w:r w:rsidRPr="0025606B">
        <w:rPr>
          <w:rFonts w:eastAsia="CMR10"/>
          <w:lang w:val="en-US"/>
        </w:rPr>
        <w:t>cds</w:t>
      </w:r>
      <w:proofErr w:type="spellEnd"/>
      <w:r w:rsidRPr="0025606B">
        <w:rPr>
          <w:rFonts w:eastAsia="CMR10"/>
          <w:lang w:val="en-US"/>
        </w:rPr>
        <w:t xml:space="preserve"> spreads are strongly related to global macroeconomic factors. </w:t>
      </w:r>
    </w:p>
    <w:p w:rsidR="0025606B" w:rsidRPr="0025606B" w:rsidRDefault="0025606B" w:rsidP="0025606B">
      <w:pPr>
        <w:spacing w:after="120"/>
        <w:jc w:val="both"/>
        <w:rPr>
          <w:rFonts w:eastAsia="CMR10"/>
          <w:lang w:val="en-US"/>
        </w:rPr>
      </w:pPr>
      <w:r w:rsidRPr="0025606B">
        <w:rPr>
          <w:lang w:val="en-US"/>
        </w:rPr>
        <w:t xml:space="preserve">Another update research on systemic sovereign credit risk as reflected in the </w:t>
      </w:r>
      <w:proofErr w:type="spellStart"/>
      <w:r w:rsidRPr="0025606B">
        <w:rPr>
          <w:lang w:val="en-US"/>
        </w:rPr>
        <w:t>cds</w:t>
      </w:r>
      <w:proofErr w:type="spellEnd"/>
      <w:r w:rsidRPr="0025606B">
        <w:rPr>
          <w:lang w:val="en-US"/>
        </w:rPr>
        <w:t xml:space="preserve"> spreads are done through comparing the credit risk components of the US and Europe member countries and resulted with interesting findings. (</w:t>
      </w:r>
      <w:proofErr w:type="spellStart"/>
      <w:r w:rsidR="00006B4A">
        <w:fldChar w:fldCharType="begin"/>
      </w:r>
      <w:r w:rsidR="00006B4A">
        <w:instrText xml:space="preserve"> HYPERLINK "http://www.nber.org/people/andrew_ang" </w:instrText>
      </w:r>
      <w:r w:rsidR="00006B4A">
        <w:fldChar w:fldCharType="separate"/>
      </w:r>
      <w:r w:rsidRPr="0025606B">
        <w:rPr>
          <w:rStyle w:val="Kpr"/>
          <w:bCs/>
          <w:lang w:val="en-US"/>
        </w:rPr>
        <w:t>Ang</w:t>
      </w:r>
      <w:proofErr w:type="spellEnd"/>
      <w:r w:rsidR="00006B4A">
        <w:rPr>
          <w:rStyle w:val="Kpr"/>
          <w:bCs/>
          <w:lang w:val="en-US"/>
        </w:rPr>
        <w:fldChar w:fldCharType="end"/>
      </w:r>
      <w:r w:rsidRPr="0025606B">
        <w:rPr>
          <w:rStyle w:val="Kpr"/>
          <w:bCs/>
          <w:lang w:val="en-US"/>
        </w:rPr>
        <w:t xml:space="preserve"> and </w:t>
      </w:r>
      <w:hyperlink r:id="rId9" w:history="1">
        <w:proofErr w:type="spellStart"/>
        <w:r w:rsidRPr="0025606B">
          <w:rPr>
            <w:rStyle w:val="Kpr"/>
            <w:bCs/>
            <w:lang w:val="en-US"/>
          </w:rPr>
          <w:t>Longstaff</w:t>
        </w:r>
        <w:proofErr w:type="spellEnd"/>
      </w:hyperlink>
      <w:r w:rsidRPr="0025606B">
        <w:rPr>
          <w:rStyle w:val="Kpr"/>
          <w:bCs/>
          <w:lang w:val="en-US"/>
        </w:rPr>
        <w:t xml:space="preserve"> 2011)</w:t>
      </w:r>
      <w:r w:rsidRPr="0025606B">
        <w:rPr>
          <w:lang w:val="en-US"/>
        </w:rPr>
        <w:t xml:space="preserve"> </w:t>
      </w:r>
      <w:r w:rsidRPr="0025606B">
        <w:rPr>
          <w:rFonts w:eastAsia="CMR10"/>
          <w:lang w:val="en-US"/>
        </w:rPr>
        <w:t xml:space="preserve">Using a multifactor affine credit model, the sovereign credit risk was decomposed into a systemic component and a sovereign-specific component and it is found that the systemic risk represents a much smaller fraction of total credit risk for US states than is the case for members of the EMU although the reverse was expected. </w:t>
      </w:r>
    </w:p>
    <w:p w:rsidR="0025606B" w:rsidRPr="0025606B" w:rsidRDefault="0025606B" w:rsidP="0025606B">
      <w:pPr>
        <w:spacing w:after="120"/>
        <w:jc w:val="both"/>
        <w:rPr>
          <w:lang w:val="en-US"/>
        </w:rPr>
      </w:pPr>
      <w:r w:rsidRPr="0025606B">
        <w:rPr>
          <w:rFonts w:eastAsia="CMR10"/>
          <w:lang w:val="en-US"/>
        </w:rPr>
        <w:t xml:space="preserve">The commonality in sovereign </w:t>
      </w:r>
      <w:proofErr w:type="spellStart"/>
      <w:r w:rsidRPr="0025606B">
        <w:rPr>
          <w:rFonts w:eastAsia="CMR10"/>
          <w:lang w:val="en-US"/>
        </w:rPr>
        <w:t>cds</w:t>
      </w:r>
      <w:proofErr w:type="spellEnd"/>
      <w:r w:rsidRPr="0025606B">
        <w:rPr>
          <w:rFonts w:eastAsia="CMR10"/>
          <w:lang w:val="en-US"/>
        </w:rPr>
        <w:t xml:space="preserve"> spreads was also elaborated on a consumption based framework and </w:t>
      </w:r>
      <w:r w:rsidRPr="0025606B">
        <w:rPr>
          <w:lang w:val="en-US"/>
        </w:rPr>
        <w:t xml:space="preserve">the role of US consumption forecasts and volatility in explaining sovereign </w:t>
      </w:r>
      <w:proofErr w:type="spellStart"/>
      <w:r w:rsidRPr="0025606B">
        <w:rPr>
          <w:lang w:val="en-US"/>
        </w:rPr>
        <w:lastRenderedPageBreak/>
        <w:t>cds</w:t>
      </w:r>
      <w:proofErr w:type="spellEnd"/>
      <w:r w:rsidRPr="0025606B">
        <w:rPr>
          <w:lang w:val="en-US"/>
        </w:rPr>
        <w:t xml:space="preserve"> was investigated.(</w:t>
      </w:r>
      <w:proofErr w:type="spellStart"/>
      <w:r w:rsidRPr="0025606B">
        <w:rPr>
          <w:lang w:val="en-US"/>
        </w:rPr>
        <w:t>Augustin</w:t>
      </w:r>
      <w:proofErr w:type="spellEnd"/>
      <w:r w:rsidRPr="0025606B">
        <w:rPr>
          <w:lang w:val="en-US"/>
        </w:rPr>
        <w:t xml:space="preserve"> and  </w:t>
      </w:r>
      <w:proofErr w:type="spellStart"/>
      <w:r w:rsidRPr="0025606B">
        <w:rPr>
          <w:lang w:val="en-US"/>
        </w:rPr>
        <w:t>Tedongap</w:t>
      </w:r>
      <w:proofErr w:type="spellEnd"/>
      <w:r w:rsidRPr="0025606B">
        <w:rPr>
          <w:lang w:val="en-US"/>
        </w:rPr>
        <w:t xml:space="preserve"> 2011) The findings suggest that sovereign credit risk is priced globally rather than locally, consistent with previous literature.</w:t>
      </w:r>
    </w:p>
    <w:p w:rsidR="0025606B" w:rsidRPr="0025606B" w:rsidRDefault="0025606B" w:rsidP="0025606B">
      <w:pPr>
        <w:spacing w:after="120"/>
        <w:jc w:val="both"/>
        <w:rPr>
          <w:lang w:val="en-US"/>
        </w:rPr>
      </w:pPr>
    </w:p>
    <w:p w:rsidR="0025606B" w:rsidRPr="0025606B" w:rsidRDefault="0025606B" w:rsidP="0025606B">
      <w:pPr>
        <w:pStyle w:val="Balk1"/>
        <w:numPr>
          <w:ilvl w:val="0"/>
          <w:numId w:val="0"/>
        </w:numPr>
        <w:spacing w:before="0" w:after="120" w:line="240" w:lineRule="auto"/>
        <w:jc w:val="both"/>
        <w:rPr>
          <w:rFonts w:cs="Times New Roman"/>
          <w:szCs w:val="22"/>
          <w:lang w:val="en-US"/>
        </w:rPr>
      </w:pPr>
      <w:r w:rsidRPr="0025606B">
        <w:rPr>
          <w:rFonts w:cs="Times New Roman"/>
          <w:szCs w:val="22"/>
          <w:lang w:val="en-US"/>
        </w:rPr>
        <w:t>The Data</w:t>
      </w:r>
    </w:p>
    <w:p w:rsidR="0025606B" w:rsidRPr="0025606B" w:rsidRDefault="0025606B" w:rsidP="0025606B">
      <w:pPr>
        <w:rPr>
          <w:lang w:val="en-US"/>
        </w:rPr>
      </w:pPr>
    </w:p>
    <w:p w:rsidR="0025606B" w:rsidRPr="0025606B" w:rsidRDefault="0025606B" w:rsidP="0025606B">
      <w:pPr>
        <w:spacing w:after="120"/>
        <w:jc w:val="both"/>
        <w:rPr>
          <w:lang w:val="en-US"/>
        </w:rPr>
      </w:pPr>
      <w:r w:rsidRPr="0025606B">
        <w:rPr>
          <w:lang w:val="en-US"/>
        </w:rPr>
        <w:t xml:space="preserve">The data used in this study is monthly US Dollar denominated </w:t>
      </w:r>
      <w:proofErr w:type="spellStart"/>
      <w:r w:rsidRPr="0025606B">
        <w:rPr>
          <w:lang w:val="en-US"/>
        </w:rPr>
        <w:t>cds</w:t>
      </w:r>
      <w:proofErr w:type="spellEnd"/>
      <w:r w:rsidRPr="0025606B">
        <w:rPr>
          <w:lang w:val="en-US"/>
        </w:rPr>
        <w:t xml:space="preserve"> spreads of the selected countries, namely Turkey, Brazil, Russia, Korea, Greece and Spain with 5 year maturity. 5 year is selected as the relevant maturity in order to better address the reflections of the changes in sovereign default risk to </w:t>
      </w:r>
      <w:proofErr w:type="spellStart"/>
      <w:r w:rsidRPr="0025606B">
        <w:rPr>
          <w:lang w:val="en-US"/>
        </w:rPr>
        <w:t>cds</w:t>
      </w:r>
      <w:proofErr w:type="spellEnd"/>
      <w:r w:rsidRPr="0025606B">
        <w:rPr>
          <w:lang w:val="en-US"/>
        </w:rPr>
        <w:t xml:space="preserve"> </w:t>
      </w:r>
      <w:proofErr w:type="spellStart"/>
      <w:r w:rsidRPr="0025606B">
        <w:rPr>
          <w:lang w:val="en-US"/>
        </w:rPr>
        <w:t>premia</w:t>
      </w:r>
      <w:proofErr w:type="spellEnd"/>
      <w:r w:rsidRPr="0025606B">
        <w:rPr>
          <w:lang w:val="en-US"/>
        </w:rPr>
        <w:t xml:space="preserve"> as 5 years is accepted as the most representative maturity by the market players with regards to its liquidity.</w:t>
      </w:r>
    </w:p>
    <w:p w:rsidR="0025606B" w:rsidRPr="0025606B" w:rsidRDefault="0025606B" w:rsidP="0025606B">
      <w:pPr>
        <w:spacing w:after="120"/>
        <w:jc w:val="both"/>
        <w:rPr>
          <w:lang w:val="en-US"/>
        </w:rPr>
      </w:pPr>
      <w:r w:rsidRPr="0025606B">
        <w:rPr>
          <w:lang w:val="en-US"/>
        </w:rPr>
        <w:t xml:space="preserve">The sample period is from May 2005 to June 2012, this period is selected because of the availability of the data not only of </w:t>
      </w:r>
      <w:proofErr w:type="spellStart"/>
      <w:r w:rsidRPr="0025606B">
        <w:rPr>
          <w:lang w:val="en-US"/>
        </w:rPr>
        <w:t>cds</w:t>
      </w:r>
      <w:proofErr w:type="spellEnd"/>
      <w:r w:rsidRPr="0025606B">
        <w:rPr>
          <w:lang w:val="en-US"/>
        </w:rPr>
        <w:t xml:space="preserve"> spreads but also other country specific and global macroeconomic and financial factors. All of the data is gathered from </w:t>
      </w:r>
      <w:proofErr w:type="spellStart"/>
      <w:r w:rsidRPr="0025606B">
        <w:rPr>
          <w:lang w:val="en-US"/>
        </w:rPr>
        <w:t>Datastream</w:t>
      </w:r>
      <w:proofErr w:type="spellEnd"/>
      <w:r w:rsidRPr="0025606B">
        <w:rPr>
          <w:lang w:val="en-US"/>
        </w:rPr>
        <w:t xml:space="preserve">. All </w:t>
      </w:r>
      <w:proofErr w:type="spellStart"/>
      <w:r w:rsidRPr="0025606B">
        <w:rPr>
          <w:lang w:val="en-US"/>
        </w:rPr>
        <w:t>cds</w:t>
      </w:r>
      <w:proofErr w:type="spellEnd"/>
      <w:r w:rsidRPr="0025606B">
        <w:rPr>
          <w:lang w:val="en-US"/>
        </w:rPr>
        <w:t xml:space="preserve"> spreads are quoted in basis point (bps) and Table 1 provides summary information about the sovereign spreads. </w:t>
      </w:r>
    </w:p>
    <w:p w:rsidR="0025606B" w:rsidRPr="0025606B" w:rsidRDefault="0025606B" w:rsidP="0025606B">
      <w:pPr>
        <w:spacing w:after="120"/>
        <w:jc w:val="both"/>
        <w:rPr>
          <w:lang w:val="en-US"/>
        </w:rPr>
      </w:pPr>
      <w:r w:rsidRPr="0025606B">
        <w:rPr>
          <w:lang w:val="en-US"/>
        </w:rPr>
        <w:t xml:space="preserve">Table 1 clearly reveals the situation of </w:t>
      </w:r>
      <w:proofErr w:type="spellStart"/>
      <w:r w:rsidRPr="0025606B">
        <w:rPr>
          <w:lang w:val="en-US"/>
        </w:rPr>
        <w:t>cds</w:t>
      </w:r>
      <w:proofErr w:type="spellEnd"/>
      <w:r w:rsidRPr="0025606B">
        <w:rPr>
          <w:lang w:val="en-US"/>
        </w:rPr>
        <w:t xml:space="preserve"> spreads when default probability increases, as in Greece. The min and max values of </w:t>
      </w:r>
      <w:proofErr w:type="spellStart"/>
      <w:r w:rsidRPr="0025606B">
        <w:rPr>
          <w:lang w:val="en-US"/>
        </w:rPr>
        <w:t>cds</w:t>
      </w:r>
      <w:proofErr w:type="spellEnd"/>
      <w:r w:rsidRPr="0025606B">
        <w:rPr>
          <w:lang w:val="en-US"/>
        </w:rPr>
        <w:t xml:space="preserve"> spreads of Greece diverge considerably while the standard deviation shows great variance. The second highest vulnerable country seems as Russia as reflected in standard deviation, followed by Spain. The most stable </w:t>
      </w:r>
      <w:proofErr w:type="spellStart"/>
      <w:r w:rsidRPr="0025606B">
        <w:rPr>
          <w:lang w:val="en-US"/>
        </w:rPr>
        <w:t>cds</w:t>
      </w:r>
      <w:proofErr w:type="spellEnd"/>
      <w:r w:rsidRPr="0025606B">
        <w:rPr>
          <w:lang w:val="en-US"/>
        </w:rPr>
        <w:t xml:space="preserve"> spread movements belongs to Korea that was prepared to deal with new crisis after 1997-1998 crisis in terms of foreign reserves, improved financial structures of firms and banks, relatively mild house price hikes, and the sound government budget, as well as the foreign exchange policy that honored market forces, the monetary policy that stabilizes domestic economy, and the fiscal policy that was carried out on time. (Cho 2010, p.21)</w:t>
      </w:r>
    </w:p>
    <w:p w:rsidR="0025606B" w:rsidRPr="0025606B" w:rsidRDefault="0025606B" w:rsidP="0025606B">
      <w:pPr>
        <w:spacing w:after="120"/>
        <w:jc w:val="both"/>
        <w:rPr>
          <w:lang w:val="en-US"/>
        </w:rPr>
      </w:pPr>
    </w:p>
    <w:p w:rsidR="0025606B" w:rsidRPr="0025606B" w:rsidRDefault="0025606B" w:rsidP="0025606B">
      <w:pPr>
        <w:pStyle w:val="Balk1"/>
        <w:numPr>
          <w:ilvl w:val="0"/>
          <w:numId w:val="0"/>
        </w:numPr>
        <w:spacing w:before="0" w:after="120" w:line="240" w:lineRule="auto"/>
        <w:ind w:left="357" w:hanging="357"/>
        <w:jc w:val="both"/>
        <w:rPr>
          <w:rFonts w:cs="Times New Roman"/>
          <w:szCs w:val="22"/>
          <w:lang w:val="en-US"/>
        </w:rPr>
      </w:pPr>
      <w:r w:rsidRPr="0025606B">
        <w:rPr>
          <w:rFonts w:cs="Times New Roman"/>
          <w:szCs w:val="22"/>
          <w:lang w:val="en-US"/>
        </w:rPr>
        <w:t>Correlations and Principal Component Analysis</w:t>
      </w:r>
    </w:p>
    <w:p w:rsidR="0025606B" w:rsidRPr="0025606B" w:rsidRDefault="0025606B" w:rsidP="0025606B">
      <w:pPr>
        <w:rPr>
          <w:lang w:val="en-US"/>
        </w:rPr>
      </w:pPr>
    </w:p>
    <w:p w:rsidR="0025606B" w:rsidRPr="0025606B" w:rsidRDefault="0025606B" w:rsidP="0025606B">
      <w:pPr>
        <w:autoSpaceDE w:val="0"/>
        <w:autoSpaceDN w:val="0"/>
        <w:adjustRightInd w:val="0"/>
        <w:spacing w:after="120"/>
        <w:jc w:val="both"/>
        <w:rPr>
          <w:iCs/>
          <w:lang w:val="en-US"/>
        </w:rPr>
      </w:pPr>
      <w:r w:rsidRPr="0025606B">
        <w:rPr>
          <w:iCs/>
          <w:lang w:val="en-US"/>
        </w:rPr>
        <w:t xml:space="preserve">There exist many different views and definitions about the credit risk but it is widely accepted that credit risk consist of two components: the default risk and the spread risk. The default risk is relevant with the non-compliance of the borrower to the legal, financial and operational obligations covered and so, more related with the documentation-related aspect of a transaction creating exposure. The other component is the spread risk and it is relevant with the market value of the contract when the credit quality of the borrower changes. Reflecting this definition of the credit risk to the definition of </w:t>
      </w:r>
      <w:proofErr w:type="spellStart"/>
      <w:r w:rsidRPr="0025606B">
        <w:rPr>
          <w:iCs/>
          <w:lang w:val="en-US"/>
        </w:rPr>
        <w:t>cds</w:t>
      </w:r>
      <w:proofErr w:type="spellEnd"/>
      <w:r w:rsidRPr="0025606B">
        <w:rPr>
          <w:iCs/>
          <w:lang w:val="en-US"/>
        </w:rPr>
        <w:t xml:space="preserve"> spreads, the decomposition generally clarifies the possible risk factors that may have affect. The magnitude of the default risk component is determined by the factors affecting the probability of the default of the specific entity, sovereign in our analysis, or from a different terminology the arrival rate of default which is highly country-specific. On the other hand, the second component, spread risk is clearly relevant with the market conditions affecting all other transactions such as liquidity in the markets, risk appetite etc. In this framework, the market related component of credit risk is applicable to all </w:t>
      </w:r>
      <w:proofErr w:type="spellStart"/>
      <w:r w:rsidRPr="0025606B">
        <w:rPr>
          <w:iCs/>
          <w:lang w:val="en-US"/>
        </w:rPr>
        <w:t>cds</w:t>
      </w:r>
      <w:proofErr w:type="spellEnd"/>
      <w:r w:rsidRPr="0025606B">
        <w:rPr>
          <w:iCs/>
          <w:lang w:val="en-US"/>
        </w:rPr>
        <w:t xml:space="preserve"> transactions especially the sovereign </w:t>
      </w:r>
      <w:proofErr w:type="spellStart"/>
      <w:r w:rsidRPr="0025606B">
        <w:rPr>
          <w:iCs/>
          <w:lang w:val="en-US"/>
        </w:rPr>
        <w:t>cds</w:t>
      </w:r>
      <w:proofErr w:type="spellEnd"/>
      <w:r w:rsidRPr="0025606B">
        <w:rPr>
          <w:iCs/>
          <w:lang w:val="en-US"/>
        </w:rPr>
        <w:t xml:space="preserve"> where sovereigns are from the same market segment such as emerging markets so co-movement in the </w:t>
      </w:r>
      <w:proofErr w:type="spellStart"/>
      <w:r w:rsidRPr="0025606B">
        <w:rPr>
          <w:iCs/>
          <w:lang w:val="en-US"/>
        </w:rPr>
        <w:t>cds</w:t>
      </w:r>
      <w:proofErr w:type="spellEnd"/>
      <w:r w:rsidRPr="0025606B">
        <w:rPr>
          <w:iCs/>
          <w:lang w:val="en-US"/>
        </w:rPr>
        <w:t xml:space="preserve"> spreads of the sovereigns must not be surprising.</w:t>
      </w:r>
    </w:p>
    <w:p w:rsidR="0025606B" w:rsidRPr="0025606B" w:rsidRDefault="0025606B" w:rsidP="0025606B">
      <w:pPr>
        <w:spacing w:after="120"/>
        <w:jc w:val="both"/>
        <w:rPr>
          <w:lang w:val="en-US"/>
        </w:rPr>
      </w:pPr>
      <w:r w:rsidRPr="0025606B">
        <w:rPr>
          <w:lang w:val="en-US"/>
        </w:rPr>
        <w:t xml:space="preserve">It is accepted that the financial market conditions do affect the </w:t>
      </w:r>
      <w:proofErr w:type="spellStart"/>
      <w:r w:rsidRPr="0025606B">
        <w:rPr>
          <w:lang w:val="en-US"/>
        </w:rPr>
        <w:t>cds</w:t>
      </w:r>
      <w:proofErr w:type="spellEnd"/>
      <w:r w:rsidRPr="0025606B">
        <w:rPr>
          <w:lang w:val="en-US"/>
        </w:rPr>
        <w:t xml:space="preserve"> spreads of the sovereigns and this, probably, creates some degree of commonality which can be measured </w:t>
      </w:r>
      <w:r w:rsidRPr="0025606B">
        <w:rPr>
          <w:lang w:val="en-US"/>
        </w:rPr>
        <w:lastRenderedPageBreak/>
        <w:t xml:space="preserve">by the correlation between the individual sovereign </w:t>
      </w:r>
      <w:proofErr w:type="spellStart"/>
      <w:r w:rsidRPr="0025606B">
        <w:rPr>
          <w:lang w:val="en-US"/>
        </w:rPr>
        <w:t>cds</w:t>
      </w:r>
      <w:proofErr w:type="spellEnd"/>
      <w:r w:rsidRPr="0025606B">
        <w:rPr>
          <w:lang w:val="en-US"/>
        </w:rPr>
        <w:t xml:space="preserve"> spreads. The commonality is originated from some principal factors which can be measured by principal component analysis. The proposed co-movement of the </w:t>
      </w:r>
      <w:proofErr w:type="spellStart"/>
      <w:r w:rsidRPr="0025606B">
        <w:rPr>
          <w:lang w:val="en-US"/>
        </w:rPr>
        <w:t>cds</w:t>
      </w:r>
      <w:proofErr w:type="spellEnd"/>
      <w:r w:rsidRPr="0025606B">
        <w:rPr>
          <w:lang w:val="en-US"/>
        </w:rPr>
        <w:t xml:space="preserve"> spreads reveals itself on the correlation for the counties and Table 2 shows the pair-wise correlations of the </w:t>
      </w:r>
      <w:proofErr w:type="spellStart"/>
      <w:r w:rsidRPr="0025606B">
        <w:rPr>
          <w:lang w:val="en-US"/>
        </w:rPr>
        <w:t>cds</w:t>
      </w:r>
      <w:proofErr w:type="spellEnd"/>
      <w:r w:rsidRPr="0025606B">
        <w:rPr>
          <w:lang w:val="en-US"/>
        </w:rPr>
        <w:t xml:space="preserve"> spread changes of the selected countries. It is seen that Greece and Spain considerably diverged from other four countries whereas the other four countries have very high correlations between themselves.  Table 3 indicates support to the idea that in crisis time the co-movement between the individual country </w:t>
      </w:r>
      <w:proofErr w:type="spellStart"/>
      <w:r w:rsidRPr="0025606B">
        <w:rPr>
          <w:lang w:val="en-US"/>
        </w:rPr>
        <w:t>cds</w:t>
      </w:r>
      <w:proofErr w:type="spellEnd"/>
      <w:r w:rsidRPr="0025606B">
        <w:rPr>
          <w:lang w:val="en-US"/>
        </w:rPr>
        <w:t xml:space="preserve"> spread changes increases. September 2008 is defined as the beginning of the crisis time and the pairwise correlations are calculated by using the data before and after that period. For all of the pair of sovereigns, the correlation increased. The highest increase is realized in the correlations of the Spain with other countries, reflecting the co-movement further.</w:t>
      </w:r>
    </w:p>
    <w:p w:rsidR="0025606B" w:rsidRPr="0025606B" w:rsidRDefault="0025606B" w:rsidP="0025606B">
      <w:pPr>
        <w:spacing w:after="120"/>
        <w:jc w:val="both"/>
        <w:rPr>
          <w:lang w:val="en-US"/>
        </w:rPr>
      </w:pPr>
      <w:r w:rsidRPr="0025606B">
        <w:rPr>
          <w:lang w:val="en-US"/>
        </w:rPr>
        <w:t xml:space="preserve">In order to explain the co-movements in the </w:t>
      </w:r>
      <w:proofErr w:type="spellStart"/>
      <w:r w:rsidRPr="0025606B">
        <w:rPr>
          <w:lang w:val="en-US"/>
        </w:rPr>
        <w:t>cds</w:t>
      </w:r>
      <w:proofErr w:type="spellEnd"/>
      <w:r w:rsidRPr="0025606B">
        <w:rPr>
          <w:lang w:val="en-US"/>
        </w:rPr>
        <w:t xml:space="preserve"> spread of the selected countries into a smaller number of common factors, principal component analysis was performed. Table 3 stipulates the principal component analysis of the correlation matrix of </w:t>
      </w:r>
      <w:proofErr w:type="spellStart"/>
      <w:r w:rsidRPr="0025606B">
        <w:rPr>
          <w:lang w:val="en-US"/>
        </w:rPr>
        <w:t>cds</w:t>
      </w:r>
      <w:proofErr w:type="spellEnd"/>
      <w:r w:rsidRPr="0025606B">
        <w:rPr>
          <w:lang w:val="en-US"/>
        </w:rPr>
        <w:t xml:space="preserve"> spread changes as given in Table 2. The results indicate that there is significant amount of commonality in the variation of </w:t>
      </w:r>
      <w:proofErr w:type="spellStart"/>
      <w:r w:rsidRPr="0025606B">
        <w:rPr>
          <w:lang w:val="en-US"/>
        </w:rPr>
        <w:t>cds</w:t>
      </w:r>
      <w:proofErr w:type="spellEnd"/>
      <w:r w:rsidRPr="0025606B">
        <w:rPr>
          <w:lang w:val="en-US"/>
        </w:rPr>
        <w:t xml:space="preserve"> spreads. The first principal component captures nearly 62 percent of the variation, whereas the first three components capture nearly 90 percent of the correlation matrix. This finding is parallel to the determinations of </w:t>
      </w:r>
      <w:proofErr w:type="spellStart"/>
      <w:r w:rsidRPr="0025606B">
        <w:rPr>
          <w:lang w:val="en-US"/>
        </w:rPr>
        <w:t>Longstaff</w:t>
      </w:r>
      <w:proofErr w:type="spellEnd"/>
      <w:r w:rsidRPr="0025606B">
        <w:rPr>
          <w:lang w:val="en-US"/>
        </w:rPr>
        <w:t xml:space="preserve"> and friend (2011) although they used a different base period (October 2010- January 2010) and a different sovereign set of 26 countries.</w:t>
      </w:r>
    </w:p>
    <w:p w:rsidR="0025606B" w:rsidRPr="0025606B" w:rsidRDefault="0025606B" w:rsidP="0025606B">
      <w:pPr>
        <w:spacing w:after="120"/>
        <w:jc w:val="both"/>
        <w:rPr>
          <w:lang w:val="en-US"/>
        </w:rPr>
      </w:pPr>
    </w:p>
    <w:p w:rsidR="0025606B" w:rsidRPr="0025606B" w:rsidRDefault="0025606B" w:rsidP="0025606B">
      <w:pPr>
        <w:pStyle w:val="Balk1"/>
        <w:numPr>
          <w:ilvl w:val="0"/>
          <w:numId w:val="0"/>
        </w:numPr>
        <w:spacing w:before="0" w:after="120" w:line="240" w:lineRule="auto"/>
        <w:ind w:left="357" w:hanging="357"/>
        <w:jc w:val="both"/>
        <w:rPr>
          <w:rFonts w:cs="Times New Roman"/>
          <w:szCs w:val="22"/>
          <w:lang w:val="en-US"/>
        </w:rPr>
      </w:pPr>
      <w:r w:rsidRPr="0025606B">
        <w:rPr>
          <w:rFonts w:cs="Times New Roman"/>
          <w:szCs w:val="22"/>
          <w:lang w:val="en-US"/>
        </w:rPr>
        <w:t>Regression Analysis</w:t>
      </w:r>
    </w:p>
    <w:p w:rsidR="0025606B" w:rsidRPr="0025606B" w:rsidRDefault="0025606B" w:rsidP="0025606B">
      <w:pPr>
        <w:rPr>
          <w:lang w:val="en-US"/>
        </w:rPr>
      </w:pPr>
    </w:p>
    <w:p w:rsidR="0025606B" w:rsidRPr="0025606B" w:rsidRDefault="0025606B" w:rsidP="0025606B">
      <w:pPr>
        <w:spacing w:after="120"/>
        <w:jc w:val="both"/>
        <w:rPr>
          <w:lang w:val="en-US"/>
        </w:rPr>
      </w:pPr>
      <w:r w:rsidRPr="0025606B">
        <w:rPr>
          <w:lang w:val="en-US"/>
        </w:rPr>
        <w:t xml:space="preserve">The empirical studies focusing on sovereign risk as reflected in the </w:t>
      </w:r>
      <w:proofErr w:type="spellStart"/>
      <w:r w:rsidRPr="0025606B">
        <w:rPr>
          <w:lang w:val="en-US"/>
        </w:rPr>
        <w:t>cds</w:t>
      </w:r>
      <w:proofErr w:type="spellEnd"/>
      <w:r w:rsidRPr="0025606B">
        <w:rPr>
          <w:lang w:val="en-US"/>
        </w:rPr>
        <w:t xml:space="preserve"> spreads have generally adopted two different approaches, one of which is based on comparing the actual credit spreads with the selected structural model and the other has been regressing the changes in the credit spreads with the change rate of the selected variables. In this study, in order to capture the relationships between the </w:t>
      </w:r>
      <w:proofErr w:type="spellStart"/>
      <w:r w:rsidRPr="0025606B">
        <w:rPr>
          <w:lang w:val="en-US"/>
        </w:rPr>
        <w:t>cds</w:t>
      </w:r>
      <w:proofErr w:type="spellEnd"/>
      <w:r w:rsidRPr="0025606B">
        <w:rPr>
          <w:lang w:val="en-US"/>
        </w:rPr>
        <w:t xml:space="preserve"> spreads and the country-specific and the global financial and economic factors, regression analysis has been performed; the dependent variable is set as the change in </w:t>
      </w:r>
      <w:proofErr w:type="spellStart"/>
      <w:r w:rsidRPr="0025606B">
        <w:rPr>
          <w:lang w:val="en-US"/>
        </w:rPr>
        <w:t>cds</w:t>
      </w:r>
      <w:proofErr w:type="spellEnd"/>
      <w:r w:rsidRPr="0025606B">
        <w:rPr>
          <w:lang w:val="en-US"/>
        </w:rPr>
        <w:t xml:space="preserve"> spreads and the change in the independent variables which are summarized below are grouped under two main headings, the country-specific variables and the global financial variables and the rate of change of these variables.</w:t>
      </w:r>
    </w:p>
    <w:p w:rsidR="0025606B" w:rsidRPr="0025606B" w:rsidRDefault="0025606B" w:rsidP="0025606B">
      <w:pPr>
        <w:pStyle w:val="Balk2"/>
        <w:spacing w:before="0" w:line="240" w:lineRule="auto"/>
        <w:jc w:val="both"/>
        <w:rPr>
          <w:rFonts w:cs="Times New Roman"/>
          <w:szCs w:val="22"/>
          <w:lang w:val="en-US"/>
        </w:rPr>
      </w:pPr>
    </w:p>
    <w:p w:rsidR="0025606B" w:rsidRPr="0025606B" w:rsidRDefault="0025606B" w:rsidP="0025606B">
      <w:pPr>
        <w:pStyle w:val="Balk2"/>
        <w:spacing w:before="0" w:line="240" w:lineRule="auto"/>
        <w:jc w:val="both"/>
        <w:rPr>
          <w:rFonts w:cs="Times New Roman"/>
          <w:i/>
          <w:szCs w:val="22"/>
          <w:lang w:val="en-US"/>
        </w:rPr>
      </w:pPr>
      <w:r w:rsidRPr="0025606B">
        <w:rPr>
          <w:rFonts w:cs="Times New Roman"/>
          <w:i/>
          <w:szCs w:val="22"/>
          <w:lang w:val="en-US"/>
        </w:rPr>
        <w:t>Country-specific Variables</w:t>
      </w:r>
    </w:p>
    <w:p w:rsidR="0025606B" w:rsidRPr="0025606B" w:rsidRDefault="0025606B" w:rsidP="0025606B">
      <w:pPr>
        <w:spacing w:after="120"/>
        <w:jc w:val="both"/>
        <w:rPr>
          <w:lang w:val="en-US"/>
        </w:rPr>
      </w:pPr>
      <w:r w:rsidRPr="0025606B">
        <w:rPr>
          <w:lang w:val="en-US"/>
        </w:rPr>
        <w:t>The country specific economic variables have been selected by referring their affects to possible payment failure of the sovereign. All the data mentioned below are gathered from DataStream which is a product of Thompson Reuters, unless otherwise stated in the definition of the variable. It is also noteworthy to mention that all of the country-specific factors mentioned are also included in the sovereign rating methodology of the major rating agencies as Standard &amp;</w:t>
      </w:r>
      <w:proofErr w:type="spellStart"/>
      <w:r w:rsidRPr="0025606B">
        <w:rPr>
          <w:lang w:val="en-US"/>
        </w:rPr>
        <w:t>Poors</w:t>
      </w:r>
      <w:proofErr w:type="spellEnd"/>
      <w:r w:rsidRPr="0025606B">
        <w:rPr>
          <w:lang w:val="en-US"/>
        </w:rPr>
        <w:t xml:space="preserve"> and Moody’s.</w:t>
      </w:r>
    </w:p>
    <w:p w:rsidR="0025606B" w:rsidRPr="0025606B" w:rsidRDefault="0025606B" w:rsidP="0025606B">
      <w:pPr>
        <w:pStyle w:val="ListeParagraf"/>
        <w:numPr>
          <w:ilvl w:val="0"/>
          <w:numId w:val="3"/>
        </w:numPr>
        <w:tabs>
          <w:tab w:val="left" w:pos="426"/>
        </w:tabs>
        <w:spacing w:after="120"/>
        <w:ind w:left="0" w:firstLine="0"/>
        <w:jc w:val="both"/>
        <w:rPr>
          <w:lang w:val="en-US"/>
        </w:rPr>
      </w:pPr>
      <w:proofErr w:type="spellStart"/>
      <w:r w:rsidRPr="0025606B">
        <w:rPr>
          <w:lang w:val="en-US"/>
        </w:rPr>
        <w:t>Cds</w:t>
      </w:r>
      <w:proofErr w:type="spellEnd"/>
      <w:r w:rsidRPr="0025606B">
        <w:rPr>
          <w:lang w:val="en-US"/>
        </w:rPr>
        <w:t xml:space="preserve"> Spreads: The spreads of US Dollar denominated sovereign </w:t>
      </w:r>
      <w:proofErr w:type="spellStart"/>
      <w:r w:rsidRPr="0025606B">
        <w:rPr>
          <w:lang w:val="en-US"/>
        </w:rPr>
        <w:t>cds</w:t>
      </w:r>
      <w:proofErr w:type="spellEnd"/>
      <w:r w:rsidRPr="0025606B">
        <w:rPr>
          <w:lang w:val="en-US"/>
        </w:rPr>
        <w:t xml:space="preserve"> transactions with 5 years maturity of each country are used. </w:t>
      </w:r>
    </w:p>
    <w:p w:rsidR="0025606B" w:rsidRPr="0025606B" w:rsidRDefault="0025606B" w:rsidP="0025606B">
      <w:pPr>
        <w:pStyle w:val="ListeParagraf"/>
        <w:tabs>
          <w:tab w:val="left" w:pos="426"/>
        </w:tabs>
        <w:spacing w:after="120"/>
        <w:ind w:left="0"/>
        <w:jc w:val="both"/>
        <w:rPr>
          <w:lang w:val="en-US"/>
        </w:rPr>
      </w:pPr>
    </w:p>
    <w:p w:rsidR="0025606B" w:rsidRPr="0025606B" w:rsidRDefault="0025606B" w:rsidP="0025606B">
      <w:pPr>
        <w:pStyle w:val="ListeParagraf"/>
        <w:numPr>
          <w:ilvl w:val="0"/>
          <w:numId w:val="3"/>
        </w:numPr>
        <w:tabs>
          <w:tab w:val="left" w:pos="426"/>
        </w:tabs>
        <w:spacing w:after="120"/>
        <w:ind w:left="0" w:firstLine="0"/>
        <w:jc w:val="both"/>
        <w:rPr>
          <w:lang w:val="en-US"/>
        </w:rPr>
      </w:pPr>
      <w:r w:rsidRPr="0025606B">
        <w:rPr>
          <w:lang w:val="en-US"/>
        </w:rPr>
        <w:t xml:space="preserve">Foreign Exchange Rate:  The monthly local foreign currency rates per U.S. Dollar against domestic currencies are used. There exist floating exchange rate regimes in all of </w:t>
      </w:r>
      <w:r w:rsidRPr="0025606B">
        <w:rPr>
          <w:lang w:val="en-US"/>
        </w:rPr>
        <w:lastRenderedPageBreak/>
        <w:t xml:space="preserve">the selected countries, consequently the foreign exchange rate acts as a barometer against the possible fluctuations in of the countries capability of paying external indebtedness except Spain and Greece having Euro as the domestic currency. </w:t>
      </w:r>
    </w:p>
    <w:p w:rsidR="0025606B" w:rsidRPr="0025606B" w:rsidRDefault="0025606B" w:rsidP="0025606B">
      <w:pPr>
        <w:pStyle w:val="ListeParagraf"/>
        <w:tabs>
          <w:tab w:val="left" w:pos="426"/>
        </w:tabs>
        <w:spacing w:after="120"/>
        <w:ind w:left="0"/>
        <w:jc w:val="both"/>
        <w:rPr>
          <w:lang w:val="en-US"/>
        </w:rPr>
      </w:pPr>
    </w:p>
    <w:p w:rsidR="0025606B" w:rsidRPr="0025606B" w:rsidRDefault="0025606B" w:rsidP="0025606B">
      <w:pPr>
        <w:pStyle w:val="ListeParagraf"/>
        <w:numPr>
          <w:ilvl w:val="0"/>
          <w:numId w:val="3"/>
        </w:numPr>
        <w:tabs>
          <w:tab w:val="left" w:pos="426"/>
        </w:tabs>
        <w:spacing w:after="120"/>
        <w:ind w:left="0" w:firstLine="0"/>
        <w:jc w:val="both"/>
        <w:rPr>
          <w:lang w:val="en-US"/>
        </w:rPr>
      </w:pPr>
      <w:r w:rsidRPr="0025606B">
        <w:rPr>
          <w:lang w:val="en-US"/>
        </w:rPr>
        <w:t xml:space="preserve">Foreign Currency Reserves: The </w:t>
      </w:r>
      <w:proofErr w:type="spellStart"/>
      <w:r w:rsidRPr="0025606B">
        <w:rPr>
          <w:lang w:val="en-US"/>
        </w:rPr>
        <w:t>U.S.Dollar</w:t>
      </w:r>
      <w:proofErr w:type="spellEnd"/>
      <w:r w:rsidRPr="0025606B">
        <w:rPr>
          <w:lang w:val="en-US"/>
        </w:rPr>
        <w:t xml:space="preserve"> equivalent of the foreign currency reserves is used. From the lenders side, the higher the amount of such reserves, the more comfortable they feel as in tough times the sovereign will be able to pay its debts without needing further financing.</w:t>
      </w:r>
    </w:p>
    <w:p w:rsidR="0025606B" w:rsidRPr="0025606B" w:rsidRDefault="0025606B" w:rsidP="0025606B">
      <w:pPr>
        <w:pStyle w:val="ListeParagraf"/>
        <w:spacing w:after="120"/>
        <w:jc w:val="both"/>
        <w:rPr>
          <w:lang w:val="en-US"/>
        </w:rPr>
      </w:pPr>
    </w:p>
    <w:p w:rsidR="0025606B" w:rsidRPr="0025606B" w:rsidRDefault="0025606B" w:rsidP="0025606B">
      <w:pPr>
        <w:pStyle w:val="ListeParagraf"/>
        <w:numPr>
          <w:ilvl w:val="0"/>
          <w:numId w:val="3"/>
        </w:numPr>
        <w:tabs>
          <w:tab w:val="left" w:pos="426"/>
        </w:tabs>
        <w:spacing w:after="120"/>
        <w:ind w:left="0" w:firstLine="0"/>
        <w:jc w:val="both"/>
        <w:rPr>
          <w:lang w:val="en-US"/>
        </w:rPr>
      </w:pPr>
      <w:r w:rsidRPr="0025606B">
        <w:rPr>
          <w:lang w:val="en-US"/>
        </w:rPr>
        <w:t>Local Stock Market Returns: The monthly changes in the local market indexes are taken as the measure of the local market return. All the countries involved have well-functioning local equity markets and those markets reflect not only domestic real economical balances but also the global risk appetite through foreign portfolio investments.</w:t>
      </w:r>
    </w:p>
    <w:p w:rsidR="0025606B" w:rsidRPr="0025606B" w:rsidRDefault="0025606B" w:rsidP="0025606B">
      <w:pPr>
        <w:spacing w:after="120"/>
        <w:jc w:val="both"/>
        <w:rPr>
          <w:lang w:val="en-US"/>
        </w:rPr>
      </w:pPr>
      <w:r w:rsidRPr="0025606B">
        <w:rPr>
          <w:lang w:val="en-US"/>
        </w:rPr>
        <w:t xml:space="preserve">The factors explained above were the ones also employed by </w:t>
      </w:r>
      <w:proofErr w:type="spellStart"/>
      <w:r w:rsidRPr="0025606B">
        <w:rPr>
          <w:lang w:val="en-US"/>
        </w:rPr>
        <w:t>Longstaff</w:t>
      </w:r>
      <w:proofErr w:type="spellEnd"/>
      <w:r w:rsidRPr="0025606B">
        <w:rPr>
          <w:lang w:val="en-US"/>
        </w:rPr>
        <w:t xml:space="preserve"> and friends (2011) who  determined that the country-specific factors comes behind the global market factors in determining the sovereign riskiness and </w:t>
      </w:r>
      <w:proofErr w:type="spellStart"/>
      <w:r w:rsidRPr="0025606B">
        <w:rPr>
          <w:lang w:val="en-US"/>
        </w:rPr>
        <w:t>cds</w:t>
      </w:r>
      <w:proofErr w:type="spellEnd"/>
      <w:r w:rsidRPr="0025606B">
        <w:rPr>
          <w:lang w:val="en-US"/>
        </w:rPr>
        <w:t xml:space="preserve"> spreads. In order to better address the sovereign default risk as perceived by the market participants two more country-specific factors have been added to the model:</w:t>
      </w:r>
    </w:p>
    <w:p w:rsidR="0025606B" w:rsidRPr="0025606B" w:rsidRDefault="0025606B" w:rsidP="0025606B">
      <w:pPr>
        <w:pStyle w:val="ListeParagraf"/>
        <w:numPr>
          <w:ilvl w:val="0"/>
          <w:numId w:val="3"/>
        </w:numPr>
        <w:tabs>
          <w:tab w:val="left" w:pos="426"/>
        </w:tabs>
        <w:spacing w:after="120"/>
        <w:ind w:left="0" w:firstLine="0"/>
        <w:jc w:val="both"/>
        <w:rPr>
          <w:lang w:val="en-US"/>
        </w:rPr>
      </w:pPr>
      <w:r w:rsidRPr="0025606B">
        <w:rPr>
          <w:lang w:val="en-US"/>
        </w:rPr>
        <w:t xml:space="preserve">External Debt: The </w:t>
      </w:r>
      <w:proofErr w:type="spellStart"/>
      <w:r w:rsidRPr="0025606B">
        <w:rPr>
          <w:lang w:val="en-US"/>
        </w:rPr>
        <w:t>U.S.Dollar</w:t>
      </w:r>
      <w:proofErr w:type="spellEnd"/>
      <w:r w:rsidRPr="0025606B">
        <w:rPr>
          <w:lang w:val="en-US"/>
        </w:rPr>
        <w:t xml:space="preserve"> equivalent of the total external indebtedness of each sovereign is used. From the lenders side the higher the external debt of a country, the more vulnerable it would be to fluctuations in the international funding environment.</w:t>
      </w:r>
    </w:p>
    <w:p w:rsidR="0025606B" w:rsidRPr="0025606B" w:rsidRDefault="0025606B" w:rsidP="0025606B">
      <w:pPr>
        <w:pStyle w:val="ListeParagraf"/>
        <w:tabs>
          <w:tab w:val="left" w:pos="426"/>
        </w:tabs>
        <w:spacing w:after="120"/>
        <w:ind w:left="0"/>
        <w:jc w:val="both"/>
        <w:rPr>
          <w:lang w:val="en-US"/>
        </w:rPr>
      </w:pPr>
    </w:p>
    <w:p w:rsidR="0025606B" w:rsidRPr="0025606B" w:rsidRDefault="0025606B" w:rsidP="0025606B">
      <w:pPr>
        <w:pStyle w:val="ListeParagraf"/>
        <w:numPr>
          <w:ilvl w:val="0"/>
          <w:numId w:val="3"/>
        </w:numPr>
        <w:tabs>
          <w:tab w:val="left" w:pos="426"/>
        </w:tabs>
        <w:spacing w:after="120"/>
        <w:ind w:left="0" w:firstLine="0"/>
        <w:jc w:val="both"/>
        <w:rPr>
          <w:lang w:val="en-US"/>
        </w:rPr>
      </w:pPr>
      <w:r w:rsidRPr="0025606B">
        <w:rPr>
          <w:lang w:val="en-US"/>
        </w:rPr>
        <w:t xml:space="preserve">Current Account Balance as a percentage of Gross Domestic Product: This ratio represents all the economic activities of the nation affecting the foreign exchange flows, it includes net foreign trade and also capital flows. This variable is added to the original model referring to the study of </w:t>
      </w:r>
      <w:proofErr w:type="spellStart"/>
      <w:r w:rsidRPr="0025606B">
        <w:rPr>
          <w:lang w:val="en-US"/>
        </w:rPr>
        <w:t>Hilsher</w:t>
      </w:r>
      <w:proofErr w:type="spellEnd"/>
      <w:r w:rsidRPr="0025606B">
        <w:rPr>
          <w:lang w:val="en-US"/>
        </w:rPr>
        <w:t xml:space="preserve"> and </w:t>
      </w:r>
      <w:proofErr w:type="spellStart"/>
      <w:r w:rsidRPr="0025606B">
        <w:rPr>
          <w:lang w:val="en-US"/>
        </w:rPr>
        <w:t>Nosbusch</w:t>
      </w:r>
      <w:proofErr w:type="spellEnd"/>
      <w:r w:rsidRPr="0025606B">
        <w:rPr>
          <w:lang w:val="en-US"/>
        </w:rPr>
        <w:t xml:space="preserve"> who worked on the effect of particularly the export performance of the countries to its debt paying capacity. (</w:t>
      </w:r>
      <w:proofErr w:type="spellStart"/>
      <w:r w:rsidRPr="0025606B">
        <w:rPr>
          <w:lang w:val="en-US"/>
        </w:rPr>
        <w:t>Hilsher</w:t>
      </w:r>
      <w:proofErr w:type="spellEnd"/>
      <w:r w:rsidRPr="0025606B">
        <w:rPr>
          <w:lang w:val="en-US"/>
        </w:rPr>
        <w:t xml:space="preserve"> and </w:t>
      </w:r>
      <w:proofErr w:type="spellStart"/>
      <w:r w:rsidRPr="0025606B">
        <w:rPr>
          <w:lang w:val="en-US"/>
        </w:rPr>
        <w:t>Nosbusch</w:t>
      </w:r>
      <w:proofErr w:type="spellEnd"/>
      <w:r w:rsidRPr="0025606B">
        <w:rPr>
          <w:rStyle w:val="DipnotBavurusu"/>
          <w:lang w:val="en-US"/>
        </w:rPr>
        <w:t xml:space="preserve"> </w:t>
      </w:r>
      <w:r w:rsidRPr="0025606B">
        <w:rPr>
          <w:lang w:val="en-US"/>
        </w:rPr>
        <w:t xml:space="preserve">, 2010) </w:t>
      </w:r>
    </w:p>
    <w:p w:rsidR="0025606B" w:rsidRPr="0025606B" w:rsidRDefault="0025606B" w:rsidP="0025606B">
      <w:pPr>
        <w:pStyle w:val="ListeParagraf"/>
        <w:spacing w:after="120"/>
        <w:jc w:val="both"/>
        <w:rPr>
          <w:lang w:val="en-US"/>
        </w:rPr>
      </w:pPr>
    </w:p>
    <w:p w:rsidR="0025606B" w:rsidRPr="0025606B" w:rsidRDefault="0025606B" w:rsidP="0025606B">
      <w:pPr>
        <w:pStyle w:val="Balk2"/>
        <w:spacing w:before="0" w:line="240" w:lineRule="auto"/>
        <w:jc w:val="both"/>
        <w:rPr>
          <w:rFonts w:cs="Times New Roman"/>
          <w:i/>
          <w:szCs w:val="22"/>
          <w:lang w:val="en-US"/>
        </w:rPr>
      </w:pPr>
      <w:r w:rsidRPr="0025606B">
        <w:rPr>
          <w:rFonts w:cs="Times New Roman"/>
          <w:i/>
          <w:szCs w:val="22"/>
          <w:lang w:val="en-US"/>
        </w:rPr>
        <w:t>Global Financial Variables</w:t>
      </w:r>
    </w:p>
    <w:p w:rsidR="0025606B" w:rsidRPr="0025606B" w:rsidRDefault="0025606B" w:rsidP="0025606B">
      <w:pPr>
        <w:pStyle w:val="ListeParagraf"/>
        <w:tabs>
          <w:tab w:val="left" w:pos="426"/>
        </w:tabs>
        <w:spacing w:after="120"/>
        <w:ind w:left="0"/>
        <w:jc w:val="both"/>
        <w:rPr>
          <w:lang w:val="en-US"/>
        </w:rPr>
      </w:pPr>
      <w:r w:rsidRPr="0025606B">
        <w:rPr>
          <w:lang w:val="en-US"/>
        </w:rPr>
        <w:t xml:space="preserve">Many of the earlier research have ended up with the determination that the </w:t>
      </w:r>
      <w:proofErr w:type="spellStart"/>
      <w:r w:rsidRPr="0025606B">
        <w:rPr>
          <w:lang w:val="en-US"/>
        </w:rPr>
        <w:t>cds</w:t>
      </w:r>
      <w:proofErr w:type="spellEnd"/>
      <w:r w:rsidRPr="0025606B">
        <w:rPr>
          <w:lang w:val="en-US"/>
        </w:rPr>
        <w:t xml:space="preserve"> spreads are driven more by the global financial markets than the country-specific variables. The following factors representing the overall climate of the global environment are employed in the analysis:</w:t>
      </w:r>
    </w:p>
    <w:p w:rsidR="0025606B" w:rsidRPr="0025606B" w:rsidRDefault="0025606B" w:rsidP="0025606B">
      <w:pPr>
        <w:pStyle w:val="ListeParagraf"/>
        <w:tabs>
          <w:tab w:val="left" w:pos="426"/>
        </w:tabs>
        <w:spacing w:after="120"/>
        <w:ind w:left="0"/>
        <w:jc w:val="both"/>
        <w:rPr>
          <w:lang w:val="en-US"/>
        </w:rPr>
      </w:pPr>
    </w:p>
    <w:p w:rsidR="0025606B" w:rsidRPr="0025606B" w:rsidRDefault="0025606B" w:rsidP="0025606B">
      <w:pPr>
        <w:pStyle w:val="ListeParagraf"/>
        <w:numPr>
          <w:ilvl w:val="0"/>
          <w:numId w:val="3"/>
        </w:numPr>
        <w:tabs>
          <w:tab w:val="left" w:pos="426"/>
        </w:tabs>
        <w:spacing w:after="120"/>
        <w:ind w:left="0" w:firstLine="0"/>
        <w:jc w:val="both"/>
        <w:rPr>
          <w:lang w:val="en-US"/>
        </w:rPr>
      </w:pPr>
      <w:r w:rsidRPr="0025606B">
        <w:rPr>
          <w:lang w:val="en-US"/>
        </w:rPr>
        <w:t>US Stock Market Returns: The S&amp;P 500 composite index is employed in order to reflect the risk appetite as indicated by U.S. equities. In order to fully reflect the stock market developments, not the excess return but the monthly return as calculated by the changes in S&amp;P 500 composite index has been employed.</w:t>
      </w:r>
    </w:p>
    <w:p w:rsidR="0025606B" w:rsidRPr="0025606B" w:rsidRDefault="0025606B" w:rsidP="0025606B">
      <w:pPr>
        <w:pStyle w:val="ListeParagraf"/>
        <w:tabs>
          <w:tab w:val="left" w:pos="426"/>
        </w:tabs>
        <w:spacing w:after="120"/>
        <w:ind w:left="0"/>
        <w:jc w:val="both"/>
        <w:rPr>
          <w:lang w:val="en-US"/>
        </w:rPr>
      </w:pPr>
    </w:p>
    <w:p w:rsidR="0025606B" w:rsidRPr="0025606B" w:rsidRDefault="0025606B" w:rsidP="0025606B">
      <w:pPr>
        <w:pStyle w:val="ListeParagraf"/>
        <w:numPr>
          <w:ilvl w:val="0"/>
          <w:numId w:val="3"/>
        </w:numPr>
        <w:tabs>
          <w:tab w:val="left" w:pos="426"/>
        </w:tabs>
        <w:spacing w:after="120"/>
        <w:ind w:left="0" w:firstLine="0"/>
        <w:jc w:val="both"/>
        <w:rPr>
          <w:lang w:val="en-US"/>
        </w:rPr>
      </w:pPr>
      <w:r w:rsidRPr="0025606B">
        <w:rPr>
          <w:lang w:val="en-US"/>
        </w:rPr>
        <w:t xml:space="preserve">US Treasury yields: As for the </w:t>
      </w:r>
      <w:proofErr w:type="spellStart"/>
      <w:r w:rsidRPr="0025606B">
        <w:rPr>
          <w:lang w:val="en-US"/>
        </w:rPr>
        <w:t>cds</w:t>
      </w:r>
      <w:proofErr w:type="spellEnd"/>
      <w:r w:rsidRPr="0025606B">
        <w:rPr>
          <w:lang w:val="en-US"/>
        </w:rPr>
        <w:t xml:space="preserve"> spreads 5 year maturity is selected as reference term, the S&amp;P 5-Year U.S. Treasury note Excess Return Index is employed in order to address the fluctuations in the bond returns. In addition to this index, the yields of 5 year maturity constant maturity treasury (CMT) rates computed by the Federal Reserve Board are also employed. CMT is based on the corresponding Treasury yield curve rate and is usually computed by averaging either the past week's or the past months daily rates of the underlying constant maturity Treasury.</w:t>
      </w:r>
    </w:p>
    <w:p w:rsidR="0025606B" w:rsidRPr="0025606B" w:rsidRDefault="0025606B" w:rsidP="0025606B">
      <w:pPr>
        <w:pStyle w:val="ListeParagraf"/>
        <w:spacing w:after="120"/>
        <w:jc w:val="both"/>
        <w:rPr>
          <w:lang w:val="en-US"/>
        </w:rPr>
      </w:pPr>
    </w:p>
    <w:p w:rsidR="0025606B" w:rsidRPr="0025606B" w:rsidRDefault="0025606B" w:rsidP="0025606B">
      <w:pPr>
        <w:pStyle w:val="ListeParagraf"/>
        <w:numPr>
          <w:ilvl w:val="0"/>
          <w:numId w:val="3"/>
        </w:numPr>
        <w:tabs>
          <w:tab w:val="left" w:pos="426"/>
        </w:tabs>
        <w:spacing w:after="120"/>
        <w:ind w:left="0" w:firstLine="0"/>
        <w:jc w:val="both"/>
        <w:rPr>
          <w:lang w:val="en-US"/>
        </w:rPr>
      </w:pPr>
      <w:r w:rsidRPr="0025606B">
        <w:rPr>
          <w:lang w:val="en-US"/>
        </w:rPr>
        <w:lastRenderedPageBreak/>
        <w:t>Corporate Yields: The index of the spread of the US corporate with rating AAA minus that of   US corporate with rating A as produced by Merrill Lynch is used. For the difference in the spreads of the US non-investment grade corporates with BBB and B ratings, the difference of the indexes for the both group of the corporates as produced by Thompson Reuters is used. Both of the variables are perceived as the measure of risk/return preferences of the investors.</w:t>
      </w:r>
    </w:p>
    <w:p w:rsidR="0025606B" w:rsidRPr="0025606B" w:rsidRDefault="0025606B" w:rsidP="0025606B">
      <w:pPr>
        <w:pStyle w:val="ListeParagraf"/>
        <w:spacing w:after="120"/>
        <w:jc w:val="both"/>
        <w:rPr>
          <w:lang w:val="en-US"/>
        </w:rPr>
      </w:pPr>
    </w:p>
    <w:p w:rsidR="0025606B" w:rsidRPr="0025606B" w:rsidRDefault="0025606B" w:rsidP="0025606B">
      <w:pPr>
        <w:pStyle w:val="ListeParagraf"/>
        <w:numPr>
          <w:ilvl w:val="0"/>
          <w:numId w:val="3"/>
        </w:numPr>
        <w:tabs>
          <w:tab w:val="left" w:pos="426"/>
        </w:tabs>
        <w:spacing w:after="120"/>
        <w:ind w:left="0" w:firstLine="0"/>
        <w:jc w:val="both"/>
        <w:rPr>
          <w:lang w:val="en-US"/>
        </w:rPr>
      </w:pPr>
      <w:r w:rsidRPr="0025606B">
        <w:rPr>
          <w:lang w:val="en-US"/>
        </w:rPr>
        <w:t>Equity Premium: The monthly price/earnings ratio for the S&amp;P 100 index is used as a measure of equity premium.</w:t>
      </w:r>
    </w:p>
    <w:p w:rsidR="0025606B" w:rsidRPr="0025606B" w:rsidRDefault="0025606B" w:rsidP="0025606B">
      <w:pPr>
        <w:pStyle w:val="ListeParagraf"/>
        <w:spacing w:after="120"/>
        <w:jc w:val="both"/>
        <w:rPr>
          <w:lang w:val="en-US"/>
        </w:rPr>
      </w:pPr>
    </w:p>
    <w:p w:rsidR="0025606B" w:rsidRPr="0025606B" w:rsidRDefault="0025606B" w:rsidP="0025606B">
      <w:pPr>
        <w:pStyle w:val="ListeParagraf"/>
        <w:numPr>
          <w:ilvl w:val="0"/>
          <w:numId w:val="3"/>
        </w:numPr>
        <w:tabs>
          <w:tab w:val="left" w:pos="426"/>
        </w:tabs>
        <w:spacing w:after="120"/>
        <w:ind w:left="0" w:firstLine="0"/>
        <w:jc w:val="both"/>
        <w:rPr>
          <w:lang w:val="en-US"/>
        </w:rPr>
      </w:pPr>
      <w:r w:rsidRPr="0025606B">
        <w:rPr>
          <w:lang w:val="en-US"/>
        </w:rPr>
        <w:t xml:space="preserve">Volatility Premium:  Chicago Board Options Exchange Market Volatility Index, also named as VIX, measuring the market's expectation of stock market </w:t>
      </w:r>
      <w:hyperlink r:id="rId10" w:tooltip="Volatility (finance)" w:history="1">
        <w:r w:rsidRPr="0025606B">
          <w:rPr>
            <w:lang w:val="en-US"/>
          </w:rPr>
          <w:t>volatility</w:t>
        </w:r>
      </w:hyperlink>
      <w:r w:rsidRPr="0025606B">
        <w:rPr>
          <w:lang w:val="en-US"/>
        </w:rPr>
        <w:t xml:space="preserve"> over the next 30 day period is used as a proxy for volatility premium. Among the market-level variables, changes in VIX, a proxy for market-wide risk aversion or the so-called “fear factor”, have more significant explanatory power than others.</w:t>
      </w:r>
    </w:p>
    <w:p w:rsidR="0025606B" w:rsidRPr="0025606B" w:rsidRDefault="0025606B" w:rsidP="0025606B">
      <w:pPr>
        <w:pStyle w:val="ListeParagraf"/>
        <w:rPr>
          <w:lang w:val="en-US"/>
        </w:rPr>
      </w:pPr>
    </w:p>
    <w:p w:rsidR="0025606B" w:rsidRPr="0025606B" w:rsidRDefault="0025606B" w:rsidP="0025606B">
      <w:pPr>
        <w:pStyle w:val="ListeParagraf"/>
        <w:numPr>
          <w:ilvl w:val="0"/>
          <w:numId w:val="3"/>
        </w:numPr>
        <w:tabs>
          <w:tab w:val="left" w:pos="426"/>
        </w:tabs>
        <w:spacing w:after="120"/>
        <w:ind w:left="0" w:firstLine="0"/>
        <w:jc w:val="both"/>
        <w:rPr>
          <w:lang w:val="en-US"/>
        </w:rPr>
      </w:pPr>
    </w:p>
    <w:p w:rsidR="0025606B" w:rsidRPr="0025606B" w:rsidRDefault="0025606B" w:rsidP="0025606B">
      <w:pPr>
        <w:pStyle w:val="ListeParagraf"/>
        <w:numPr>
          <w:ilvl w:val="0"/>
          <w:numId w:val="3"/>
        </w:numPr>
        <w:tabs>
          <w:tab w:val="left" w:pos="426"/>
        </w:tabs>
        <w:spacing w:after="120"/>
        <w:ind w:left="0" w:firstLine="0"/>
        <w:jc w:val="both"/>
        <w:rPr>
          <w:lang w:val="en-US"/>
        </w:rPr>
      </w:pPr>
      <w:r w:rsidRPr="0025606B">
        <w:rPr>
          <w:lang w:val="en-US"/>
        </w:rPr>
        <w:t>Term Premium: The index calculated by Barclays to represent the spread difference between the US Treasury bonds with 5 years and 1 year maturity is used as a measure of the term premium.</w:t>
      </w:r>
    </w:p>
    <w:p w:rsidR="0025606B" w:rsidRPr="0025606B" w:rsidRDefault="0025606B" w:rsidP="0025606B">
      <w:pPr>
        <w:pStyle w:val="ListeParagraf"/>
        <w:spacing w:after="120"/>
        <w:jc w:val="both"/>
        <w:rPr>
          <w:lang w:val="en-US"/>
        </w:rPr>
      </w:pPr>
    </w:p>
    <w:p w:rsidR="0025606B" w:rsidRPr="0025606B" w:rsidRDefault="0025606B" w:rsidP="0025606B">
      <w:pPr>
        <w:pStyle w:val="ListeParagraf"/>
        <w:numPr>
          <w:ilvl w:val="0"/>
          <w:numId w:val="3"/>
        </w:numPr>
        <w:tabs>
          <w:tab w:val="left" w:pos="426"/>
        </w:tabs>
        <w:spacing w:after="120"/>
        <w:ind w:left="0" w:firstLine="0"/>
        <w:jc w:val="both"/>
        <w:rPr>
          <w:lang w:val="en-US"/>
        </w:rPr>
      </w:pPr>
      <w:r w:rsidRPr="0025606B">
        <w:rPr>
          <w:lang w:val="en-US"/>
        </w:rPr>
        <w:t xml:space="preserve">Bond and Equity Flows: The </w:t>
      </w:r>
      <w:proofErr w:type="spellStart"/>
      <w:r w:rsidRPr="0025606B">
        <w:rPr>
          <w:lang w:val="en-US"/>
        </w:rPr>
        <w:t>Datastream</w:t>
      </w:r>
      <w:proofErr w:type="spellEnd"/>
      <w:r w:rsidRPr="0025606B">
        <w:rPr>
          <w:lang w:val="en-US"/>
        </w:rPr>
        <w:t xml:space="preserve"> provides the net flow of mutual funds to global bond and global equity markets and those amounts are used.</w:t>
      </w:r>
    </w:p>
    <w:p w:rsidR="0025606B" w:rsidRPr="0025606B" w:rsidRDefault="0025606B" w:rsidP="0025606B">
      <w:pPr>
        <w:pStyle w:val="ListeParagraf"/>
        <w:spacing w:after="120"/>
        <w:jc w:val="both"/>
        <w:rPr>
          <w:lang w:val="en-US"/>
        </w:rPr>
      </w:pPr>
    </w:p>
    <w:p w:rsidR="0025606B" w:rsidRPr="0025606B" w:rsidRDefault="0025606B" w:rsidP="0025606B">
      <w:pPr>
        <w:pStyle w:val="ListeParagraf"/>
        <w:numPr>
          <w:ilvl w:val="0"/>
          <w:numId w:val="3"/>
        </w:numPr>
        <w:tabs>
          <w:tab w:val="left" w:pos="426"/>
        </w:tabs>
        <w:spacing w:after="120"/>
        <w:ind w:left="0" w:firstLine="0"/>
        <w:jc w:val="both"/>
        <w:rPr>
          <w:lang w:val="en-US"/>
        </w:rPr>
      </w:pPr>
      <w:r w:rsidRPr="0025606B">
        <w:rPr>
          <w:lang w:val="en-US"/>
        </w:rPr>
        <w:t xml:space="preserve">Emerging Market Index:  As a measure of the risk appetite towards specifically to the emerging market countries EMBI index as calculated by JP Morgan is employed. The EMBI index track foreign-currency denominated government bond yields for a number of emerging market economies and it is commonly used as measures of country risk. </w:t>
      </w:r>
    </w:p>
    <w:p w:rsidR="0025606B" w:rsidRPr="0025606B" w:rsidRDefault="0025606B" w:rsidP="0025606B">
      <w:pPr>
        <w:pStyle w:val="ListeParagraf"/>
        <w:rPr>
          <w:rFonts w:ascii="TimesNewRomanPSMT" w:hAnsi="TimesNewRomanPSMT" w:cs="TimesNewRomanPSMT"/>
          <w:lang w:val="en-US"/>
        </w:rPr>
      </w:pPr>
    </w:p>
    <w:p w:rsidR="0025606B" w:rsidRPr="0025606B" w:rsidRDefault="0025606B" w:rsidP="0025606B">
      <w:pPr>
        <w:pStyle w:val="Balk2"/>
        <w:spacing w:before="0" w:line="240" w:lineRule="auto"/>
        <w:jc w:val="both"/>
        <w:rPr>
          <w:rFonts w:cs="Times New Roman"/>
          <w:i/>
          <w:szCs w:val="22"/>
          <w:lang w:val="en-US"/>
        </w:rPr>
      </w:pPr>
      <w:r w:rsidRPr="0025606B">
        <w:rPr>
          <w:rFonts w:cs="Times New Roman"/>
          <w:i/>
          <w:szCs w:val="22"/>
          <w:lang w:val="en-US"/>
        </w:rPr>
        <w:t xml:space="preserve">Correlations of the Variables with the </w:t>
      </w:r>
      <w:proofErr w:type="spellStart"/>
      <w:r w:rsidRPr="0025606B">
        <w:rPr>
          <w:rFonts w:cs="Times New Roman"/>
          <w:i/>
          <w:szCs w:val="22"/>
          <w:lang w:val="en-US"/>
        </w:rPr>
        <w:t>cds</w:t>
      </w:r>
      <w:proofErr w:type="spellEnd"/>
      <w:r w:rsidRPr="0025606B">
        <w:rPr>
          <w:rFonts w:cs="Times New Roman"/>
          <w:i/>
          <w:szCs w:val="22"/>
          <w:lang w:val="en-US"/>
        </w:rPr>
        <w:t xml:space="preserve"> Spreads</w:t>
      </w:r>
    </w:p>
    <w:p w:rsidR="0025606B" w:rsidRPr="0025606B" w:rsidRDefault="0025606B" w:rsidP="0025606B">
      <w:pPr>
        <w:tabs>
          <w:tab w:val="left" w:pos="426"/>
        </w:tabs>
        <w:spacing w:after="120"/>
        <w:jc w:val="both"/>
        <w:rPr>
          <w:lang w:val="en-US"/>
        </w:rPr>
      </w:pPr>
      <w:r w:rsidRPr="0025606B">
        <w:rPr>
          <w:lang w:val="en-US"/>
        </w:rPr>
        <w:t xml:space="preserve">The variables are intentionally selected with regards to their anticipated relationship with the </w:t>
      </w:r>
      <w:proofErr w:type="spellStart"/>
      <w:r w:rsidRPr="0025606B">
        <w:rPr>
          <w:lang w:val="en-US"/>
        </w:rPr>
        <w:t>cds</w:t>
      </w:r>
      <w:proofErr w:type="spellEnd"/>
      <w:r w:rsidRPr="0025606B">
        <w:rPr>
          <w:lang w:val="en-US"/>
        </w:rPr>
        <w:t xml:space="preserve"> spreads which is thought to have </w:t>
      </w:r>
      <w:proofErr w:type="spellStart"/>
      <w:r w:rsidRPr="0025606B">
        <w:rPr>
          <w:lang w:val="en-US"/>
        </w:rPr>
        <w:t>affect</w:t>
      </w:r>
      <w:proofErr w:type="spellEnd"/>
      <w:r w:rsidRPr="0025606B">
        <w:rPr>
          <w:lang w:val="en-US"/>
        </w:rPr>
        <w:t xml:space="preserve"> on the sovereign risk. In this framework, the correlation between monthly changes in the value of each variable and </w:t>
      </w:r>
      <w:proofErr w:type="spellStart"/>
      <w:r w:rsidRPr="0025606B">
        <w:rPr>
          <w:lang w:val="en-US"/>
        </w:rPr>
        <w:t>cds</w:t>
      </w:r>
      <w:proofErr w:type="spellEnd"/>
      <w:r w:rsidRPr="0025606B">
        <w:rPr>
          <w:lang w:val="en-US"/>
        </w:rPr>
        <w:t xml:space="preserve"> spreads may be questioned when evaluating their effect on the </w:t>
      </w:r>
      <w:proofErr w:type="spellStart"/>
      <w:r w:rsidRPr="0025606B">
        <w:rPr>
          <w:lang w:val="en-US"/>
        </w:rPr>
        <w:t>cds</w:t>
      </w:r>
      <w:proofErr w:type="spellEnd"/>
      <w:r w:rsidRPr="0025606B">
        <w:rPr>
          <w:lang w:val="en-US"/>
        </w:rPr>
        <w:t xml:space="preserve"> spreads. A correlation matrix indicating the pairwise correlations of each variable with the </w:t>
      </w:r>
      <w:proofErr w:type="spellStart"/>
      <w:r w:rsidRPr="0025606B">
        <w:rPr>
          <w:lang w:val="en-US"/>
        </w:rPr>
        <w:t>cds</w:t>
      </w:r>
      <w:proofErr w:type="spellEnd"/>
      <w:r w:rsidRPr="0025606B">
        <w:rPr>
          <w:lang w:val="en-US"/>
        </w:rPr>
        <w:t xml:space="preserve"> spreads for each sovereign is given in Table 5. Also, by using the country specific eigenvalues as weights, a comprehensive correlation was calculated in order to measure the correlation of each variable and those correlations are given in the rightmost column of Table 5. Also, in order to better address the co-movement between the </w:t>
      </w:r>
      <w:proofErr w:type="spellStart"/>
      <w:r w:rsidRPr="0025606B">
        <w:rPr>
          <w:lang w:val="en-US"/>
        </w:rPr>
        <w:t>cds</w:t>
      </w:r>
      <w:proofErr w:type="spellEnd"/>
      <w:r w:rsidRPr="0025606B">
        <w:rPr>
          <w:lang w:val="en-US"/>
        </w:rPr>
        <w:t xml:space="preserve"> spreads and global financial variables before and after the financial crisis, the correlations of each variable with individual countries </w:t>
      </w:r>
      <w:proofErr w:type="spellStart"/>
      <w:r w:rsidRPr="0025606B">
        <w:rPr>
          <w:lang w:val="en-US"/>
        </w:rPr>
        <w:t>cds</w:t>
      </w:r>
      <w:proofErr w:type="spellEnd"/>
      <w:r w:rsidRPr="0025606B">
        <w:rPr>
          <w:lang w:val="en-US"/>
        </w:rPr>
        <w:t xml:space="preserve"> spreads is given in Table 6. </w:t>
      </w:r>
    </w:p>
    <w:p w:rsidR="0025606B" w:rsidRPr="0025606B" w:rsidRDefault="0025606B" w:rsidP="0025606B">
      <w:pPr>
        <w:tabs>
          <w:tab w:val="left" w:pos="426"/>
        </w:tabs>
        <w:spacing w:after="120"/>
        <w:jc w:val="both"/>
        <w:rPr>
          <w:lang w:val="en-US"/>
        </w:rPr>
      </w:pPr>
      <w:r w:rsidRPr="0025606B">
        <w:rPr>
          <w:lang w:val="en-US"/>
        </w:rPr>
        <w:t>Referring to the correlations given in Table 5 and Table 6, the following determinations can be made:</w:t>
      </w:r>
    </w:p>
    <w:p w:rsidR="0025606B" w:rsidRPr="0025606B" w:rsidRDefault="0025606B" w:rsidP="0025606B">
      <w:pPr>
        <w:pStyle w:val="ListeParagraf"/>
        <w:numPr>
          <w:ilvl w:val="0"/>
          <w:numId w:val="3"/>
        </w:numPr>
        <w:tabs>
          <w:tab w:val="left" w:pos="426"/>
        </w:tabs>
        <w:autoSpaceDE w:val="0"/>
        <w:autoSpaceDN w:val="0"/>
        <w:adjustRightInd w:val="0"/>
        <w:spacing w:after="120"/>
        <w:ind w:left="0" w:firstLine="0"/>
        <w:jc w:val="both"/>
        <w:rPr>
          <w:lang w:val="en-US"/>
        </w:rPr>
      </w:pPr>
      <w:r w:rsidRPr="0025606B">
        <w:rPr>
          <w:lang w:val="en-US"/>
        </w:rPr>
        <w:t xml:space="preserve">Amongst the country-specific variables, the equity index has the highest negative correlation with the </w:t>
      </w:r>
      <w:proofErr w:type="spellStart"/>
      <w:r w:rsidRPr="0025606B">
        <w:rPr>
          <w:lang w:val="en-US"/>
        </w:rPr>
        <w:t>cds</w:t>
      </w:r>
      <w:proofErr w:type="spellEnd"/>
      <w:r w:rsidRPr="0025606B">
        <w:rPr>
          <w:lang w:val="en-US"/>
        </w:rPr>
        <w:t xml:space="preserve"> spreads. While the correlation is above -0,60 for the countries in the emerging country segment, it is lower for Spain and Greece, respectively -0,215 and -0,357. This strong negative correlation is in line with the finding of Coronado and friends (2012) but the lower correlation of Greece and Spain contradict with their finding that </w:t>
      </w:r>
      <w:r w:rsidRPr="0025606B">
        <w:rPr>
          <w:rFonts w:ascii="TimesNewRomanPSMT" w:hAnsi="TimesNewRomanPSMT" w:cs="TimesNewRomanPSMT"/>
          <w:lang w:val="en-US"/>
        </w:rPr>
        <w:t xml:space="preserve">correlations are more significant in the case of the countries with </w:t>
      </w:r>
      <w:r w:rsidRPr="0025606B">
        <w:rPr>
          <w:rFonts w:ascii="TimesNewRomanPSMT" w:hAnsi="TimesNewRomanPSMT" w:cs="TimesNewRomanPSMT"/>
          <w:lang w:val="en-US"/>
        </w:rPr>
        <w:lastRenderedPageBreak/>
        <w:t xml:space="preserve">higher risk premiums (Italy, Greece, Spain, Italy and Portugal) than </w:t>
      </w:r>
      <w:proofErr w:type="spellStart"/>
      <w:r w:rsidRPr="0025606B">
        <w:rPr>
          <w:rFonts w:ascii="TimesNewRomanPSMT" w:hAnsi="TimesNewRomanPSMT" w:cs="TimesNewRomanPSMT"/>
          <w:lang w:val="en-US"/>
        </w:rPr>
        <w:t>th</w:t>
      </w:r>
      <w:proofErr w:type="spellEnd"/>
      <w:r w:rsidRPr="0025606B">
        <w:rPr>
          <w:rFonts w:ascii="TimesNewRomanPSMT" w:hAnsi="TimesNewRomanPSMT" w:cs="TimesNewRomanPSMT"/>
          <w:lang w:val="en-US"/>
        </w:rPr>
        <w:t xml:space="preserve"> others with lower </w:t>
      </w:r>
      <w:proofErr w:type="spellStart"/>
      <w:r w:rsidRPr="0025606B">
        <w:rPr>
          <w:rFonts w:ascii="TimesNewRomanPSMT" w:hAnsi="TimesNewRomanPSMT" w:cs="TimesNewRomanPSMT"/>
          <w:lang w:val="en-US"/>
        </w:rPr>
        <w:t>cds</w:t>
      </w:r>
      <w:proofErr w:type="spellEnd"/>
      <w:r w:rsidRPr="0025606B">
        <w:rPr>
          <w:rFonts w:ascii="TimesNewRomanPSMT" w:hAnsi="TimesNewRomanPSMT" w:cs="TimesNewRomanPSMT"/>
          <w:lang w:val="en-US"/>
        </w:rPr>
        <w:t xml:space="preserve"> spread levels.   </w:t>
      </w:r>
    </w:p>
    <w:p w:rsidR="0025606B" w:rsidRPr="0025606B" w:rsidRDefault="0025606B" w:rsidP="0025606B">
      <w:pPr>
        <w:pStyle w:val="ListeParagraf"/>
        <w:tabs>
          <w:tab w:val="left" w:pos="426"/>
        </w:tabs>
        <w:autoSpaceDE w:val="0"/>
        <w:autoSpaceDN w:val="0"/>
        <w:adjustRightInd w:val="0"/>
        <w:spacing w:after="120"/>
        <w:ind w:left="0"/>
        <w:jc w:val="both"/>
        <w:rPr>
          <w:lang w:val="en-US"/>
        </w:rPr>
      </w:pPr>
    </w:p>
    <w:p w:rsidR="0025606B" w:rsidRPr="0025606B" w:rsidRDefault="0025606B" w:rsidP="0025606B">
      <w:pPr>
        <w:pStyle w:val="ListeParagraf"/>
        <w:numPr>
          <w:ilvl w:val="0"/>
          <w:numId w:val="3"/>
        </w:numPr>
        <w:tabs>
          <w:tab w:val="left" w:pos="426"/>
        </w:tabs>
        <w:autoSpaceDE w:val="0"/>
        <w:autoSpaceDN w:val="0"/>
        <w:adjustRightInd w:val="0"/>
        <w:spacing w:after="120"/>
        <w:ind w:left="0" w:firstLine="0"/>
        <w:jc w:val="both"/>
        <w:rPr>
          <w:lang w:val="en-US"/>
        </w:rPr>
      </w:pPr>
      <w:r w:rsidRPr="0025606B">
        <w:rPr>
          <w:lang w:val="en-US"/>
        </w:rPr>
        <w:t xml:space="preserve">There exist considerable positive relationship between the monthly changes in FX rates and the </w:t>
      </w:r>
      <w:proofErr w:type="spellStart"/>
      <w:r w:rsidRPr="0025606B">
        <w:rPr>
          <w:lang w:val="en-US"/>
        </w:rPr>
        <w:t>cds</w:t>
      </w:r>
      <w:proofErr w:type="spellEnd"/>
      <w:r w:rsidRPr="0025606B">
        <w:rPr>
          <w:lang w:val="en-US"/>
        </w:rPr>
        <w:t xml:space="preserve"> spreads(on average +0,53). As devaluation of the domestic currency generally signals difficulty in the external economic positioning of a country, such a parallel increase in the </w:t>
      </w:r>
      <w:proofErr w:type="spellStart"/>
      <w:r w:rsidRPr="0025606B">
        <w:rPr>
          <w:lang w:val="en-US"/>
        </w:rPr>
        <w:t>cds</w:t>
      </w:r>
      <w:proofErr w:type="spellEnd"/>
      <w:r w:rsidRPr="0025606B">
        <w:rPr>
          <w:lang w:val="en-US"/>
        </w:rPr>
        <w:t xml:space="preserve"> spreads is understandable.</w:t>
      </w:r>
    </w:p>
    <w:p w:rsidR="0025606B" w:rsidRPr="0025606B" w:rsidRDefault="0025606B" w:rsidP="0025606B">
      <w:pPr>
        <w:pStyle w:val="ListeParagraf"/>
        <w:spacing w:after="120"/>
        <w:jc w:val="both"/>
        <w:rPr>
          <w:lang w:val="en-US"/>
        </w:rPr>
      </w:pPr>
    </w:p>
    <w:p w:rsidR="0025606B" w:rsidRPr="0025606B" w:rsidRDefault="0025606B" w:rsidP="0025606B">
      <w:pPr>
        <w:pStyle w:val="ListeParagraf"/>
        <w:numPr>
          <w:ilvl w:val="0"/>
          <w:numId w:val="3"/>
        </w:numPr>
        <w:tabs>
          <w:tab w:val="left" w:pos="426"/>
        </w:tabs>
        <w:spacing w:after="120"/>
        <w:ind w:left="0" w:firstLine="0"/>
        <w:jc w:val="both"/>
        <w:rPr>
          <w:lang w:val="en-US"/>
        </w:rPr>
      </w:pPr>
      <w:r w:rsidRPr="0025606B">
        <w:rPr>
          <w:lang w:val="en-US"/>
        </w:rPr>
        <w:t>Although FX reserves and foreign indebtedness of a country have been regarded as amongst the major default risk components, such relations are not confirmed with the data employed referring to Table 5.</w:t>
      </w:r>
    </w:p>
    <w:p w:rsidR="0025606B" w:rsidRPr="0025606B" w:rsidRDefault="0025606B" w:rsidP="0025606B">
      <w:pPr>
        <w:pStyle w:val="ListeParagraf"/>
        <w:spacing w:after="120"/>
        <w:jc w:val="both"/>
        <w:rPr>
          <w:lang w:val="en-US"/>
        </w:rPr>
      </w:pPr>
    </w:p>
    <w:p w:rsidR="0025606B" w:rsidRPr="0025606B" w:rsidRDefault="0025606B" w:rsidP="0025606B">
      <w:pPr>
        <w:pStyle w:val="ListeParagraf"/>
        <w:numPr>
          <w:ilvl w:val="0"/>
          <w:numId w:val="3"/>
        </w:numPr>
        <w:tabs>
          <w:tab w:val="left" w:pos="426"/>
        </w:tabs>
        <w:spacing w:after="120"/>
        <w:ind w:left="0" w:firstLine="0"/>
        <w:jc w:val="both"/>
        <w:rPr>
          <w:lang w:val="en-US"/>
        </w:rPr>
      </w:pPr>
      <w:r w:rsidRPr="0025606B">
        <w:rPr>
          <w:lang w:val="en-US"/>
        </w:rPr>
        <w:t xml:space="preserve">Amongst the global financial market variables, the highest and negative correlation exist between the monthly changes in S&amp;P 500 index and </w:t>
      </w:r>
      <w:proofErr w:type="spellStart"/>
      <w:r w:rsidRPr="0025606B">
        <w:rPr>
          <w:lang w:val="en-US"/>
        </w:rPr>
        <w:t>cds</w:t>
      </w:r>
      <w:proofErr w:type="spellEnd"/>
      <w:r w:rsidRPr="0025606B">
        <w:rPr>
          <w:lang w:val="en-US"/>
        </w:rPr>
        <w:t xml:space="preserve"> spreads of the selected countries. This finding is in line with the findings of </w:t>
      </w:r>
      <w:proofErr w:type="spellStart"/>
      <w:r w:rsidRPr="0025606B">
        <w:rPr>
          <w:lang w:val="en-US"/>
        </w:rPr>
        <w:t>Longstaff</w:t>
      </w:r>
      <w:proofErr w:type="spellEnd"/>
      <w:r w:rsidRPr="0025606B">
        <w:rPr>
          <w:lang w:val="en-US"/>
        </w:rPr>
        <w:t xml:space="preserve"> and friends (2011). There is extensive evidence that shocks to the US financial markets are transmitted globally. It is thought that US security prices incorporate information about economic fundamentals or market liquidity that is relevant to a broad cross-section of countries. Referring to Table 6, the negative relationship widens after financial crisis for each of the country reflecting a further highlighting the risk concerns of the investors. </w:t>
      </w:r>
    </w:p>
    <w:p w:rsidR="0025606B" w:rsidRPr="0025606B" w:rsidRDefault="0025606B" w:rsidP="0025606B">
      <w:pPr>
        <w:pStyle w:val="ListeParagraf"/>
        <w:rPr>
          <w:rFonts w:ascii="TimesLTStd-Roman" w:hAnsi="TimesLTStd-Roman" w:cs="TimesLTStd-Roman"/>
          <w:lang w:val="en-US"/>
        </w:rPr>
      </w:pPr>
    </w:p>
    <w:p w:rsidR="0025606B" w:rsidRPr="0025606B" w:rsidRDefault="0025606B" w:rsidP="0025606B">
      <w:pPr>
        <w:pStyle w:val="ListeParagraf"/>
        <w:numPr>
          <w:ilvl w:val="0"/>
          <w:numId w:val="3"/>
        </w:numPr>
        <w:tabs>
          <w:tab w:val="left" w:pos="426"/>
        </w:tabs>
        <w:spacing w:after="120"/>
        <w:ind w:left="0" w:firstLine="0"/>
        <w:jc w:val="both"/>
        <w:rPr>
          <w:lang w:val="en-US"/>
        </w:rPr>
      </w:pPr>
      <w:r w:rsidRPr="0025606B">
        <w:rPr>
          <w:lang w:val="en-US"/>
        </w:rPr>
        <w:t xml:space="preserve">The correlation of the monthly changes in </w:t>
      </w:r>
      <w:proofErr w:type="spellStart"/>
      <w:r w:rsidRPr="0025606B">
        <w:rPr>
          <w:lang w:val="en-US"/>
        </w:rPr>
        <w:t>cds</w:t>
      </w:r>
      <w:proofErr w:type="spellEnd"/>
      <w:r w:rsidRPr="0025606B">
        <w:rPr>
          <w:lang w:val="en-US"/>
        </w:rPr>
        <w:t xml:space="preserve"> spreads and EMBI index represents a considerable positive relationship (on average +0, 42). The EMBI widens as risk aversion increases, so do </w:t>
      </w:r>
      <w:proofErr w:type="spellStart"/>
      <w:r w:rsidRPr="0025606B">
        <w:rPr>
          <w:lang w:val="en-US"/>
        </w:rPr>
        <w:t>cds</w:t>
      </w:r>
      <w:proofErr w:type="spellEnd"/>
      <w:r w:rsidRPr="0025606B">
        <w:rPr>
          <w:lang w:val="en-US"/>
        </w:rPr>
        <w:t xml:space="preserve"> spreads. Table 6 shows that generally positive or slightly negative relationship between two variables before crisis turn to higher negative relationship after crisis. It is noteworthy to mention that while the correlation of EMBI spreads and </w:t>
      </w:r>
      <w:proofErr w:type="spellStart"/>
      <w:r w:rsidRPr="0025606B">
        <w:rPr>
          <w:lang w:val="en-US"/>
        </w:rPr>
        <w:t>cds</w:t>
      </w:r>
      <w:proofErr w:type="spellEnd"/>
      <w:r w:rsidRPr="0025606B">
        <w:rPr>
          <w:lang w:val="en-US"/>
        </w:rPr>
        <w:t xml:space="preserve"> spreads are very low for Greece and Spain, they shows a negative relatively high relationship after crisis like other emerging market countries analyzed.</w:t>
      </w:r>
    </w:p>
    <w:p w:rsidR="0025606B" w:rsidRPr="0025606B" w:rsidRDefault="0025606B" w:rsidP="0025606B">
      <w:pPr>
        <w:pStyle w:val="ListeParagraf"/>
        <w:rPr>
          <w:lang w:val="en-US"/>
        </w:rPr>
      </w:pPr>
    </w:p>
    <w:p w:rsidR="0025606B" w:rsidRPr="0025606B" w:rsidRDefault="0025606B" w:rsidP="0025606B">
      <w:pPr>
        <w:pStyle w:val="ListeParagraf"/>
        <w:numPr>
          <w:ilvl w:val="0"/>
          <w:numId w:val="3"/>
        </w:numPr>
        <w:tabs>
          <w:tab w:val="left" w:pos="426"/>
        </w:tabs>
        <w:spacing w:after="120"/>
        <w:ind w:left="0" w:firstLine="0"/>
        <w:jc w:val="both"/>
        <w:rPr>
          <w:lang w:val="en-US"/>
        </w:rPr>
      </w:pPr>
      <w:r w:rsidRPr="0025606B">
        <w:rPr>
          <w:lang w:val="en-US"/>
        </w:rPr>
        <w:t xml:space="preserve">Accepting US Treasury bonds as a safe heaven, the sovereign bonds and US investment grade corporate bonds compete for funds as alternatives of the investment decisions. In this regard, the negative and relatively high relationship between the changes in the spread difference of US corporate bonds with AAA and A ratings and the </w:t>
      </w:r>
      <w:proofErr w:type="spellStart"/>
      <w:r w:rsidRPr="0025606B">
        <w:rPr>
          <w:lang w:val="en-US"/>
        </w:rPr>
        <w:t>cds</w:t>
      </w:r>
      <w:proofErr w:type="spellEnd"/>
      <w:r w:rsidRPr="0025606B">
        <w:rPr>
          <w:lang w:val="en-US"/>
        </w:rPr>
        <w:t xml:space="preserve"> spreads of the selected countries, which is -0,379 on average is understandable. Referring to Table 5, for Greece and Spain, the correlation is -0,06 and  -0,11 respectively, meaning that they differ from the emerging market countries.  However, the correlation increases considerably for both countries after the crisis as stipulated in Table 6.</w:t>
      </w:r>
    </w:p>
    <w:p w:rsidR="0025606B" w:rsidRPr="0025606B" w:rsidRDefault="0025606B" w:rsidP="0025606B">
      <w:pPr>
        <w:pStyle w:val="ListeParagraf"/>
        <w:rPr>
          <w:lang w:val="en-US"/>
        </w:rPr>
      </w:pPr>
    </w:p>
    <w:p w:rsidR="0025606B" w:rsidRPr="0025606B" w:rsidRDefault="0025606B" w:rsidP="0025606B">
      <w:pPr>
        <w:pStyle w:val="ListeParagraf"/>
        <w:numPr>
          <w:ilvl w:val="0"/>
          <w:numId w:val="3"/>
        </w:numPr>
        <w:tabs>
          <w:tab w:val="left" w:pos="426"/>
        </w:tabs>
        <w:spacing w:after="120"/>
        <w:ind w:left="0" w:firstLine="0"/>
        <w:jc w:val="both"/>
        <w:rPr>
          <w:lang w:val="en-US"/>
        </w:rPr>
      </w:pPr>
      <w:r w:rsidRPr="0025606B">
        <w:rPr>
          <w:lang w:val="en-US"/>
        </w:rPr>
        <w:t xml:space="preserve">Another US- financial market indicator is spread difference of the corporate with BBB and B ratings. Table 5 shows a negligible correlation between those spreads and </w:t>
      </w:r>
      <w:proofErr w:type="spellStart"/>
      <w:r w:rsidRPr="0025606B">
        <w:rPr>
          <w:lang w:val="en-US"/>
        </w:rPr>
        <w:t>cds</w:t>
      </w:r>
      <w:proofErr w:type="spellEnd"/>
      <w:r w:rsidRPr="0025606B">
        <w:rPr>
          <w:lang w:val="en-US"/>
        </w:rPr>
        <w:t xml:space="preserve"> spreads. However Table 6 shows a different picture; while before crisis there exist negative correlations for all the countries, after crisis the relations become positive and relatively high for all of the countries. This can be explained in such a way that as risk aversion increases in financial markets, the sovereign, as well as non-sovereign US risks are regarded as within the same “risky” assets group.</w:t>
      </w:r>
    </w:p>
    <w:p w:rsidR="0025606B" w:rsidRPr="0025606B" w:rsidRDefault="0025606B" w:rsidP="0025606B">
      <w:pPr>
        <w:pStyle w:val="ListeParagraf"/>
        <w:spacing w:after="120"/>
        <w:jc w:val="both"/>
        <w:rPr>
          <w:lang w:val="en-US"/>
        </w:rPr>
      </w:pPr>
    </w:p>
    <w:p w:rsidR="0025606B" w:rsidRPr="0025606B" w:rsidRDefault="0025606B" w:rsidP="0025606B">
      <w:pPr>
        <w:pStyle w:val="ListeParagraf"/>
        <w:numPr>
          <w:ilvl w:val="0"/>
          <w:numId w:val="3"/>
        </w:numPr>
        <w:tabs>
          <w:tab w:val="left" w:pos="426"/>
        </w:tabs>
        <w:spacing w:after="120"/>
        <w:ind w:left="0" w:firstLine="0"/>
        <w:jc w:val="both"/>
        <w:rPr>
          <w:lang w:val="en-US"/>
        </w:rPr>
      </w:pPr>
      <w:r w:rsidRPr="0025606B">
        <w:rPr>
          <w:lang w:val="en-US"/>
        </w:rPr>
        <w:t xml:space="preserve">The relationship between 5 years US Treasury excess returns and </w:t>
      </w:r>
      <w:proofErr w:type="spellStart"/>
      <w:r w:rsidRPr="0025606B">
        <w:rPr>
          <w:lang w:val="en-US"/>
        </w:rPr>
        <w:t>cds</w:t>
      </w:r>
      <w:proofErr w:type="spellEnd"/>
      <w:r w:rsidRPr="0025606B">
        <w:rPr>
          <w:lang w:val="en-US"/>
        </w:rPr>
        <w:t xml:space="preserve"> spreads is ambiguous referring to Table 5 as both has a correlation of -0,06. However, Table 6 signals a relatively high negative relationship after crisis although the relationship has positive sign before. This can be interpreted again with risk aversion in the market after crisis when </w:t>
      </w:r>
      <w:r w:rsidRPr="0025606B">
        <w:rPr>
          <w:lang w:val="en-US"/>
        </w:rPr>
        <w:lastRenderedPageBreak/>
        <w:t xml:space="preserve">funds flow to US Treasury as safe heaven, spreads fall while </w:t>
      </w:r>
      <w:proofErr w:type="spellStart"/>
      <w:r w:rsidRPr="0025606B">
        <w:rPr>
          <w:lang w:val="en-US"/>
        </w:rPr>
        <w:t>cds</w:t>
      </w:r>
      <w:proofErr w:type="spellEnd"/>
      <w:r w:rsidRPr="0025606B">
        <w:rPr>
          <w:lang w:val="en-US"/>
        </w:rPr>
        <w:t xml:space="preserve"> spreads widened. The correlation between the </w:t>
      </w:r>
      <w:proofErr w:type="spellStart"/>
      <w:r w:rsidRPr="0025606B">
        <w:rPr>
          <w:lang w:val="en-US"/>
        </w:rPr>
        <w:t>cds</w:t>
      </w:r>
      <w:proofErr w:type="spellEnd"/>
      <w:r w:rsidRPr="0025606B">
        <w:rPr>
          <w:lang w:val="en-US"/>
        </w:rPr>
        <w:t xml:space="preserve"> spreads and CMT index which is another indicator of US Treasury yield is higher as compared to 5 years UST Excess Returns. </w:t>
      </w:r>
    </w:p>
    <w:p w:rsidR="0025606B" w:rsidRPr="0025606B" w:rsidRDefault="0025606B" w:rsidP="0025606B">
      <w:pPr>
        <w:pStyle w:val="ListeParagraf"/>
        <w:spacing w:after="120"/>
        <w:jc w:val="both"/>
        <w:rPr>
          <w:lang w:val="en-US"/>
        </w:rPr>
      </w:pPr>
    </w:p>
    <w:p w:rsidR="0025606B" w:rsidRPr="0025606B" w:rsidRDefault="0025606B" w:rsidP="0025606B">
      <w:pPr>
        <w:pStyle w:val="ListeParagraf"/>
        <w:numPr>
          <w:ilvl w:val="0"/>
          <w:numId w:val="3"/>
        </w:numPr>
        <w:tabs>
          <w:tab w:val="left" w:pos="426"/>
        </w:tabs>
        <w:spacing w:after="120"/>
        <w:ind w:left="0" w:firstLine="0"/>
        <w:jc w:val="both"/>
        <w:rPr>
          <w:lang w:val="en-US"/>
        </w:rPr>
      </w:pPr>
      <w:r w:rsidRPr="0025606B">
        <w:rPr>
          <w:lang w:val="en-US"/>
        </w:rPr>
        <w:t xml:space="preserve">Amongst the variables representing the premiums, the monthly changes in the volatility premium as represented by VIX index has highest positive relationship with </w:t>
      </w:r>
      <w:proofErr w:type="spellStart"/>
      <w:r w:rsidRPr="0025606B">
        <w:rPr>
          <w:lang w:val="en-US"/>
        </w:rPr>
        <w:t>cds</w:t>
      </w:r>
      <w:proofErr w:type="spellEnd"/>
      <w:r w:rsidRPr="0025606B">
        <w:rPr>
          <w:lang w:val="en-US"/>
        </w:rPr>
        <w:t xml:space="preserve"> spread. This finding is in parallel with the findings of </w:t>
      </w:r>
      <w:proofErr w:type="spellStart"/>
      <w:r w:rsidRPr="0025606B">
        <w:rPr>
          <w:rFonts w:ascii="CMR12" w:hAnsi="CMR12" w:cs="CMR12"/>
          <w:lang w:val="en-US"/>
        </w:rPr>
        <w:t>Longstaff</w:t>
      </w:r>
      <w:proofErr w:type="spellEnd"/>
      <w:r w:rsidRPr="0025606B">
        <w:rPr>
          <w:rFonts w:ascii="CMR12" w:hAnsi="CMR12" w:cs="CMR12"/>
          <w:lang w:val="en-US"/>
        </w:rPr>
        <w:t xml:space="preserve"> and friends. (2011), Pan and Singleton (2008) and </w:t>
      </w:r>
      <w:proofErr w:type="spellStart"/>
      <w:r w:rsidRPr="0025606B">
        <w:rPr>
          <w:rFonts w:ascii="CMR12" w:hAnsi="CMR12" w:cs="CMR12"/>
          <w:lang w:val="en-US"/>
        </w:rPr>
        <w:t>Remolona</w:t>
      </w:r>
      <w:proofErr w:type="spellEnd"/>
      <w:r w:rsidRPr="0025606B">
        <w:rPr>
          <w:rFonts w:ascii="CMR12" w:hAnsi="CMR12" w:cs="CMR12"/>
          <w:lang w:val="en-US"/>
        </w:rPr>
        <w:t xml:space="preserve"> and friends (2008).</w:t>
      </w:r>
    </w:p>
    <w:p w:rsidR="0025606B" w:rsidRPr="0025606B" w:rsidRDefault="0025606B" w:rsidP="0025606B">
      <w:pPr>
        <w:pStyle w:val="ListeParagraf"/>
        <w:spacing w:after="120"/>
        <w:jc w:val="both"/>
        <w:rPr>
          <w:lang w:val="en-US"/>
        </w:rPr>
      </w:pPr>
    </w:p>
    <w:p w:rsidR="0025606B" w:rsidRPr="0025606B" w:rsidRDefault="0025606B" w:rsidP="0025606B">
      <w:pPr>
        <w:pStyle w:val="ListeParagraf"/>
        <w:numPr>
          <w:ilvl w:val="0"/>
          <w:numId w:val="3"/>
        </w:numPr>
        <w:tabs>
          <w:tab w:val="left" w:pos="426"/>
        </w:tabs>
        <w:spacing w:after="120"/>
        <w:ind w:left="0" w:firstLine="0"/>
        <w:jc w:val="both"/>
        <w:rPr>
          <w:lang w:val="en-US"/>
        </w:rPr>
      </w:pPr>
      <w:r w:rsidRPr="0025606B">
        <w:rPr>
          <w:lang w:val="en-US"/>
        </w:rPr>
        <w:t>Unlike the expectations, the correlation of the monthly changes in the both flows, equity and bond, are not that significant.</w:t>
      </w:r>
    </w:p>
    <w:p w:rsidR="0025606B" w:rsidRPr="0025606B" w:rsidRDefault="0025606B" w:rsidP="0025606B">
      <w:pPr>
        <w:pStyle w:val="ListeParagraf"/>
        <w:spacing w:after="120"/>
        <w:jc w:val="both"/>
        <w:rPr>
          <w:lang w:val="en-US"/>
        </w:rPr>
      </w:pPr>
    </w:p>
    <w:p w:rsidR="0025606B" w:rsidRPr="0025606B" w:rsidRDefault="0025606B" w:rsidP="0025606B">
      <w:pPr>
        <w:pStyle w:val="Balk2"/>
        <w:spacing w:before="0" w:line="240" w:lineRule="auto"/>
        <w:jc w:val="both"/>
        <w:rPr>
          <w:rFonts w:cs="Times New Roman"/>
          <w:i/>
          <w:szCs w:val="22"/>
          <w:lang w:val="en-US"/>
        </w:rPr>
      </w:pPr>
      <w:r w:rsidRPr="0025606B">
        <w:rPr>
          <w:rFonts w:cs="Times New Roman"/>
          <w:i/>
          <w:szCs w:val="22"/>
          <w:lang w:val="en-US"/>
        </w:rPr>
        <w:t>Results of the Regression Analysis</w:t>
      </w:r>
    </w:p>
    <w:p w:rsidR="0025606B" w:rsidRPr="0025606B" w:rsidRDefault="0025606B" w:rsidP="0025606B">
      <w:pPr>
        <w:tabs>
          <w:tab w:val="left" w:pos="426"/>
        </w:tabs>
        <w:spacing w:after="120"/>
        <w:jc w:val="both"/>
        <w:rPr>
          <w:lang w:val="en-US"/>
        </w:rPr>
      </w:pPr>
      <w:r w:rsidRPr="0025606B">
        <w:rPr>
          <w:lang w:val="en-US"/>
        </w:rPr>
        <w:t xml:space="preserve">Putting together all the selected and analyzed variables with regards to their relationships with the monthly </w:t>
      </w:r>
      <w:proofErr w:type="spellStart"/>
      <w:r w:rsidRPr="0025606B">
        <w:rPr>
          <w:lang w:val="en-US"/>
        </w:rPr>
        <w:t>cds</w:t>
      </w:r>
      <w:proofErr w:type="spellEnd"/>
      <w:r w:rsidRPr="0025606B">
        <w:rPr>
          <w:lang w:val="en-US"/>
        </w:rPr>
        <w:t xml:space="preserve"> spread changes of the selected sovereigns, firstly the regression was performed with only the country specific data; the computed t statistics for each variable is given in Table7.</w:t>
      </w:r>
    </w:p>
    <w:p w:rsidR="0025606B" w:rsidRPr="0025606B" w:rsidRDefault="0025606B" w:rsidP="0025606B">
      <w:pPr>
        <w:tabs>
          <w:tab w:val="left" w:pos="426"/>
        </w:tabs>
        <w:spacing w:after="120"/>
        <w:jc w:val="both"/>
        <w:rPr>
          <w:lang w:val="en-US"/>
        </w:rPr>
      </w:pPr>
      <w:r w:rsidRPr="0025606B">
        <w:rPr>
          <w:lang w:val="en-US"/>
        </w:rPr>
        <w:t>Specifically, Adjusted R</w:t>
      </w:r>
      <w:r w:rsidRPr="0025606B">
        <w:rPr>
          <w:vertAlign w:val="superscript"/>
          <w:lang w:val="en-US"/>
        </w:rPr>
        <w:t>2</w:t>
      </w:r>
      <w:r w:rsidRPr="0025606B">
        <w:rPr>
          <w:lang w:val="en-US"/>
        </w:rPr>
        <w:t xml:space="preserve"> for each country shows that the individual country economic situation has significant effects on </w:t>
      </w:r>
      <w:proofErr w:type="spellStart"/>
      <w:r w:rsidRPr="0025606B">
        <w:rPr>
          <w:lang w:val="en-US"/>
        </w:rPr>
        <w:t>cds</w:t>
      </w:r>
      <w:proofErr w:type="spellEnd"/>
      <w:r w:rsidRPr="0025606B">
        <w:rPr>
          <w:lang w:val="en-US"/>
        </w:rPr>
        <w:t xml:space="preserve"> spreads except Greece who experienced considerable turmoil in its economic and financial position. Although it is presumed that this deterioration has to be reflected in the </w:t>
      </w:r>
      <w:proofErr w:type="spellStart"/>
      <w:r w:rsidRPr="0025606B">
        <w:rPr>
          <w:lang w:val="en-US"/>
        </w:rPr>
        <w:t>cds</w:t>
      </w:r>
      <w:proofErr w:type="spellEnd"/>
      <w:r w:rsidRPr="0025606B">
        <w:rPr>
          <w:lang w:val="en-US"/>
        </w:rPr>
        <w:t xml:space="preserve"> spreads, the announcement of ISDA that the credit event occurred in the form of restructuring inevitably created imbalances such as illiquidity which in turn may make the </w:t>
      </w:r>
      <w:proofErr w:type="spellStart"/>
      <w:r w:rsidRPr="0025606B">
        <w:rPr>
          <w:lang w:val="en-US"/>
        </w:rPr>
        <w:t>cds</w:t>
      </w:r>
      <w:proofErr w:type="spellEnd"/>
      <w:r w:rsidRPr="0025606B">
        <w:rPr>
          <w:lang w:val="en-US"/>
        </w:rPr>
        <w:t xml:space="preserve"> spreads meaningless. </w:t>
      </w:r>
    </w:p>
    <w:p w:rsidR="0025606B" w:rsidRPr="0025606B" w:rsidRDefault="0025606B" w:rsidP="0025606B">
      <w:pPr>
        <w:tabs>
          <w:tab w:val="left" w:pos="426"/>
        </w:tabs>
        <w:spacing w:after="120"/>
        <w:jc w:val="both"/>
        <w:rPr>
          <w:lang w:val="en-US"/>
        </w:rPr>
      </w:pPr>
      <w:r w:rsidRPr="0025606B">
        <w:rPr>
          <w:lang w:val="en-US"/>
        </w:rPr>
        <w:t xml:space="preserve">The relationship between US Dollar against domestic currency rate and </w:t>
      </w:r>
      <w:proofErr w:type="spellStart"/>
      <w:r w:rsidRPr="0025606B">
        <w:rPr>
          <w:lang w:val="en-US"/>
        </w:rPr>
        <w:t>cds</w:t>
      </w:r>
      <w:proofErr w:type="spellEnd"/>
      <w:r w:rsidRPr="0025606B">
        <w:rPr>
          <w:lang w:val="en-US"/>
        </w:rPr>
        <w:t xml:space="preserve"> spreads is rather ambiguous as out of 6 countries 2 of them have negative signed t statistics. One of the recent studies for explaining and predicting sovereign credit risk with exchange rate volatility revealed the facts that the exchange rate volatility has an important role in the structural model of sovereign risk but the market does not fully price in the sovereign balance sheet information into CDS spreads. ( </w:t>
      </w:r>
      <w:proofErr w:type="spellStart"/>
      <w:r w:rsidRPr="0025606B">
        <w:rPr>
          <w:lang w:val="en-US"/>
        </w:rPr>
        <w:t>Duyvesteyn</w:t>
      </w:r>
      <w:proofErr w:type="spellEnd"/>
      <w:r w:rsidRPr="0025606B">
        <w:rPr>
          <w:lang w:val="en-US"/>
        </w:rPr>
        <w:t xml:space="preserve"> and Marten, 2011)</w:t>
      </w:r>
    </w:p>
    <w:p w:rsidR="0025606B" w:rsidRPr="0025606B" w:rsidRDefault="0025606B" w:rsidP="0025606B">
      <w:pPr>
        <w:tabs>
          <w:tab w:val="left" w:pos="426"/>
        </w:tabs>
        <w:spacing w:after="120"/>
        <w:jc w:val="both"/>
        <w:rPr>
          <w:lang w:val="en-US"/>
        </w:rPr>
      </w:pPr>
      <w:r w:rsidRPr="0025606B">
        <w:rPr>
          <w:lang w:val="en-US"/>
        </w:rPr>
        <w:t xml:space="preserve">When evaluating the </w:t>
      </w:r>
      <w:proofErr w:type="spellStart"/>
      <w:r w:rsidRPr="0025606B">
        <w:rPr>
          <w:lang w:val="en-US"/>
        </w:rPr>
        <w:t>affect</w:t>
      </w:r>
      <w:proofErr w:type="spellEnd"/>
      <w:r w:rsidRPr="0025606B">
        <w:rPr>
          <w:lang w:val="en-US"/>
        </w:rPr>
        <w:t xml:space="preserve"> of the variables in determining the </w:t>
      </w:r>
      <w:proofErr w:type="spellStart"/>
      <w:r w:rsidRPr="0025606B">
        <w:rPr>
          <w:lang w:val="en-US"/>
        </w:rPr>
        <w:t>cds</w:t>
      </w:r>
      <w:proofErr w:type="spellEnd"/>
      <w:r w:rsidRPr="0025606B">
        <w:rPr>
          <w:lang w:val="en-US"/>
        </w:rPr>
        <w:t xml:space="preserve"> spreads individually, the negative local stock market return coefficient across all the countries attracts attention. This can be understood in such a way that when many things go well in an economy this is reflected in the stock index to rise and </w:t>
      </w:r>
      <w:proofErr w:type="spellStart"/>
      <w:r w:rsidRPr="0025606B">
        <w:rPr>
          <w:lang w:val="en-US"/>
        </w:rPr>
        <w:t>cds</w:t>
      </w:r>
      <w:proofErr w:type="spellEnd"/>
      <w:r w:rsidRPr="0025606B">
        <w:rPr>
          <w:lang w:val="en-US"/>
        </w:rPr>
        <w:t xml:space="preserve"> spreads to fall.</w:t>
      </w:r>
      <w:r w:rsidRPr="0025606B">
        <w:rPr>
          <w:rStyle w:val="DipnotBavurusu"/>
          <w:lang w:val="en-US"/>
        </w:rPr>
        <w:footnoteReference w:id="4"/>
      </w:r>
    </w:p>
    <w:p w:rsidR="0025606B" w:rsidRPr="0025606B" w:rsidRDefault="0025606B" w:rsidP="0025606B">
      <w:pPr>
        <w:tabs>
          <w:tab w:val="left" w:pos="426"/>
        </w:tabs>
        <w:spacing w:after="120"/>
        <w:jc w:val="both"/>
        <w:rPr>
          <w:lang w:val="en-US"/>
        </w:rPr>
      </w:pPr>
      <w:r w:rsidRPr="0025606B">
        <w:rPr>
          <w:lang w:val="en-US"/>
        </w:rPr>
        <w:t xml:space="preserve">The relationship between the FX reserves of a country and </w:t>
      </w:r>
      <w:proofErr w:type="spellStart"/>
      <w:r w:rsidRPr="0025606B">
        <w:rPr>
          <w:lang w:val="en-US"/>
        </w:rPr>
        <w:t>cds</w:t>
      </w:r>
      <w:proofErr w:type="spellEnd"/>
      <w:r w:rsidRPr="0025606B">
        <w:rPr>
          <w:lang w:val="en-US"/>
        </w:rPr>
        <w:t xml:space="preserve"> spreads is also negative across countries. From the foreign lenders perspective, the higher FX reserve means higher payment capacity without the need of further financing, more generally a decline in foreign currency reserves, and/or a rise in the foreign debt default will increase </w:t>
      </w:r>
      <w:proofErr w:type="spellStart"/>
      <w:r w:rsidRPr="0025606B">
        <w:rPr>
          <w:lang w:val="en-US"/>
        </w:rPr>
        <w:t>cds</w:t>
      </w:r>
      <w:proofErr w:type="spellEnd"/>
      <w:r w:rsidRPr="0025606B">
        <w:rPr>
          <w:lang w:val="en-US"/>
        </w:rPr>
        <w:t xml:space="preserve"> spreads.</w:t>
      </w:r>
      <w:r w:rsidRPr="0025606B">
        <w:rPr>
          <w:vertAlign w:val="superscript"/>
          <w:lang w:val="en-US"/>
        </w:rPr>
        <w:footnoteReference w:id="5"/>
      </w:r>
      <w:r w:rsidRPr="0025606B">
        <w:rPr>
          <w:lang w:val="en-US"/>
        </w:rPr>
        <w:t xml:space="preserve"> </w:t>
      </w:r>
    </w:p>
    <w:p w:rsidR="0025606B" w:rsidRPr="0025606B" w:rsidRDefault="0025606B" w:rsidP="0025606B">
      <w:pPr>
        <w:tabs>
          <w:tab w:val="left" w:pos="426"/>
        </w:tabs>
        <w:spacing w:after="120"/>
        <w:jc w:val="both"/>
        <w:rPr>
          <w:lang w:val="en-US"/>
        </w:rPr>
      </w:pPr>
      <w:r w:rsidRPr="0025606B">
        <w:rPr>
          <w:lang w:val="en-US"/>
        </w:rPr>
        <w:t xml:space="preserve">The relationship between external debt and </w:t>
      </w:r>
      <w:proofErr w:type="spellStart"/>
      <w:r w:rsidRPr="0025606B">
        <w:rPr>
          <w:lang w:val="en-US"/>
        </w:rPr>
        <w:t>cds</w:t>
      </w:r>
      <w:proofErr w:type="spellEnd"/>
      <w:r w:rsidRPr="0025606B">
        <w:rPr>
          <w:lang w:val="en-US"/>
        </w:rPr>
        <w:t xml:space="preserve"> spreads is also impressive in having positive signed t statistics in all countries except Greece again. This positive relationship is logical and confirmed with many other research such as the one performed by Garcia and </w:t>
      </w:r>
      <w:proofErr w:type="spellStart"/>
      <w:r w:rsidRPr="0025606B">
        <w:rPr>
          <w:lang w:val="en-US"/>
        </w:rPr>
        <w:lastRenderedPageBreak/>
        <w:t>Rigobon</w:t>
      </w:r>
      <w:proofErr w:type="spellEnd"/>
      <w:r w:rsidRPr="0025606B">
        <w:rPr>
          <w:lang w:val="en-US"/>
        </w:rPr>
        <w:t xml:space="preserve"> (2005), who find that risk-based measures of debt sustainability are closely related to spreads in the case of Brazil.</w:t>
      </w:r>
    </w:p>
    <w:p w:rsidR="0025606B" w:rsidRPr="0025606B" w:rsidRDefault="0025606B" w:rsidP="0025606B">
      <w:pPr>
        <w:tabs>
          <w:tab w:val="left" w:pos="426"/>
        </w:tabs>
        <w:spacing w:after="120"/>
        <w:jc w:val="both"/>
        <w:rPr>
          <w:lang w:val="en-US"/>
        </w:rPr>
      </w:pPr>
      <w:r w:rsidRPr="0025606B">
        <w:rPr>
          <w:bCs/>
          <w:lang w:val="en-US"/>
        </w:rPr>
        <w:t xml:space="preserve">Balance of Payment as a % of GDP is included in the model as an independent variable because it is believed that this ratio not only gives the general foreign exchange related position of a country but also relates its external position with the economical capacity. From Table 7, it is seen that the relationship between this variable and </w:t>
      </w:r>
      <w:proofErr w:type="spellStart"/>
      <w:r w:rsidRPr="0025606B">
        <w:rPr>
          <w:bCs/>
          <w:lang w:val="en-US"/>
        </w:rPr>
        <w:t>cds</w:t>
      </w:r>
      <w:proofErr w:type="spellEnd"/>
      <w:r w:rsidRPr="0025606B">
        <w:rPr>
          <w:bCs/>
          <w:lang w:val="en-US"/>
        </w:rPr>
        <w:t xml:space="preserve"> spreads is negative across all the countries which is also logical as this ratio increases so the inflow from abroad in terms of trade relations as well as capital flows and the perceived riskiness will decrease as reflected in </w:t>
      </w:r>
      <w:proofErr w:type="spellStart"/>
      <w:r w:rsidRPr="0025606B">
        <w:rPr>
          <w:bCs/>
          <w:lang w:val="en-US"/>
        </w:rPr>
        <w:t>cds</w:t>
      </w:r>
      <w:proofErr w:type="spellEnd"/>
      <w:r w:rsidRPr="0025606B">
        <w:rPr>
          <w:bCs/>
          <w:lang w:val="en-US"/>
        </w:rPr>
        <w:t xml:space="preserve"> spreads.</w:t>
      </w:r>
    </w:p>
    <w:p w:rsidR="0025606B" w:rsidRPr="0025606B" w:rsidRDefault="0025606B" w:rsidP="0025606B">
      <w:pPr>
        <w:tabs>
          <w:tab w:val="left" w:pos="426"/>
        </w:tabs>
        <w:spacing w:after="120"/>
        <w:jc w:val="both"/>
        <w:rPr>
          <w:lang w:val="en-US"/>
        </w:rPr>
      </w:pPr>
      <w:r w:rsidRPr="0025606B">
        <w:rPr>
          <w:lang w:val="en-US"/>
        </w:rPr>
        <w:t>Despite all of these inferences, it is noteworthy to mention that many of the internal variables does not have significance at a 95 percent confidence level . Given the high level of Adjusted R</w:t>
      </w:r>
      <w:r w:rsidRPr="0025606B">
        <w:rPr>
          <w:vertAlign w:val="superscript"/>
          <w:lang w:val="en-US"/>
        </w:rPr>
        <w:t>2</w:t>
      </w:r>
      <w:r w:rsidRPr="0025606B">
        <w:rPr>
          <w:lang w:val="en-US"/>
        </w:rPr>
        <w:t>, this does not mean that the model does not work but some caution is needed to generalize the results.</w:t>
      </w:r>
    </w:p>
    <w:p w:rsidR="0025606B" w:rsidRPr="0025606B" w:rsidRDefault="0025606B" w:rsidP="0025606B">
      <w:pPr>
        <w:tabs>
          <w:tab w:val="left" w:pos="426"/>
        </w:tabs>
        <w:spacing w:after="120"/>
        <w:jc w:val="both"/>
        <w:rPr>
          <w:lang w:val="en-US"/>
        </w:rPr>
      </w:pPr>
      <w:r w:rsidRPr="0025606B">
        <w:rPr>
          <w:lang w:val="en-US"/>
        </w:rPr>
        <w:t xml:space="preserve">Broadening the perspective in the analysis of the </w:t>
      </w:r>
      <w:proofErr w:type="spellStart"/>
      <w:r w:rsidRPr="0025606B">
        <w:rPr>
          <w:lang w:val="en-US"/>
        </w:rPr>
        <w:t>cds</w:t>
      </w:r>
      <w:proofErr w:type="spellEnd"/>
      <w:r w:rsidRPr="0025606B">
        <w:rPr>
          <w:lang w:val="en-US"/>
        </w:rPr>
        <w:t xml:space="preserve"> spreads of the selected countries by adding the global financial factors, new regressions were realized and the produced t statistics are given on Table 6. First of all, comparing Adjusted R</w:t>
      </w:r>
      <w:r w:rsidRPr="0025606B">
        <w:rPr>
          <w:vertAlign w:val="superscript"/>
          <w:lang w:val="en-US"/>
        </w:rPr>
        <w:t>2</w:t>
      </w:r>
      <w:r w:rsidRPr="0025606B">
        <w:rPr>
          <w:lang w:val="en-US"/>
        </w:rPr>
        <w:t xml:space="preserve"> ‘s of Table 7 and 8, the considerable increase in the predictive capacity of the model for each country does worth to mention. With the inclusion of the global financial variables not only the predictive capacity increased, but also t statistics especially of the country-specific variables gained significance in 95 percent confidence level as can be seen from Table 8. </w:t>
      </w:r>
    </w:p>
    <w:p w:rsidR="0025606B" w:rsidRPr="0025606B" w:rsidRDefault="0025606B" w:rsidP="0025606B">
      <w:pPr>
        <w:tabs>
          <w:tab w:val="left" w:pos="426"/>
        </w:tabs>
        <w:spacing w:after="120"/>
        <w:jc w:val="both"/>
        <w:rPr>
          <w:lang w:val="en-US"/>
        </w:rPr>
      </w:pPr>
      <w:r w:rsidRPr="0025606B">
        <w:rPr>
          <w:lang w:val="en-US"/>
        </w:rPr>
        <w:t xml:space="preserve">In the last row of Table 8, a new dimension was included named as Local ratio by </w:t>
      </w:r>
      <w:proofErr w:type="spellStart"/>
      <w:r w:rsidRPr="0025606B">
        <w:rPr>
          <w:lang w:val="en-US"/>
        </w:rPr>
        <w:t>Longstaff</w:t>
      </w:r>
      <w:proofErr w:type="spellEnd"/>
      <w:r w:rsidRPr="0025606B">
        <w:rPr>
          <w:lang w:val="en-US"/>
        </w:rPr>
        <w:t xml:space="preserve"> and friends (2011) which is calculated as Adjusted R</w:t>
      </w:r>
      <w:r w:rsidRPr="0025606B">
        <w:rPr>
          <w:vertAlign w:val="superscript"/>
          <w:lang w:val="en-US"/>
        </w:rPr>
        <w:t>2</w:t>
      </w:r>
      <w:r w:rsidRPr="0025606B">
        <w:rPr>
          <w:lang w:val="en-US"/>
        </w:rPr>
        <w:t xml:space="preserve"> of the model when only country-specific variables included divided by the Adjusted R</w:t>
      </w:r>
      <w:r w:rsidRPr="0025606B">
        <w:rPr>
          <w:vertAlign w:val="superscript"/>
          <w:lang w:val="en-US"/>
        </w:rPr>
        <w:t>2</w:t>
      </w:r>
      <w:r w:rsidRPr="0025606B">
        <w:rPr>
          <w:lang w:val="en-US"/>
        </w:rPr>
        <w:t xml:space="preserve"> when all variables are included. This ratio shows that except Greece, the local variables explain more than 75 percent of the </w:t>
      </w:r>
      <w:proofErr w:type="spellStart"/>
      <w:r w:rsidRPr="0025606B">
        <w:rPr>
          <w:lang w:val="en-US"/>
        </w:rPr>
        <w:t>cds</w:t>
      </w:r>
      <w:proofErr w:type="spellEnd"/>
      <w:r w:rsidRPr="0025606B">
        <w:rPr>
          <w:lang w:val="en-US"/>
        </w:rPr>
        <w:t xml:space="preserve"> spread level. The situation for Greece is exceptional as it has already experienced a quasi-default occasion. In fact, the low local factor ratio for Spain can be interpreted with the revised market pricing of </w:t>
      </w:r>
      <w:proofErr w:type="spellStart"/>
      <w:r w:rsidRPr="0025606B">
        <w:rPr>
          <w:lang w:val="en-US"/>
        </w:rPr>
        <w:t>cds</w:t>
      </w:r>
      <w:proofErr w:type="spellEnd"/>
      <w:r w:rsidRPr="0025606B">
        <w:rPr>
          <w:lang w:val="en-US"/>
        </w:rPr>
        <w:t xml:space="preserve"> transactions of Spain after the Greek experience. The other countries, all of which are in the emerging market segment, have local ratios near or above than 80% which means that their credit standing is highly dependent on the local macro-economic environment.</w:t>
      </w:r>
    </w:p>
    <w:p w:rsidR="0025606B" w:rsidRPr="0025606B" w:rsidRDefault="0025606B" w:rsidP="0025606B">
      <w:pPr>
        <w:tabs>
          <w:tab w:val="left" w:pos="426"/>
        </w:tabs>
        <w:spacing w:after="120"/>
        <w:jc w:val="both"/>
        <w:rPr>
          <w:lang w:val="en-US"/>
        </w:rPr>
      </w:pPr>
      <w:r w:rsidRPr="0025606B">
        <w:rPr>
          <w:lang w:val="en-US"/>
        </w:rPr>
        <w:t xml:space="preserve">Surprisingly, </w:t>
      </w:r>
      <w:r w:rsidRPr="0025606B">
        <w:rPr>
          <w:bCs/>
          <w:lang w:val="en-US"/>
        </w:rPr>
        <w:t>Balance of Payment as a % of GDP ratio is the most significant local variable at 95 percent confidence level as t statistics are significant for 4 countries out of 6 but the direction of the relationship reveals some ambiguity.  For Russia and Korea, t statistics have positive sign unlike the other countries which can be explained by the fact that these two countries are net exporters.</w:t>
      </w:r>
    </w:p>
    <w:p w:rsidR="0025606B" w:rsidRPr="0025606B" w:rsidRDefault="0025606B" w:rsidP="0025606B">
      <w:pPr>
        <w:tabs>
          <w:tab w:val="left" w:pos="426"/>
        </w:tabs>
        <w:spacing w:after="120"/>
        <w:jc w:val="both"/>
        <w:rPr>
          <w:lang w:val="en-US"/>
        </w:rPr>
      </w:pPr>
      <w:r w:rsidRPr="0025606B">
        <w:rPr>
          <w:lang w:val="en-US"/>
        </w:rPr>
        <w:t xml:space="preserve">The domestic equity index and </w:t>
      </w:r>
      <w:proofErr w:type="spellStart"/>
      <w:r w:rsidRPr="0025606B">
        <w:rPr>
          <w:lang w:val="en-US"/>
        </w:rPr>
        <w:t>cds</w:t>
      </w:r>
      <w:proofErr w:type="spellEnd"/>
      <w:r w:rsidRPr="0025606B">
        <w:rPr>
          <w:lang w:val="en-US"/>
        </w:rPr>
        <w:t xml:space="preserve"> spread are again negatively correlated except Turkey, but this variable is statically significant only for Greece. The external debt also keeps the direction of the relation as positive for all the countries except again Greece whose external debt in type of bonds have restructured to longer terms in the first quarter of 2012. The FX reserves variable is significant for Korea and Greece although the former indicates a positive and the latter a negative relationship. As the direction of the relation of this variable is ambiguous, may be it was better to specify the external debt as a fraction of GDP.</w:t>
      </w:r>
    </w:p>
    <w:p w:rsidR="0025606B" w:rsidRPr="0025606B" w:rsidRDefault="0025606B" w:rsidP="0025606B">
      <w:pPr>
        <w:tabs>
          <w:tab w:val="left" w:pos="426"/>
        </w:tabs>
        <w:spacing w:after="120"/>
        <w:jc w:val="both"/>
        <w:rPr>
          <w:lang w:val="en-US"/>
        </w:rPr>
      </w:pPr>
      <w:r w:rsidRPr="0025606B">
        <w:rPr>
          <w:lang w:val="en-US"/>
        </w:rPr>
        <w:t xml:space="preserve">From the Table 8, it is seen that many of the global financial market variables have significant t values for the countries involved. As parallel to the findings of </w:t>
      </w:r>
      <w:proofErr w:type="spellStart"/>
      <w:r w:rsidRPr="0025606B">
        <w:rPr>
          <w:lang w:val="en-US"/>
        </w:rPr>
        <w:t>Longstaff</w:t>
      </w:r>
      <w:proofErr w:type="spellEnd"/>
      <w:r w:rsidRPr="0025606B">
        <w:rPr>
          <w:lang w:val="en-US"/>
        </w:rPr>
        <w:t xml:space="preserve"> and friends (2011), the variable of 5 years US Treasury excess returns has significant t values across all the countries. The direction of the relationship between </w:t>
      </w:r>
      <w:proofErr w:type="spellStart"/>
      <w:r w:rsidRPr="0025606B">
        <w:rPr>
          <w:lang w:val="en-US"/>
        </w:rPr>
        <w:t>cds</w:t>
      </w:r>
      <w:proofErr w:type="spellEnd"/>
      <w:r w:rsidRPr="0025606B">
        <w:rPr>
          <w:lang w:val="en-US"/>
        </w:rPr>
        <w:t xml:space="preserve"> spread is equally </w:t>
      </w:r>
      <w:r w:rsidRPr="0025606B">
        <w:rPr>
          <w:lang w:val="en-US"/>
        </w:rPr>
        <w:lastRenderedPageBreak/>
        <w:t xml:space="preserve">distributed among countries. A similar variable is Constant Maturity Treasury with 5 years maturity, 3 out of 6 countries it has significantly affected </w:t>
      </w:r>
      <w:proofErr w:type="spellStart"/>
      <w:r w:rsidRPr="0025606B">
        <w:rPr>
          <w:lang w:val="en-US"/>
        </w:rPr>
        <w:t>cds</w:t>
      </w:r>
      <w:proofErr w:type="spellEnd"/>
      <w:r w:rsidRPr="0025606B">
        <w:rPr>
          <w:lang w:val="en-US"/>
        </w:rPr>
        <w:t xml:space="preserve"> spreads.</w:t>
      </w:r>
    </w:p>
    <w:p w:rsidR="0025606B" w:rsidRPr="0025606B" w:rsidRDefault="0025606B" w:rsidP="0025606B">
      <w:pPr>
        <w:tabs>
          <w:tab w:val="left" w:pos="426"/>
        </w:tabs>
        <w:spacing w:after="120"/>
        <w:jc w:val="both"/>
        <w:rPr>
          <w:lang w:val="en-US"/>
        </w:rPr>
      </w:pPr>
      <w:r w:rsidRPr="0025606B">
        <w:rPr>
          <w:lang w:val="en-US"/>
        </w:rPr>
        <w:t xml:space="preserve">The softening risk appetite generally results with a shift of funds from US Treasury to equity and relatively high risk bonds and the first address is to less risky shares as covered by S&amp;P 500 index, consequently increasing S&amp;P 500 index generally signals improved risk appetite which is expected to smoothen the </w:t>
      </w:r>
      <w:proofErr w:type="spellStart"/>
      <w:r w:rsidRPr="0025606B">
        <w:rPr>
          <w:lang w:val="en-US"/>
        </w:rPr>
        <w:t>cds</w:t>
      </w:r>
      <w:proofErr w:type="spellEnd"/>
      <w:r w:rsidRPr="0025606B">
        <w:rPr>
          <w:lang w:val="en-US"/>
        </w:rPr>
        <w:t xml:space="preserve"> spreads as well, so a negative relationship is expected but the results of the analysis does not support this view. The direction of the relationship is negative for Brazil and Turkey and positive for the others. The relationship between the monthly changes in S&amp;P 500 index and the </w:t>
      </w:r>
      <w:proofErr w:type="spellStart"/>
      <w:r w:rsidRPr="0025606B">
        <w:rPr>
          <w:lang w:val="en-US"/>
        </w:rPr>
        <w:t>cds</w:t>
      </w:r>
      <w:proofErr w:type="spellEnd"/>
      <w:r w:rsidRPr="0025606B">
        <w:rPr>
          <w:lang w:val="en-US"/>
        </w:rPr>
        <w:t xml:space="preserve"> spreads of the selected sovereigns has significance for 2 countries out of 6.</w:t>
      </w:r>
    </w:p>
    <w:p w:rsidR="0025606B" w:rsidRPr="0025606B" w:rsidRDefault="0025606B" w:rsidP="0025606B">
      <w:pPr>
        <w:tabs>
          <w:tab w:val="left" w:pos="426"/>
        </w:tabs>
        <w:spacing w:after="120"/>
        <w:jc w:val="both"/>
        <w:rPr>
          <w:lang w:val="en-US"/>
        </w:rPr>
      </w:pPr>
      <w:r w:rsidRPr="0025606B">
        <w:rPr>
          <w:lang w:val="en-US"/>
        </w:rPr>
        <w:t>In the market place, the return difference between the US corporate with AAA and A ratings decreases when the risk appetite smoothens, the same is true for also US corporate BBB and B difference as the investors will not differentiate the riskiness of the categories so a negative relationship is expected. The expectations are confirmed with the findings as can be seen from Table 8 as both of the variables have generally negative signs and it can also be said that this variable is also significant at 95 percent confidence level.</w:t>
      </w:r>
    </w:p>
    <w:p w:rsidR="0025606B" w:rsidRPr="0025606B" w:rsidRDefault="0025606B" w:rsidP="0025606B">
      <w:pPr>
        <w:tabs>
          <w:tab w:val="left" w:pos="426"/>
        </w:tabs>
        <w:spacing w:after="120"/>
        <w:jc w:val="both"/>
        <w:rPr>
          <w:lang w:val="en-US"/>
        </w:rPr>
      </w:pPr>
      <w:r w:rsidRPr="0025606B">
        <w:rPr>
          <w:lang w:val="en-US"/>
        </w:rPr>
        <w:t xml:space="preserve">The other group of global variables are premiums of equity, volatility and terms measuring the relation of the </w:t>
      </w:r>
      <w:proofErr w:type="spellStart"/>
      <w:r w:rsidRPr="0025606B">
        <w:rPr>
          <w:lang w:val="en-US"/>
        </w:rPr>
        <w:t>cds</w:t>
      </w:r>
      <w:proofErr w:type="spellEnd"/>
      <w:r w:rsidRPr="0025606B">
        <w:rPr>
          <w:lang w:val="en-US"/>
        </w:rPr>
        <w:t xml:space="preserve"> spreads with price earnings ratio of S&amp;P 100 index, VIX  and the index issued by Barclays indicating the spread difference between 5 and 1 year bonds respectively. From Table 8, it is clearly seen that all the premiums are statistically significant in determining </w:t>
      </w:r>
      <w:proofErr w:type="spellStart"/>
      <w:r w:rsidRPr="0025606B">
        <w:rPr>
          <w:lang w:val="en-US"/>
        </w:rPr>
        <w:t>cds</w:t>
      </w:r>
      <w:proofErr w:type="spellEnd"/>
      <w:r w:rsidRPr="0025606B">
        <w:rPr>
          <w:lang w:val="en-US"/>
        </w:rPr>
        <w:t xml:space="preserve"> spreads at 95 percent confidence level.</w:t>
      </w:r>
    </w:p>
    <w:p w:rsidR="0025606B" w:rsidRPr="0025606B" w:rsidRDefault="0025606B" w:rsidP="0025606B">
      <w:pPr>
        <w:tabs>
          <w:tab w:val="left" w:pos="426"/>
        </w:tabs>
        <w:spacing w:after="120"/>
        <w:jc w:val="both"/>
        <w:rPr>
          <w:lang w:val="en-US"/>
        </w:rPr>
      </w:pPr>
      <w:r w:rsidRPr="0025606B">
        <w:rPr>
          <w:lang w:val="en-US"/>
        </w:rPr>
        <w:t xml:space="preserve">The last interesting finding from Table 8 is that funds flow from US to invest to whether bonds or equity does not affect the </w:t>
      </w:r>
      <w:proofErr w:type="spellStart"/>
      <w:r w:rsidRPr="0025606B">
        <w:rPr>
          <w:lang w:val="en-US"/>
        </w:rPr>
        <w:t>cds</w:t>
      </w:r>
      <w:proofErr w:type="spellEnd"/>
      <w:r w:rsidRPr="0025606B">
        <w:rPr>
          <w:lang w:val="en-US"/>
        </w:rPr>
        <w:t xml:space="preserve"> spreads considerably although funds flow is expected to rise in good times when also </w:t>
      </w:r>
      <w:proofErr w:type="spellStart"/>
      <w:r w:rsidRPr="0025606B">
        <w:rPr>
          <w:lang w:val="en-US"/>
        </w:rPr>
        <w:t>cds</w:t>
      </w:r>
      <w:proofErr w:type="spellEnd"/>
      <w:r w:rsidRPr="0025606B">
        <w:rPr>
          <w:lang w:val="en-US"/>
        </w:rPr>
        <w:t xml:space="preserve"> spreads narrows.</w:t>
      </w:r>
    </w:p>
    <w:p w:rsidR="0025606B" w:rsidRPr="0025606B" w:rsidRDefault="0025606B" w:rsidP="0025606B">
      <w:pPr>
        <w:autoSpaceDE w:val="0"/>
        <w:autoSpaceDN w:val="0"/>
        <w:adjustRightInd w:val="0"/>
        <w:spacing w:after="120"/>
        <w:jc w:val="both"/>
        <w:rPr>
          <w:lang w:val="en-US"/>
        </w:rPr>
      </w:pPr>
    </w:p>
    <w:p w:rsidR="0025606B" w:rsidRDefault="0025606B" w:rsidP="0025606B">
      <w:pPr>
        <w:pStyle w:val="Balk1"/>
        <w:numPr>
          <w:ilvl w:val="0"/>
          <w:numId w:val="0"/>
        </w:numPr>
        <w:spacing w:before="0" w:after="120" w:line="240" w:lineRule="auto"/>
        <w:ind w:left="357" w:hanging="357"/>
        <w:jc w:val="both"/>
        <w:rPr>
          <w:rFonts w:cs="Times New Roman"/>
          <w:sz w:val="24"/>
          <w:szCs w:val="22"/>
          <w:lang w:val="en-US"/>
        </w:rPr>
      </w:pPr>
      <w:r w:rsidRPr="0025606B">
        <w:rPr>
          <w:rFonts w:cs="Times New Roman"/>
          <w:sz w:val="24"/>
          <w:szCs w:val="22"/>
          <w:lang w:val="en-US"/>
        </w:rPr>
        <w:t>Conclusion</w:t>
      </w:r>
    </w:p>
    <w:p w:rsidR="0025606B" w:rsidRPr="0025606B" w:rsidRDefault="0025606B" w:rsidP="0025606B">
      <w:pPr>
        <w:rPr>
          <w:lang w:val="en-US"/>
        </w:rPr>
      </w:pPr>
    </w:p>
    <w:p w:rsidR="0025606B" w:rsidRPr="0025606B" w:rsidRDefault="0025606B" w:rsidP="0025606B">
      <w:pPr>
        <w:tabs>
          <w:tab w:val="left" w:pos="426"/>
        </w:tabs>
        <w:spacing w:after="120"/>
        <w:jc w:val="both"/>
        <w:rPr>
          <w:lang w:val="en-US"/>
        </w:rPr>
      </w:pPr>
      <w:r w:rsidRPr="0025606B">
        <w:rPr>
          <w:lang w:val="en-US"/>
        </w:rPr>
        <w:t xml:space="preserve">The protection provided by a </w:t>
      </w:r>
      <w:proofErr w:type="spellStart"/>
      <w:r w:rsidRPr="0025606B">
        <w:rPr>
          <w:lang w:val="en-US"/>
        </w:rPr>
        <w:t>cds</w:t>
      </w:r>
      <w:proofErr w:type="spellEnd"/>
      <w:r w:rsidRPr="0025606B">
        <w:rPr>
          <w:lang w:val="en-US"/>
        </w:rPr>
        <w:t xml:space="preserve"> transaction has gained importance especially after the quasi-default situation of Greece. The market participants have begun to question not only the dissolution procedure of the </w:t>
      </w:r>
      <w:proofErr w:type="spellStart"/>
      <w:r w:rsidRPr="0025606B">
        <w:rPr>
          <w:lang w:val="en-US"/>
        </w:rPr>
        <w:t>cds</w:t>
      </w:r>
      <w:proofErr w:type="spellEnd"/>
      <w:r w:rsidRPr="0025606B">
        <w:rPr>
          <w:lang w:val="en-US"/>
        </w:rPr>
        <w:t xml:space="preserve"> transactions after the realization of a credit event but also the protection they provided and whether the </w:t>
      </w:r>
      <w:proofErr w:type="spellStart"/>
      <w:r w:rsidRPr="0025606B">
        <w:rPr>
          <w:lang w:val="en-US"/>
        </w:rPr>
        <w:t>cds</w:t>
      </w:r>
      <w:proofErr w:type="spellEnd"/>
      <w:r w:rsidRPr="0025606B">
        <w:rPr>
          <w:lang w:val="en-US"/>
        </w:rPr>
        <w:t xml:space="preserve"> spreads truly reflect the credit risk of the sovereign. The </w:t>
      </w:r>
      <w:proofErr w:type="spellStart"/>
      <w:r w:rsidRPr="0025606B">
        <w:rPr>
          <w:lang w:val="en-US"/>
        </w:rPr>
        <w:t>cds</w:t>
      </w:r>
      <w:proofErr w:type="spellEnd"/>
      <w:r w:rsidRPr="0025606B">
        <w:rPr>
          <w:lang w:val="en-US"/>
        </w:rPr>
        <w:t xml:space="preserve"> spreads should reflect the developments in the country-specific macro-economic fundamentals affecting the default probability of a sovereign in order provide hedging capability. However </w:t>
      </w:r>
      <w:proofErr w:type="spellStart"/>
      <w:r w:rsidRPr="0025606B">
        <w:rPr>
          <w:lang w:val="en-US"/>
        </w:rPr>
        <w:t>cds</w:t>
      </w:r>
      <w:proofErr w:type="spellEnd"/>
      <w:r w:rsidRPr="0025606B">
        <w:rPr>
          <w:lang w:val="en-US"/>
        </w:rPr>
        <w:t xml:space="preserve"> is a trade able instrument, the spreads are determined in the market place so inevitably are affected by the market climate. Many researchers have focused on the local and global factors affecting the </w:t>
      </w:r>
      <w:proofErr w:type="spellStart"/>
      <w:r w:rsidRPr="0025606B">
        <w:rPr>
          <w:lang w:val="en-US"/>
        </w:rPr>
        <w:t>cds</w:t>
      </w:r>
      <w:proofErr w:type="spellEnd"/>
      <w:r w:rsidRPr="0025606B">
        <w:rPr>
          <w:lang w:val="en-US"/>
        </w:rPr>
        <w:t xml:space="preserve"> spreads and this study also aimed to figure out the </w:t>
      </w:r>
      <w:proofErr w:type="spellStart"/>
      <w:r w:rsidRPr="0025606B">
        <w:rPr>
          <w:lang w:val="en-US"/>
        </w:rPr>
        <w:t>cds</w:t>
      </w:r>
      <w:proofErr w:type="spellEnd"/>
      <w:r w:rsidRPr="0025606B">
        <w:rPr>
          <w:lang w:val="en-US"/>
        </w:rPr>
        <w:t xml:space="preserve"> spreads of six countries, namely Brazil, Russia, South Korea, Turkey, Greece and Spain. The first four countries are amongst the emerging market segment and intentionally selected representing different geographical locations, as well as trade positions and Greece and Spain were selected in order to capture the possible dynamics in the </w:t>
      </w:r>
      <w:proofErr w:type="spellStart"/>
      <w:r w:rsidRPr="0025606B">
        <w:rPr>
          <w:lang w:val="en-US"/>
        </w:rPr>
        <w:t>cds</w:t>
      </w:r>
      <w:proofErr w:type="spellEnd"/>
      <w:r w:rsidRPr="0025606B">
        <w:rPr>
          <w:lang w:val="en-US"/>
        </w:rPr>
        <w:t xml:space="preserve"> spreads in case of quasi-default and default </w:t>
      </w:r>
      <w:r w:rsidR="00FB5C78" w:rsidRPr="0025606B">
        <w:rPr>
          <w:lang w:val="en-US"/>
        </w:rPr>
        <w:t>rumors</w:t>
      </w:r>
      <w:r w:rsidRPr="0025606B">
        <w:rPr>
          <w:lang w:val="en-US"/>
        </w:rPr>
        <w:t xml:space="preserve"> which are the cases for them respectively.</w:t>
      </w:r>
    </w:p>
    <w:p w:rsidR="0025606B" w:rsidRPr="0025606B" w:rsidRDefault="0025606B" w:rsidP="0025606B">
      <w:pPr>
        <w:tabs>
          <w:tab w:val="left" w:pos="426"/>
        </w:tabs>
        <w:spacing w:after="120"/>
        <w:jc w:val="both"/>
        <w:rPr>
          <w:lang w:val="en-US"/>
        </w:rPr>
      </w:pPr>
      <w:r w:rsidRPr="0025606B">
        <w:rPr>
          <w:lang w:val="en-US"/>
        </w:rPr>
        <w:t xml:space="preserve">Whatever the source of commonality, </w:t>
      </w:r>
      <w:r w:rsidR="00FB5C78" w:rsidRPr="0025606B">
        <w:rPr>
          <w:lang w:val="en-US"/>
        </w:rPr>
        <w:t>it</w:t>
      </w:r>
      <w:r w:rsidRPr="0025606B">
        <w:rPr>
          <w:lang w:val="en-US"/>
        </w:rPr>
        <w:t xml:space="preserve"> is a fact that the </w:t>
      </w:r>
      <w:proofErr w:type="spellStart"/>
      <w:r w:rsidRPr="0025606B">
        <w:rPr>
          <w:lang w:val="en-US"/>
        </w:rPr>
        <w:t>cds</w:t>
      </w:r>
      <w:proofErr w:type="spellEnd"/>
      <w:r w:rsidRPr="0025606B">
        <w:rPr>
          <w:lang w:val="en-US"/>
        </w:rPr>
        <w:t xml:space="preserve"> spreads of the sovereigns do move together as indicated by high correlation among the </w:t>
      </w:r>
      <w:proofErr w:type="spellStart"/>
      <w:r w:rsidRPr="0025606B">
        <w:rPr>
          <w:lang w:val="en-US"/>
        </w:rPr>
        <w:t>cds</w:t>
      </w:r>
      <w:proofErr w:type="spellEnd"/>
      <w:r w:rsidRPr="0025606B">
        <w:rPr>
          <w:lang w:val="en-US"/>
        </w:rPr>
        <w:t xml:space="preserve"> spreads of the selected countries for the period between May 2005 till May 2012 covering the crisis times of 2008-2009 as well as Euro-sovereign crisis. When evaluating the pair-wise correlations of monthly changes of the </w:t>
      </w:r>
      <w:proofErr w:type="spellStart"/>
      <w:r w:rsidRPr="0025606B">
        <w:rPr>
          <w:lang w:val="en-US"/>
        </w:rPr>
        <w:t>cds</w:t>
      </w:r>
      <w:proofErr w:type="spellEnd"/>
      <w:r w:rsidRPr="0025606B">
        <w:rPr>
          <w:lang w:val="en-US"/>
        </w:rPr>
        <w:t xml:space="preserve"> spreads the decomposition of Greece and Spain from the other </w:t>
      </w:r>
      <w:r w:rsidRPr="0025606B">
        <w:rPr>
          <w:lang w:val="en-US"/>
        </w:rPr>
        <w:lastRenderedPageBreak/>
        <w:t xml:space="preserve">countries is seen easily. This decomposition may be attributable to the troublesome conditions they face but also to their origination to Euro area of </w:t>
      </w:r>
      <w:r w:rsidR="00FB5C78" w:rsidRPr="0025606B">
        <w:rPr>
          <w:lang w:val="en-US"/>
        </w:rPr>
        <w:t>economic</w:t>
      </w:r>
      <w:r w:rsidRPr="0025606B">
        <w:rPr>
          <w:lang w:val="en-US"/>
        </w:rPr>
        <w:t xml:space="preserve"> cooperation and the developed nature of their economies. Not surprisingly, the emerging market countries have high correlations amongst themselves as the internal and external factors affecting their credit riskiness are similar. The monthly </w:t>
      </w:r>
      <w:proofErr w:type="spellStart"/>
      <w:r w:rsidRPr="0025606B">
        <w:rPr>
          <w:lang w:val="en-US"/>
        </w:rPr>
        <w:t>cds</w:t>
      </w:r>
      <w:proofErr w:type="spellEnd"/>
      <w:r w:rsidRPr="0025606B">
        <w:rPr>
          <w:lang w:val="en-US"/>
        </w:rPr>
        <w:t xml:space="preserve"> spreads movements are not only correlated highly but also a limited number of common factors have affect all of the sovereigns as 62 percent of the variation is explained by the first common factor and the first three component captures nearly 90 percent of the correlation.</w:t>
      </w:r>
    </w:p>
    <w:p w:rsidR="0025606B" w:rsidRPr="0025606B" w:rsidRDefault="0025606B" w:rsidP="0025606B">
      <w:pPr>
        <w:tabs>
          <w:tab w:val="left" w:pos="426"/>
        </w:tabs>
        <w:spacing w:after="120"/>
        <w:jc w:val="both"/>
        <w:rPr>
          <w:lang w:val="en-US"/>
        </w:rPr>
      </w:pPr>
      <w:r w:rsidRPr="0025606B">
        <w:rPr>
          <w:lang w:val="en-US"/>
        </w:rPr>
        <w:t xml:space="preserve">The relation of the </w:t>
      </w:r>
      <w:proofErr w:type="spellStart"/>
      <w:r w:rsidRPr="0025606B">
        <w:rPr>
          <w:lang w:val="en-US"/>
        </w:rPr>
        <w:t>cds</w:t>
      </w:r>
      <w:proofErr w:type="spellEnd"/>
      <w:r w:rsidRPr="0025606B">
        <w:rPr>
          <w:lang w:val="en-US"/>
        </w:rPr>
        <w:t xml:space="preserve"> spreads with some index such as S&amp;P 500 index and VIX have been analyzed by many of the researcher and the result is parallel to earlier findings such that the principal source of variation across the sovereign </w:t>
      </w:r>
      <w:proofErr w:type="spellStart"/>
      <w:r w:rsidRPr="0025606B">
        <w:rPr>
          <w:lang w:val="en-US"/>
        </w:rPr>
        <w:t>cds</w:t>
      </w:r>
      <w:proofErr w:type="spellEnd"/>
      <w:r w:rsidRPr="0025606B">
        <w:rPr>
          <w:lang w:val="en-US"/>
        </w:rPr>
        <w:t xml:space="preserve"> spreads of the selected countries comes from US stock market return and volatility as defined by those indexes.</w:t>
      </w:r>
    </w:p>
    <w:p w:rsidR="0025606B" w:rsidRPr="0025606B" w:rsidRDefault="0025606B" w:rsidP="0025606B">
      <w:pPr>
        <w:tabs>
          <w:tab w:val="left" w:pos="426"/>
        </w:tabs>
        <w:spacing w:after="120"/>
        <w:jc w:val="both"/>
        <w:rPr>
          <w:lang w:val="en-US"/>
        </w:rPr>
      </w:pPr>
      <w:r w:rsidRPr="0025606B">
        <w:rPr>
          <w:lang w:val="en-US"/>
        </w:rPr>
        <w:t xml:space="preserve">The correlation of the monthly changes in each variable with that of the </w:t>
      </w:r>
      <w:proofErr w:type="spellStart"/>
      <w:r w:rsidRPr="0025606B">
        <w:rPr>
          <w:lang w:val="en-US"/>
        </w:rPr>
        <w:t>cds</w:t>
      </w:r>
      <w:proofErr w:type="spellEnd"/>
      <w:r w:rsidRPr="0025606B">
        <w:rPr>
          <w:lang w:val="en-US"/>
        </w:rPr>
        <w:t xml:space="preserve"> spreads indicated a very significant negative relationship between domestic equity index (Greece and Spain decomposed) and a relatively significant positive relationship with FX rates against US Dollar. The relation with FX reserves and foreign indebtedness are not confirmed although these variables may be considered to be amongst the determinants of the credit riskiness of a country. The relation was even loose for the variable which is specified as the balance of payment as a percentage of GDP. </w:t>
      </w:r>
    </w:p>
    <w:p w:rsidR="0025606B" w:rsidRPr="0025606B" w:rsidRDefault="0025606B" w:rsidP="0025606B">
      <w:pPr>
        <w:tabs>
          <w:tab w:val="left" w:pos="426"/>
        </w:tabs>
        <w:spacing w:after="120"/>
        <w:jc w:val="both"/>
        <w:rPr>
          <w:lang w:val="en-US"/>
        </w:rPr>
      </w:pPr>
      <w:r w:rsidRPr="0025606B">
        <w:rPr>
          <w:lang w:val="en-US"/>
        </w:rPr>
        <w:t xml:space="preserve">Amongst the global financial variables, the most influential are US equity indices as represented by S&amp;P 500 index with a high degree of negative correlation and EMBI with a high degree of positive correlation. Another impressive finding is that the </w:t>
      </w:r>
      <w:r w:rsidR="00FB5C78" w:rsidRPr="0025606B">
        <w:rPr>
          <w:lang w:val="en-US"/>
        </w:rPr>
        <w:t>difference between the spreads of US corporate with AAA and A rating and also that of BBB and B ratings has</w:t>
      </w:r>
      <w:r w:rsidRPr="0025606B">
        <w:rPr>
          <w:lang w:val="en-US"/>
        </w:rPr>
        <w:t xml:space="preserve"> negative and relatively high correlations. Notably, the correlation between the monthly changes in </w:t>
      </w:r>
      <w:proofErr w:type="spellStart"/>
      <w:r w:rsidRPr="0025606B">
        <w:rPr>
          <w:lang w:val="en-US"/>
        </w:rPr>
        <w:t>cds</w:t>
      </w:r>
      <w:proofErr w:type="spellEnd"/>
      <w:r w:rsidRPr="0025606B">
        <w:rPr>
          <w:lang w:val="en-US"/>
        </w:rPr>
        <w:t xml:space="preserve"> spreads and VIX index is also positive and high.</w:t>
      </w:r>
    </w:p>
    <w:p w:rsidR="0025606B" w:rsidRPr="0025606B" w:rsidRDefault="0025606B" w:rsidP="0025606B">
      <w:pPr>
        <w:tabs>
          <w:tab w:val="left" w:pos="426"/>
        </w:tabs>
        <w:spacing w:after="120"/>
        <w:jc w:val="both"/>
        <w:rPr>
          <w:lang w:val="en-US"/>
        </w:rPr>
      </w:pPr>
      <w:r w:rsidRPr="0025606B">
        <w:rPr>
          <w:lang w:val="en-US"/>
        </w:rPr>
        <w:t xml:space="preserve">The financial market related variables and their relationship with </w:t>
      </w:r>
      <w:proofErr w:type="spellStart"/>
      <w:r w:rsidRPr="0025606B">
        <w:rPr>
          <w:lang w:val="en-US"/>
        </w:rPr>
        <w:t>cds</w:t>
      </w:r>
      <w:proofErr w:type="spellEnd"/>
      <w:r w:rsidRPr="0025606B">
        <w:rPr>
          <w:lang w:val="en-US"/>
        </w:rPr>
        <w:t xml:space="preserve"> spreads reveals the fact that the risk appetite in the global financial market affects the credit risk perception and consequently the </w:t>
      </w:r>
      <w:proofErr w:type="spellStart"/>
      <w:r w:rsidRPr="0025606B">
        <w:rPr>
          <w:lang w:val="en-US"/>
        </w:rPr>
        <w:t>cds</w:t>
      </w:r>
      <w:proofErr w:type="spellEnd"/>
      <w:r w:rsidRPr="0025606B">
        <w:rPr>
          <w:lang w:val="en-US"/>
        </w:rPr>
        <w:t xml:space="preserve"> spreads regardless of the </w:t>
      </w:r>
      <w:r w:rsidR="00FB5C78" w:rsidRPr="0025606B">
        <w:rPr>
          <w:lang w:val="en-US"/>
        </w:rPr>
        <w:t>employed indicator</w:t>
      </w:r>
      <w:r w:rsidRPr="0025606B">
        <w:rPr>
          <w:lang w:val="en-US"/>
        </w:rPr>
        <w:t xml:space="preserve"> of the risk appetite. But, the portfolio flows do not have significant relation with </w:t>
      </w:r>
      <w:proofErr w:type="spellStart"/>
      <w:r w:rsidRPr="0025606B">
        <w:rPr>
          <w:lang w:val="en-US"/>
        </w:rPr>
        <w:t>cds</w:t>
      </w:r>
      <w:proofErr w:type="spellEnd"/>
      <w:r w:rsidRPr="0025606B">
        <w:rPr>
          <w:lang w:val="en-US"/>
        </w:rPr>
        <w:t xml:space="preserve"> spreads, may be steaming from their probable lagging occurrences.</w:t>
      </w:r>
    </w:p>
    <w:p w:rsidR="0025606B" w:rsidRPr="0025606B" w:rsidRDefault="0025606B" w:rsidP="0025606B">
      <w:pPr>
        <w:tabs>
          <w:tab w:val="left" w:pos="426"/>
        </w:tabs>
        <w:spacing w:after="120"/>
        <w:jc w:val="both"/>
        <w:rPr>
          <w:lang w:val="en-US"/>
        </w:rPr>
      </w:pPr>
      <w:r w:rsidRPr="0025606B">
        <w:rPr>
          <w:lang w:val="en-US"/>
        </w:rPr>
        <w:t xml:space="preserve">In fact, the regression analysis produced supportive results to the above mentioned determinations. Specifically, it is revealed that individual country </w:t>
      </w:r>
      <w:r w:rsidR="00FB5C78" w:rsidRPr="0025606B">
        <w:rPr>
          <w:lang w:val="en-US"/>
        </w:rPr>
        <w:t>economic</w:t>
      </w:r>
      <w:r w:rsidRPr="0025606B">
        <w:rPr>
          <w:lang w:val="en-US"/>
        </w:rPr>
        <w:t xml:space="preserve"> situation has significant effects on </w:t>
      </w:r>
      <w:proofErr w:type="spellStart"/>
      <w:r w:rsidRPr="0025606B">
        <w:rPr>
          <w:lang w:val="en-US"/>
        </w:rPr>
        <w:t>cds</w:t>
      </w:r>
      <w:proofErr w:type="spellEnd"/>
      <w:r w:rsidRPr="0025606B">
        <w:rPr>
          <w:lang w:val="en-US"/>
        </w:rPr>
        <w:t xml:space="preserve"> spreads except Greece who experienced considerable turmoil in its </w:t>
      </w:r>
      <w:r w:rsidR="00FB5C78" w:rsidRPr="0025606B">
        <w:rPr>
          <w:lang w:val="en-US"/>
        </w:rPr>
        <w:t>economic</w:t>
      </w:r>
      <w:r w:rsidRPr="0025606B">
        <w:rPr>
          <w:lang w:val="en-US"/>
        </w:rPr>
        <w:t xml:space="preserve"> and financial position. More specifically it is seen that except Greece, the local variables explains more than 75 percent of the </w:t>
      </w:r>
      <w:proofErr w:type="spellStart"/>
      <w:r w:rsidRPr="0025606B">
        <w:rPr>
          <w:lang w:val="en-US"/>
        </w:rPr>
        <w:t>cds</w:t>
      </w:r>
      <w:proofErr w:type="spellEnd"/>
      <w:r w:rsidRPr="0025606B">
        <w:rPr>
          <w:lang w:val="en-US"/>
        </w:rPr>
        <w:t xml:space="preserve"> spread level and this ratio increases to more than 80% when four  emerging market countries are referred. </w:t>
      </w:r>
    </w:p>
    <w:p w:rsidR="005C4FF0" w:rsidRDefault="0025606B" w:rsidP="0025606B">
      <w:pPr>
        <w:rPr>
          <w:lang w:val="en-US"/>
        </w:rPr>
      </w:pPr>
      <w:r w:rsidRPr="0025606B">
        <w:rPr>
          <w:lang w:val="en-US"/>
        </w:rPr>
        <w:t>Adding global financial variables into the system not only increased the predictive capability of the model but also increased the significance of the contributions of the local variables more significant so making the overall model more predictive.</w:t>
      </w:r>
    </w:p>
    <w:p w:rsidR="00FB5C78" w:rsidRPr="0025606B" w:rsidRDefault="00FB5C78" w:rsidP="0025606B">
      <w:pPr>
        <w:rPr>
          <w:noProof/>
          <w:lang w:val="en-US"/>
        </w:rPr>
      </w:pPr>
    </w:p>
    <w:p w:rsidR="005C4FF0" w:rsidRPr="0025606B" w:rsidRDefault="005C4FF0" w:rsidP="0025606B">
      <w:pPr>
        <w:jc w:val="both"/>
        <w:rPr>
          <w:b/>
          <w:bCs/>
          <w:kern w:val="32"/>
          <w:lang w:val="en-US"/>
        </w:rPr>
      </w:pPr>
      <w:r w:rsidRPr="0025606B">
        <w:rPr>
          <w:b/>
          <w:bCs/>
          <w:kern w:val="32"/>
          <w:lang w:val="en-US"/>
        </w:rPr>
        <w:t xml:space="preserve">References </w:t>
      </w:r>
    </w:p>
    <w:p w:rsidR="00FB5C78" w:rsidRDefault="00FB5C78" w:rsidP="00FB5C78">
      <w:pPr>
        <w:ind w:left="851" w:hanging="851"/>
        <w:jc w:val="both"/>
        <w:rPr>
          <w:lang w:val="en-US"/>
        </w:rPr>
      </w:pPr>
    </w:p>
    <w:p w:rsidR="00FB5C78" w:rsidRPr="00FB5C78" w:rsidRDefault="00FB5C78" w:rsidP="00FB5C78">
      <w:pPr>
        <w:ind w:left="851" w:hanging="851"/>
        <w:jc w:val="both"/>
        <w:rPr>
          <w:lang w:val="en-US"/>
        </w:rPr>
      </w:pPr>
      <w:proofErr w:type="spellStart"/>
      <w:r w:rsidRPr="00FB5C78">
        <w:rPr>
          <w:lang w:val="en-US"/>
        </w:rPr>
        <w:t>Ang</w:t>
      </w:r>
      <w:proofErr w:type="spellEnd"/>
      <w:r w:rsidRPr="00FB5C78">
        <w:rPr>
          <w:lang w:val="en-US"/>
        </w:rPr>
        <w:t xml:space="preserve">, Andrew and Francis A, </w:t>
      </w:r>
      <w:proofErr w:type="spellStart"/>
      <w:r w:rsidRPr="00FB5C78">
        <w:rPr>
          <w:lang w:val="en-US"/>
        </w:rPr>
        <w:t>Longstaff</w:t>
      </w:r>
      <w:proofErr w:type="spellEnd"/>
      <w:r w:rsidRPr="00FB5C78">
        <w:rPr>
          <w:lang w:val="en-US"/>
        </w:rPr>
        <w:t xml:space="preserve">, (2011). “Systemic Sovereign Credit Risk: Lessons from the U,S, and Europe,” </w:t>
      </w:r>
      <w:r w:rsidRPr="00FB5C78">
        <w:rPr>
          <w:bCs/>
        </w:rPr>
        <w:t xml:space="preserve">NBER </w:t>
      </w:r>
      <w:proofErr w:type="spellStart"/>
      <w:r w:rsidRPr="00FB5C78">
        <w:rPr>
          <w:bCs/>
        </w:rPr>
        <w:t>Working</w:t>
      </w:r>
      <w:proofErr w:type="spellEnd"/>
      <w:r w:rsidRPr="00FB5C78">
        <w:rPr>
          <w:bCs/>
        </w:rPr>
        <w:t xml:space="preserve"> </w:t>
      </w:r>
      <w:proofErr w:type="spellStart"/>
      <w:r w:rsidRPr="00FB5C78">
        <w:rPr>
          <w:bCs/>
        </w:rPr>
        <w:t>Paper</w:t>
      </w:r>
      <w:proofErr w:type="spellEnd"/>
      <w:r w:rsidRPr="00FB5C78">
        <w:rPr>
          <w:bCs/>
        </w:rPr>
        <w:t xml:space="preserve"> No, 16982,</w:t>
      </w:r>
    </w:p>
    <w:p w:rsidR="00FB5C78" w:rsidRPr="00FB5C78" w:rsidRDefault="00FB5C78" w:rsidP="00FB5C78">
      <w:pPr>
        <w:ind w:left="851" w:hanging="851"/>
        <w:jc w:val="both"/>
        <w:rPr>
          <w:lang w:val="en-US"/>
        </w:rPr>
      </w:pPr>
    </w:p>
    <w:p w:rsidR="00FB5C78" w:rsidRPr="00FB5C78" w:rsidRDefault="00FB5C78" w:rsidP="00FB5C78">
      <w:pPr>
        <w:ind w:left="851" w:hanging="851"/>
        <w:jc w:val="both"/>
        <w:rPr>
          <w:lang w:val="en-US"/>
        </w:rPr>
      </w:pPr>
      <w:proofErr w:type="spellStart"/>
      <w:r w:rsidRPr="00FB5C78">
        <w:t>Augustin</w:t>
      </w:r>
      <w:proofErr w:type="spellEnd"/>
      <w:r w:rsidRPr="00FB5C78">
        <w:t xml:space="preserve">, </w:t>
      </w:r>
      <w:proofErr w:type="spellStart"/>
      <w:r w:rsidRPr="00FB5C78">
        <w:t>Patrick</w:t>
      </w:r>
      <w:proofErr w:type="spellEnd"/>
      <w:r w:rsidRPr="00FB5C78">
        <w:t xml:space="preserve"> </w:t>
      </w:r>
      <w:proofErr w:type="spellStart"/>
      <w:r w:rsidRPr="00FB5C78">
        <w:t>and</w:t>
      </w:r>
      <w:proofErr w:type="spellEnd"/>
      <w:r w:rsidRPr="00FB5C78">
        <w:t xml:space="preserve">  Romeo </w:t>
      </w:r>
      <w:proofErr w:type="spellStart"/>
      <w:r w:rsidRPr="00FB5C78">
        <w:t>Tedongap</w:t>
      </w:r>
      <w:proofErr w:type="spellEnd"/>
      <w:r w:rsidRPr="00FB5C78">
        <w:t xml:space="preserve"> (2011). “</w:t>
      </w:r>
      <w:proofErr w:type="spellStart"/>
      <w:r w:rsidRPr="00FB5C78">
        <w:t>Common</w:t>
      </w:r>
      <w:proofErr w:type="spellEnd"/>
      <w:r w:rsidRPr="00FB5C78">
        <w:t xml:space="preserve"> </w:t>
      </w:r>
      <w:proofErr w:type="spellStart"/>
      <w:r w:rsidRPr="00FB5C78">
        <w:t>Factors</w:t>
      </w:r>
      <w:proofErr w:type="spellEnd"/>
      <w:r w:rsidRPr="00FB5C78">
        <w:t xml:space="preserve"> </w:t>
      </w:r>
      <w:proofErr w:type="spellStart"/>
      <w:r w:rsidRPr="00FB5C78">
        <w:t>and</w:t>
      </w:r>
      <w:proofErr w:type="spellEnd"/>
      <w:r w:rsidRPr="00FB5C78">
        <w:t xml:space="preserve"> </w:t>
      </w:r>
      <w:proofErr w:type="spellStart"/>
      <w:r w:rsidRPr="00FB5C78">
        <w:t>Commonality</w:t>
      </w:r>
      <w:proofErr w:type="spellEnd"/>
      <w:r w:rsidRPr="00FB5C78">
        <w:t xml:space="preserve"> in </w:t>
      </w:r>
      <w:proofErr w:type="spellStart"/>
      <w:r w:rsidRPr="00FB5C78">
        <w:t>Sovereign</w:t>
      </w:r>
      <w:proofErr w:type="spellEnd"/>
      <w:r w:rsidRPr="00FB5C78">
        <w:t xml:space="preserve"> CDS </w:t>
      </w:r>
      <w:proofErr w:type="spellStart"/>
      <w:r w:rsidRPr="00FB5C78">
        <w:t>Spreads</w:t>
      </w:r>
      <w:proofErr w:type="spellEnd"/>
      <w:r w:rsidRPr="00FB5C78">
        <w:t xml:space="preserve">: A </w:t>
      </w:r>
      <w:proofErr w:type="spellStart"/>
      <w:r w:rsidRPr="00FB5C78">
        <w:t>consumption-based</w:t>
      </w:r>
      <w:proofErr w:type="spellEnd"/>
      <w:r w:rsidRPr="00FB5C78">
        <w:t xml:space="preserve"> </w:t>
      </w:r>
      <w:proofErr w:type="spellStart"/>
      <w:r w:rsidRPr="00FB5C78">
        <w:t>explanation</w:t>
      </w:r>
      <w:proofErr w:type="spellEnd"/>
      <w:r w:rsidRPr="00FB5C78">
        <w:t xml:space="preserve">,”   </w:t>
      </w:r>
      <w:proofErr w:type="spellStart"/>
      <w:r w:rsidRPr="00FB5C78">
        <w:rPr>
          <w:bCs/>
        </w:rPr>
        <w:t>Banco</w:t>
      </w:r>
      <w:proofErr w:type="spellEnd"/>
      <w:r w:rsidRPr="00FB5C78">
        <w:rPr>
          <w:bCs/>
        </w:rPr>
        <w:t xml:space="preserve"> de </w:t>
      </w:r>
      <w:proofErr w:type="spellStart"/>
      <w:r w:rsidRPr="00FB5C78">
        <w:rPr>
          <w:bCs/>
        </w:rPr>
        <w:t>España</w:t>
      </w:r>
      <w:proofErr w:type="spellEnd"/>
      <w:r w:rsidRPr="00FB5C78">
        <w:rPr>
          <w:bCs/>
        </w:rPr>
        <w:t xml:space="preserve"> – </w:t>
      </w:r>
      <w:r w:rsidRPr="00FB5C78">
        <w:rPr>
          <w:bCs/>
        </w:rPr>
        <w:lastRenderedPageBreak/>
        <w:t xml:space="preserve">Bank of </w:t>
      </w:r>
      <w:proofErr w:type="spellStart"/>
      <w:r w:rsidRPr="00FB5C78">
        <w:rPr>
          <w:bCs/>
        </w:rPr>
        <w:t>Canada</w:t>
      </w:r>
      <w:proofErr w:type="spellEnd"/>
      <w:r w:rsidRPr="00FB5C78">
        <w:rPr>
          <w:bCs/>
        </w:rPr>
        <w:t xml:space="preserve"> Workshop on "</w:t>
      </w:r>
      <w:proofErr w:type="spellStart"/>
      <w:r w:rsidRPr="00FB5C78">
        <w:rPr>
          <w:bCs/>
        </w:rPr>
        <w:t>Advances</w:t>
      </w:r>
      <w:proofErr w:type="spellEnd"/>
      <w:r w:rsidRPr="00FB5C78">
        <w:rPr>
          <w:bCs/>
        </w:rPr>
        <w:t xml:space="preserve"> in </w:t>
      </w:r>
      <w:proofErr w:type="spellStart"/>
      <w:r w:rsidRPr="00FB5C78">
        <w:rPr>
          <w:bCs/>
        </w:rPr>
        <w:t>Fixed</w:t>
      </w:r>
      <w:proofErr w:type="spellEnd"/>
      <w:r w:rsidRPr="00FB5C78">
        <w:rPr>
          <w:bCs/>
        </w:rPr>
        <w:t xml:space="preserve"> </w:t>
      </w:r>
      <w:proofErr w:type="spellStart"/>
      <w:r w:rsidRPr="00FB5C78">
        <w:rPr>
          <w:bCs/>
        </w:rPr>
        <w:t>Income</w:t>
      </w:r>
      <w:proofErr w:type="spellEnd"/>
      <w:r w:rsidRPr="00FB5C78">
        <w:rPr>
          <w:bCs/>
        </w:rPr>
        <w:t xml:space="preserve"> </w:t>
      </w:r>
      <w:proofErr w:type="spellStart"/>
      <w:r w:rsidRPr="00FB5C78">
        <w:rPr>
          <w:bCs/>
        </w:rPr>
        <w:t>Modeling</w:t>
      </w:r>
      <w:proofErr w:type="spellEnd"/>
      <w:r w:rsidRPr="00FB5C78">
        <w:rPr>
          <w:bCs/>
        </w:rPr>
        <w:t xml:space="preserve">," </w:t>
      </w:r>
      <w:r w:rsidRPr="00FB5C78">
        <w:t xml:space="preserve">Madrid, 2011, 4-5 of </w:t>
      </w:r>
      <w:proofErr w:type="spellStart"/>
      <w:r w:rsidRPr="00FB5C78">
        <w:t>July</w:t>
      </w:r>
      <w:proofErr w:type="spellEnd"/>
    </w:p>
    <w:p w:rsidR="00FB5C78" w:rsidRPr="00FB5C78" w:rsidRDefault="00FB5C78" w:rsidP="00FB5C78">
      <w:pPr>
        <w:ind w:left="851" w:hanging="851"/>
        <w:jc w:val="both"/>
        <w:rPr>
          <w:lang w:val="en-US"/>
        </w:rPr>
      </w:pPr>
    </w:p>
    <w:p w:rsidR="00FB5C78" w:rsidRPr="00FB5C78" w:rsidRDefault="00FB5C78" w:rsidP="00FB5C78">
      <w:pPr>
        <w:ind w:left="851" w:hanging="851"/>
        <w:jc w:val="both"/>
        <w:rPr>
          <w:lang w:val="en-US"/>
        </w:rPr>
      </w:pPr>
      <w:proofErr w:type="spellStart"/>
      <w:r w:rsidRPr="00FB5C78">
        <w:t>Baek</w:t>
      </w:r>
      <w:proofErr w:type="spellEnd"/>
      <w:r w:rsidRPr="00FB5C78">
        <w:t xml:space="preserve">, I,, </w:t>
      </w:r>
      <w:proofErr w:type="spellStart"/>
      <w:r w:rsidRPr="00FB5C78">
        <w:t>Bandopadhyaya</w:t>
      </w:r>
      <w:proofErr w:type="spellEnd"/>
      <w:r w:rsidRPr="00FB5C78">
        <w:t xml:space="preserve">, A, </w:t>
      </w:r>
      <w:proofErr w:type="spellStart"/>
      <w:r w:rsidRPr="00FB5C78">
        <w:t>and</w:t>
      </w:r>
      <w:proofErr w:type="spellEnd"/>
      <w:r w:rsidRPr="00FB5C78">
        <w:t xml:space="preserve"> </w:t>
      </w:r>
      <w:proofErr w:type="spellStart"/>
      <w:r w:rsidRPr="00FB5C78">
        <w:t>Du</w:t>
      </w:r>
      <w:proofErr w:type="spellEnd"/>
      <w:r w:rsidRPr="00FB5C78">
        <w:t xml:space="preserve">, </w:t>
      </w:r>
      <w:proofErr w:type="spellStart"/>
      <w:r w:rsidRPr="00FB5C78">
        <w:t>Chan</w:t>
      </w:r>
      <w:proofErr w:type="spellEnd"/>
      <w:r w:rsidRPr="00FB5C78">
        <w:t>, (2005). “</w:t>
      </w:r>
      <w:proofErr w:type="spellStart"/>
      <w:r w:rsidRPr="00FB5C78">
        <w:t>Determinants</w:t>
      </w:r>
      <w:proofErr w:type="spellEnd"/>
      <w:r w:rsidRPr="00FB5C78">
        <w:t xml:space="preserve"> of market-</w:t>
      </w:r>
      <w:proofErr w:type="spellStart"/>
      <w:r w:rsidRPr="00FB5C78">
        <w:t>assessed</w:t>
      </w:r>
      <w:proofErr w:type="spellEnd"/>
      <w:r w:rsidRPr="00FB5C78">
        <w:t xml:space="preserve"> </w:t>
      </w:r>
      <w:proofErr w:type="spellStart"/>
      <w:r w:rsidRPr="00FB5C78">
        <w:t>sovereign</w:t>
      </w:r>
      <w:proofErr w:type="spellEnd"/>
      <w:r w:rsidRPr="00FB5C78">
        <w:t xml:space="preserve"> risk: </w:t>
      </w:r>
      <w:proofErr w:type="spellStart"/>
      <w:r w:rsidRPr="00FB5C78">
        <w:t>Economic</w:t>
      </w:r>
      <w:proofErr w:type="spellEnd"/>
      <w:r w:rsidRPr="00FB5C78">
        <w:t xml:space="preserve"> </w:t>
      </w:r>
      <w:proofErr w:type="spellStart"/>
      <w:r w:rsidRPr="00FB5C78">
        <w:t>fundamentals</w:t>
      </w:r>
      <w:proofErr w:type="spellEnd"/>
      <w:r w:rsidRPr="00FB5C78">
        <w:t xml:space="preserve"> </w:t>
      </w:r>
      <w:proofErr w:type="spellStart"/>
      <w:r w:rsidRPr="00FB5C78">
        <w:t>or</w:t>
      </w:r>
      <w:proofErr w:type="spellEnd"/>
      <w:r w:rsidRPr="00FB5C78">
        <w:t xml:space="preserve"> market risk,” </w:t>
      </w:r>
      <w:proofErr w:type="spellStart"/>
      <w:r w:rsidRPr="00FB5C78">
        <w:rPr>
          <w:iCs/>
        </w:rPr>
        <w:t>Journal</w:t>
      </w:r>
      <w:proofErr w:type="spellEnd"/>
      <w:r w:rsidRPr="00FB5C78">
        <w:rPr>
          <w:iCs/>
        </w:rPr>
        <w:t xml:space="preserve"> of International Money &amp; Finance</w:t>
      </w:r>
      <w:r w:rsidRPr="00FB5C78">
        <w:t xml:space="preserve">, 24: 533–548, </w:t>
      </w:r>
    </w:p>
    <w:p w:rsidR="00FB5C78" w:rsidRPr="00FB5C78" w:rsidRDefault="00FB5C78" w:rsidP="00FB5C78">
      <w:pPr>
        <w:ind w:left="851" w:hanging="851"/>
        <w:jc w:val="both"/>
        <w:rPr>
          <w:lang w:val="en-US"/>
        </w:rPr>
      </w:pPr>
    </w:p>
    <w:p w:rsidR="00FB5C78" w:rsidRPr="00FB5C78" w:rsidRDefault="00FB5C78" w:rsidP="00FB5C78">
      <w:pPr>
        <w:ind w:left="851" w:hanging="851"/>
        <w:jc w:val="both"/>
        <w:rPr>
          <w:lang w:val="en-US"/>
        </w:rPr>
      </w:pPr>
      <w:proofErr w:type="spellStart"/>
      <w:r w:rsidRPr="00FB5C78">
        <w:t>Cantor</w:t>
      </w:r>
      <w:proofErr w:type="spellEnd"/>
      <w:r w:rsidRPr="00FB5C78">
        <w:t xml:space="preserve">, R, </w:t>
      </w:r>
      <w:proofErr w:type="spellStart"/>
      <w:r w:rsidRPr="00FB5C78">
        <w:t>and</w:t>
      </w:r>
      <w:proofErr w:type="spellEnd"/>
      <w:r w:rsidRPr="00FB5C78">
        <w:t xml:space="preserve"> F, </w:t>
      </w:r>
      <w:proofErr w:type="spellStart"/>
      <w:r w:rsidRPr="00FB5C78">
        <w:t>Packer</w:t>
      </w:r>
      <w:proofErr w:type="spellEnd"/>
      <w:r w:rsidRPr="00FB5C78">
        <w:t xml:space="preserve">, (1996). “ </w:t>
      </w:r>
      <w:proofErr w:type="spellStart"/>
      <w:r w:rsidRPr="00FB5C78">
        <w:t>Determinants</w:t>
      </w:r>
      <w:proofErr w:type="spellEnd"/>
      <w:r w:rsidRPr="00FB5C78">
        <w:t xml:space="preserve"> </w:t>
      </w:r>
      <w:proofErr w:type="spellStart"/>
      <w:r w:rsidRPr="00FB5C78">
        <w:t>and</w:t>
      </w:r>
      <w:proofErr w:type="spellEnd"/>
      <w:r w:rsidRPr="00FB5C78">
        <w:t xml:space="preserve"> </w:t>
      </w:r>
      <w:proofErr w:type="spellStart"/>
      <w:r w:rsidRPr="00FB5C78">
        <w:t>impact</w:t>
      </w:r>
      <w:proofErr w:type="spellEnd"/>
      <w:r w:rsidRPr="00FB5C78">
        <w:t xml:space="preserve"> of </w:t>
      </w:r>
      <w:proofErr w:type="spellStart"/>
      <w:r w:rsidRPr="00FB5C78">
        <w:t>sovereign</w:t>
      </w:r>
      <w:proofErr w:type="spellEnd"/>
      <w:r w:rsidRPr="00FB5C78">
        <w:t xml:space="preserve"> </w:t>
      </w:r>
      <w:proofErr w:type="spellStart"/>
      <w:r w:rsidRPr="00FB5C78">
        <w:t>credit</w:t>
      </w:r>
      <w:proofErr w:type="spellEnd"/>
      <w:r w:rsidRPr="00FB5C78">
        <w:t xml:space="preserve"> </w:t>
      </w:r>
      <w:proofErr w:type="spellStart"/>
      <w:r w:rsidRPr="00FB5C78">
        <w:t>ratings</w:t>
      </w:r>
      <w:proofErr w:type="spellEnd"/>
      <w:r w:rsidRPr="00FB5C78">
        <w:t xml:space="preserve">,” </w:t>
      </w:r>
      <w:proofErr w:type="spellStart"/>
      <w:r w:rsidRPr="00FB5C78">
        <w:t>Economic</w:t>
      </w:r>
      <w:proofErr w:type="spellEnd"/>
      <w:r w:rsidRPr="00FB5C78">
        <w:t xml:space="preserve"> </w:t>
      </w:r>
      <w:proofErr w:type="spellStart"/>
      <w:r w:rsidRPr="00FB5C78">
        <w:t>Policy</w:t>
      </w:r>
      <w:proofErr w:type="spellEnd"/>
      <w:r w:rsidRPr="00FB5C78">
        <w:t xml:space="preserve"> </w:t>
      </w:r>
      <w:proofErr w:type="spellStart"/>
      <w:r w:rsidRPr="00FB5C78">
        <w:t>Review</w:t>
      </w:r>
      <w:proofErr w:type="spellEnd"/>
      <w:r w:rsidRPr="00FB5C78">
        <w:t xml:space="preserve"> (19320426) 2(2): P37,</w:t>
      </w:r>
    </w:p>
    <w:p w:rsidR="00FB5C78" w:rsidRPr="00FB5C78" w:rsidRDefault="00FB5C78" w:rsidP="00FB5C78">
      <w:pPr>
        <w:ind w:left="851" w:hanging="851"/>
        <w:jc w:val="both"/>
        <w:rPr>
          <w:lang w:val="en-US"/>
        </w:rPr>
      </w:pPr>
    </w:p>
    <w:p w:rsidR="00FB5C78" w:rsidRPr="00FB5C78" w:rsidRDefault="00FB5C78" w:rsidP="00FB5C78">
      <w:pPr>
        <w:ind w:left="851" w:hanging="851"/>
        <w:jc w:val="both"/>
        <w:rPr>
          <w:lang w:val="en-US"/>
        </w:rPr>
      </w:pPr>
      <w:proofErr w:type="spellStart"/>
      <w:r w:rsidRPr="00FB5C78">
        <w:t>Catão</w:t>
      </w:r>
      <w:proofErr w:type="spellEnd"/>
      <w:r w:rsidRPr="00FB5C78">
        <w:t xml:space="preserve">, L, </w:t>
      </w:r>
      <w:proofErr w:type="spellStart"/>
      <w:r w:rsidRPr="00FB5C78">
        <w:t>and</w:t>
      </w:r>
      <w:proofErr w:type="spellEnd"/>
      <w:r w:rsidRPr="00FB5C78">
        <w:t xml:space="preserve"> </w:t>
      </w:r>
      <w:proofErr w:type="spellStart"/>
      <w:r w:rsidRPr="00FB5C78">
        <w:t>Sutton</w:t>
      </w:r>
      <w:proofErr w:type="spellEnd"/>
      <w:r w:rsidRPr="00FB5C78">
        <w:t>, B, (2002). “</w:t>
      </w:r>
      <w:proofErr w:type="spellStart"/>
      <w:r w:rsidR="00006B4A">
        <w:fldChar w:fldCharType="begin"/>
      </w:r>
      <w:r w:rsidR="00006B4A">
        <w:instrText xml:space="preserve"> HYPERLINK "http://scholar.google.com/citations?view_op=view_citation&amp;hl=en&amp;user=zbBfOeIAAAAJ&amp;citation_for_view=zbBfOeIAAAAJ:u5HHmVD_uO8C" </w:instrText>
      </w:r>
      <w:r w:rsidR="00006B4A">
        <w:fldChar w:fldCharType="separate"/>
      </w:r>
      <w:r w:rsidRPr="00FB5C78">
        <w:t>Sovereign</w:t>
      </w:r>
      <w:proofErr w:type="spellEnd"/>
      <w:r w:rsidRPr="00FB5C78">
        <w:t xml:space="preserve"> </w:t>
      </w:r>
      <w:proofErr w:type="spellStart"/>
      <w:r w:rsidRPr="00FB5C78">
        <w:t>Defaults</w:t>
      </w:r>
      <w:proofErr w:type="spellEnd"/>
      <w:r w:rsidRPr="00FB5C78">
        <w:t xml:space="preserve"> </w:t>
      </w:r>
      <w:proofErr w:type="spellStart"/>
      <w:r w:rsidRPr="00FB5C78">
        <w:t>the</w:t>
      </w:r>
      <w:proofErr w:type="spellEnd"/>
      <w:r w:rsidRPr="00FB5C78">
        <w:t xml:space="preserve"> Role of </w:t>
      </w:r>
      <w:proofErr w:type="spellStart"/>
      <w:r w:rsidRPr="00FB5C78">
        <w:t>Volatility</w:t>
      </w:r>
      <w:proofErr w:type="spellEnd"/>
      <w:r w:rsidR="00006B4A">
        <w:fldChar w:fldCharType="end"/>
      </w:r>
      <w:r w:rsidRPr="00FB5C78">
        <w:t xml:space="preserve">”,International </w:t>
      </w:r>
      <w:proofErr w:type="spellStart"/>
      <w:r w:rsidRPr="00FB5C78">
        <w:t>Monetary</w:t>
      </w:r>
      <w:proofErr w:type="spellEnd"/>
      <w:r w:rsidRPr="00FB5C78">
        <w:t xml:space="preserve"> </w:t>
      </w:r>
      <w:proofErr w:type="spellStart"/>
      <w:r w:rsidRPr="00FB5C78">
        <w:t>Fund</w:t>
      </w:r>
      <w:proofErr w:type="spellEnd"/>
      <w:r w:rsidRPr="00FB5C78">
        <w:t xml:space="preserve"> </w:t>
      </w:r>
      <w:proofErr w:type="spellStart"/>
      <w:r w:rsidRPr="00FB5C78">
        <w:t>Working</w:t>
      </w:r>
      <w:proofErr w:type="spellEnd"/>
      <w:r w:rsidRPr="00FB5C78">
        <w:t xml:space="preserve"> </w:t>
      </w:r>
      <w:proofErr w:type="spellStart"/>
      <w:r w:rsidRPr="00FB5C78">
        <w:t>Paper</w:t>
      </w:r>
      <w:proofErr w:type="spellEnd"/>
      <w:r w:rsidRPr="00FB5C78">
        <w:t xml:space="preserve"> 149:16-18,</w:t>
      </w:r>
    </w:p>
    <w:p w:rsidR="00FB5C78" w:rsidRPr="00FB5C78" w:rsidRDefault="00FB5C78" w:rsidP="00FB5C78">
      <w:pPr>
        <w:ind w:left="851" w:hanging="851"/>
        <w:jc w:val="both"/>
        <w:rPr>
          <w:lang w:val="en-US"/>
        </w:rPr>
      </w:pPr>
    </w:p>
    <w:p w:rsidR="00FB5C78" w:rsidRPr="00FB5C78" w:rsidRDefault="00FB5C78" w:rsidP="00FB5C78">
      <w:pPr>
        <w:ind w:left="851" w:hanging="851"/>
        <w:jc w:val="both"/>
        <w:rPr>
          <w:lang w:val="en-US"/>
        </w:rPr>
      </w:pPr>
      <w:proofErr w:type="spellStart"/>
      <w:r w:rsidRPr="00FB5C78">
        <w:t>Cho</w:t>
      </w:r>
      <w:proofErr w:type="spellEnd"/>
      <w:r w:rsidRPr="00FB5C78">
        <w:t xml:space="preserve">, </w:t>
      </w:r>
      <w:proofErr w:type="spellStart"/>
      <w:r w:rsidRPr="00FB5C78">
        <w:t>Dongchul</w:t>
      </w:r>
      <w:proofErr w:type="spellEnd"/>
      <w:r w:rsidRPr="00FB5C78">
        <w:t xml:space="preserve"> (2010). “</w:t>
      </w:r>
      <w:proofErr w:type="spellStart"/>
      <w:r w:rsidRPr="00FB5C78">
        <w:t>Responses</w:t>
      </w:r>
      <w:proofErr w:type="spellEnd"/>
      <w:r w:rsidRPr="00FB5C78">
        <w:t xml:space="preserve"> of </w:t>
      </w:r>
      <w:proofErr w:type="spellStart"/>
      <w:r w:rsidRPr="00FB5C78">
        <w:t>the</w:t>
      </w:r>
      <w:proofErr w:type="spellEnd"/>
      <w:r w:rsidRPr="00FB5C78">
        <w:t xml:space="preserve"> </w:t>
      </w:r>
      <w:proofErr w:type="spellStart"/>
      <w:r w:rsidRPr="00FB5C78">
        <w:t>Korean</w:t>
      </w:r>
      <w:proofErr w:type="spellEnd"/>
      <w:r w:rsidRPr="00FB5C78">
        <w:t xml:space="preserve"> </w:t>
      </w:r>
      <w:proofErr w:type="spellStart"/>
      <w:r w:rsidRPr="00FB5C78">
        <w:t>Economy</w:t>
      </w:r>
      <w:proofErr w:type="spellEnd"/>
      <w:r w:rsidRPr="00FB5C78">
        <w:t xml:space="preserve"> </w:t>
      </w:r>
      <w:proofErr w:type="spellStart"/>
      <w:r w:rsidRPr="00FB5C78">
        <w:t>to</w:t>
      </w:r>
      <w:proofErr w:type="spellEnd"/>
      <w:r w:rsidRPr="00FB5C78">
        <w:t xml:space="preserve"> </w:t>
      </w:r>
      <w:proofErr w:type="spellStart"/>
      <w:r w:rsidRPr="00FB5C78">
        <w:t>the</w:t>
      </w:r>
      <w:proofErr w:type="spellEnd"/>
      <w:r w:rsidRPr="00FB5C78">
        <w:t xml:space="preserve"> Global </w:t>
      </w:r>
      <w:proofErr w:type="spellStart"/>
      <w:r w:rsidRPr="00FB5C78">
        <w:t>Crisis:Another</w:t>
      </w:r>
      <w:proofErr w:type="spellEnd"/>
      <w:r w:rsidRPr="00FB5C78">
        <w:t xml:space="preserve"> </w:t>
      </w:r>
      <w:proofErr w:type="spellStart"/>
      <w:r w:rsidRPr="00FB5C78">
        <w:t>Currency</w:t>
      </w:r>
      <w:proofErr w:type="spellEnd"/>
      <w:r w:rsidRPr="00FB5C78">
        <w:t xml:space="preserve"> </w:t>
      </w:r>
      <w:proofErr w:type="spellStart"/>
      <w:r w:rsidRPr="00FB5C78">
        <w:t>Crisis</w:t>
      </w:r>
      <w:proofErr w:type="spellEnd"/>
      <w:r w:rsidRPr="00FB5C78">
        <w:t xml:space="preserve">?”, 2010 EWC/KDI Conference on “Global </w:t>
      </w:r>
      <w:proofErr w:type="spellStart"/>
      <w:r w:rsidRPr="00FB5C78">
        <w:t>Economic</w:t>
      </w:r>
      <w:proofErr w:type="spellEnd"/>
      <w:r w:rsidRPr="00FB5C78">
        <w:t xml:space="preserve"> </w:t>
      </w:r>
      <w:proofErr w:type="spellStart"/>
      <w:r w:rsidRPr="00FB5C78">
        <w:t>Crisis</w:t>
      </w:r>
      <w:proofErr w:type="spellEnd"/>
      <w:r w:rsidRPr="00FB5C78">
        <w:t xml:space="preserve">: </w:t>
      </w:r>
      <w:proofErr w:type="spellStart"/>
      <w:r w:rsidRPr="00FB5C78">
        <w:t>Impacts</w:t>
      </w:r>
      <w:proofErr w:type="spellEnd"/>
      <w:r w:rsidRPr="00FB5C78">
        <w:t xml:space="preserve">, </w:t>
      </w:r>
      <w:proofErr w:type="spellStart"/>
      <w:r w:rsidRPr="00FB5C78">
        <w:t>Transmission</w:t>
      </w:r>
      <w:proofErr w:type="spellEnd"/>
      <w:r w:rsidRPr="00FB5C78">
        <w:t xml:space="preserve">, </w:t>
      </w:r>
      <w:proofErr w:type="spellStart"/>
      <w:r w:rsidRPr="00FB5C78">
        <w:t>and</w:t>
      </w:r>
      <w:proofErr w:type="spellEnd"/>
      <w:r w:rsidRPr="00FB5C78">
        <w:t xml:space="preserve"> </w:t>
      </w:r>
      <w:proofErr w:type="spellStart"/>
      <w:r w:rsidRPr="00FB5C78">
        <w:t>Recovery</w:t>
      </w:r>
      <w:proofErr w:type="spellEnd"/>
      <w:r w:rsidRPr="00FB5C78">
        <w:t>” in Honolulu, Hawaii.</w:t>
      </w:r>
    </w:p>
    <w:p w:rsidR="00FB5C78" w:rsidRPr="00FB5C78" w:rsidRDefault="00FB5C78" w:rsidP="00FB5C78">
      <w:pPr>
        <w:ind w:left="851" w:hanging="851"/>
        <w:jc w:val="both"/>
        <w:rPr>
          <w:lang w:val="en-US"/>
        </w:rPr>
      </w:pPr>
    </w:p>
    <w:p w:rsidR="00FB5C78" w:rsidRPr="00FB5C78" w:rsidRDefault="00FB5C78" w:rsidP="00FB5C78">
      <w:pPr>
        <w:ind w:left="851" w:hanging="851"/>
        <w:jc w:val="both"/>
        <w:rPr>
          <w:lang w:val="en-US"/>
        </w:rPr>
      </w:pPr>
      <w:proofErr w:type="spellStart"/>
      <w:r w:rsidRPr="00FB5C78">
        <w:t>Cochrane</w:t>
      </w:r>
      <w:proofErr w:type="spellEnd"/>
      <w:r w:rsidRPr="00FB5C78">
        <w:t xml:space="preserve"> ,J, (1991). “A </w:t>
      </w:r>
      <w:proofErr w:type="spellStart"/>
      <w:r w:rsidRPr="00FB5C78">
        <w:t>critique</w:t>
      </w:r>
      <w:proofErr w:type="spellEnd"/>
      <w:r w:rsidRPr="00FB5C78">
        <w:t xml:space="preserve"> of </w:t>
      </w:r>
      <w:proofErr w:type="spellStart"/>
      <w:r w:rsidRPr="00FB5C78">
        <w:t>the</w:t>
      </w:r>
      <w:proofErr w:type="spellEnd"/>
      <w:r w:rsidRPr="00FB5C78">
        <w:t xml:space="preserve"> </w:t>
      </w:r>
      <w:proofErr w:type="spellStart"/>
      <w:r w:rsidRPr="00FB5C78">
        <w:t>application</w:t>
      </w:r>
      <w:proofErr w:type="spellEnd"/>
      <w:r w:rsidRPr="00FB5C78">
        <w:t xml:space="preserve"> of </w:t>
      </w:r>
      <w:proofErr w:type="spellStart"/>
      <w:r w:rsidRPr="00FB5C78">
        <w:t>unit</w:t>
      </w:r>
      <w:proofErr w:type="spellEnd"/>
      <w:r w:rsidRPr="00FB5C78">
        <w:t xml:space="preserve"> </w:t>
      </w:r>
      <w:proofErr w:type="spellStart"/>
      <w:r w:rsidRPr="00FB5C78">
        <w:t>root</w:t>
      </w:r>
      <w:proofErr w:type="spellEnd"/>
      <w:r w:rsidRPr="00FB5C78">
        <w:t xml:space="preserve"> </w:t>
      </w:r>
      <w:proofErr w:type="spellStart"/>
      <w:r w:rsidRPr="00FB5C78">
        <w:t>tests</w:t>
      </w:r>
      <w:proofErr w:type="spellEnd"/>
      <w:r w:rsidRPr="00FB5C78">
        <w:t xml:space="preserve">,” </w:t>
      </w:r>
      <w:proofErr w:type="spellStart"/>
      <w:r w:rsidRPr="00FB5C78">
        <w:t>Journal</w:t>
      </w:r>
      <w:proofErr w:type="spellEnd"/>
      <w:r w:rsidRPr="00FB5C78">
        <w:t xml:space="preserve"> of </w:t>
      </w:r>
      <w:r w:rsidRPr="00FB5C78">
        <w:tab/>
      </w:r>
      <w:proofErr w:type="spellStart"/>
      <w:r w:rsidRPr="00FB5C78">
        <w:t>Economic</w:t>
      </w:r>
      <w:proofErr w:type="spellEnd"/>
      <w:r w:rsidRPr="00FB5C78">
        <w:t xml:space="preserve"> Dynamics </w:t>
      </w:r>
      <w:proofErr w:type="spellStart"/>
      <w:r w:rsidRPr="00FB5C78">
        <w:t>and</w:t>
      </w:r>
      <w:proofErr w:type="spellEnd"/>
      <w:r w:rsidRPr="00FB5C78">
        <w:t xml:space="preserve"> Control,  </w:t>
      </w:r>
      <w:proofErr w:type="spellStart"/>
      <w:r w:rsidRPr="00FB5C78">
        <w:t>Vol</w:t>
      </w:r>
      <w:proofErr w:type="spellEnd"/>
      <w:r w:rsidRPr="00FB5C78">
        <w:t xml:space="preserve">, 15 </w:t>
      </w:r>
      <w:proofErr w:type="spellStart"/>
      <w:r w:rsidRPr="00FB5C78">
        <w:t>Issue</w:t>
      </w:r>
      <w:proofErr w:type="spellEnd"/>
      <w:r w:rsidRPr="00FB5C78">
        <w:t xml:space="preserve"> 2: 275-284,</w:t>
      </w:r>
      <w:r w:rsidRPr="00FB5C78">
        <w:rPr>
          <w:lang w:val="en-US"/>
        </w:rPr>
        <w:fldChar w:fldCharType="begin"/>
      </w:r>
      <w:r w:rsidRPr="00FB5C78">
        <w:rPr>
          <w:lang w:val="en-US"/>
        </w:rPr>
        <w:instrText xml:space="preserve"> HYPERLINK "http://papers.ssrn.com/sol3/cf_dev/AbsByAuth.cfm?per_id=1689893" \o "View other papers by this author" \t "_blank" </w:instrText>
      </w:r>
      <w:r w:rsidRPr="00FB5C78">
        <w:rPr>
          <w:lang w:val="en-US"/>
        </w:rPr>
        <w:fldChar w:fldCharType="separate"/>
      </w:r>
    </w:p>
    <w:p w:rsidR="00FB5C78" w:rsidRPr="00FB5C78" w:rsidRDefault="00FB5C78" w:rsidP="00FB5C78">
      <w:pPr>
        <w:ind w:left="851" w:hanging="851"/>
        <w:jc w:val="both"/>
        <w:rPr>
          <w:lang w:val="en-US"/>
        </w:rPr>
      </w:pPr>
    </w:p>
    <w:p w:rsidR="00FB5C78" w:rsidRPr="00FB5C78" w:rsidRDefault="00FB5C78" w:rsidP="00FB5C78">
      <w:pPr>
        <w:ind w:left="851" w:hanging="851"/>
        <w:jc w:val="both"/>
        <w:rPr>
          <w:lang w:val="en-US"/>
        </w:rPr>
      </w:pPr>
      <w:r w:rsidRPr="00FB5C78">
        <w:rPr>
          <w:lang w:val="en-US"/>
        </w:rPr>
        <w:t xml:space="preserve">M. Coronado, </w:t>
      </w:r>
      <w:r w:rsidRPr="00FB5C78">
        <w:rPr>
          <w:lang w:val="en-US"/>
        </w:rPr>
        <w:fldChar w:fldCharType="end"/>
      </w:r>
      <w:hyperlink r:id="rId11" w:tgtFrame="_blank" w:tooltip="View other papers by this author" w:history="1">
        <w:r w:rsidRPr="00FB5C78">
          <w:rPr>
            <w:lang w:val="en-US"/>
          </w:rPr>
          <w:t xml:space="preserve">M. T. </w:t>
        </w:r>
        <w:proofErr w:type="spellStart"/>
        <w:r w:rsidRPr="00FB5C78">
          <w:rPr>
            <w:lang w:val="en-US"/>
          </w:rPr>
          <w:t>Corzo</w:t>
        </w:r>
        <w:proofErr w:type="spellEnd"/>
        <w:r w:rsidRPr="00FB5C78">
          <w:rPr>
            <w:lang w:val="en-US"/>
          </w:rPr>
          <w:t xml:space="preserve"> and </w:t>
        </w:r>
      </w:hyperlink>
      <w:hyperlink r:id="rId12" w:tgtFrame="_blank" w:tooltip="View other papers by this author" w:history="1">
        <w:proofErr w:type="spellStart"/>
        <w:r w:rsidRPr="00FB5C78">
          <w:rPr>
            <w:lang w:val="en-US"/>
          </w:rPr>
          <w:t>L.Lazcano</w:t>
        </w:r>
        <w:proofErr w:type="spellEnd"/>
        <w:r w:rsidRPr="00FB5C78">
          <w:rPr>
            <w:lang w:val="en-US"/>
          </w:rPr>
          <w:t xml:space="preserve"> (2012). “A Case for Europe: The Relationship between Sovereign CDs and Stock Indexes” </w:t>
        </w:r>
        <w:hyperlink r:id="rId13" w:anchor="#" w:history="1">
          <w:r w:rsidRPr="00FB5C78">
            <w:rPr>
              <w:lang w:val="en-US"/>
            </w:rPr>
            <w:t>Frontiers in Finance and Economics, Vol. 9, No. 2, 32-63</w:t>
          </w:r>
        </w:hyperlink>
      </w:hyperlink>
      <w:r w:rsidRPr="00FB5C78">
        <w:rPr>
          <w:lang w:val="en-US"/>
        </w:rPr>
        <w:t>.</w:t>
      </w:r>
    </w:p>
    <w:p w:rsidR="00FB5C78" w:rsidRPr="00FB5C78" w:rsidRDefault="00FB5C78" w:rsidP="00FB5C78">
      <w:pPr>
        <w:ind w:left="851" w:hanging="851"/>
        <w:jc w:val="both"/>
        <w:rPr>
          <w:lang w:val="en-US"/>
        </w:rPr>
      </w:pPr>
    </w:p>
    <w:p w:rsidR="00FB5C78" w:rsidRPr="00FB5C78" w:rsidRDefault="00FB5C78" w:rsidP="00FB5C78">
      <w:pPr>
        <w:ind w:left="851" w:hanging="851"/>
        <w:jc w:val="both"/>
      </w:pPr>
      <w:proofErr w:type="spellStart"/>
      <w:r w:rsidRPr="00FB5C78">
        <w:t>Fama</w:t>
      </w:r>
      <w:proofErr w:type="spellEnd"/>
      <w:r w:rsidRPr="00FB5C78">
        <w:t>, E,F, (1981). “</w:t>
      </w:r>
      <w:proofErr w:type="spellStart"/>
      <w:r w:rsidRPr="00FB5C78">
        <w:t>Stock</w:t>
      </w:r>
      <w:proofErr w:type="spellEnd"/>
      <w:r w:rsidRPr="00FB5C78">
        <w:t xml:space="preserve"> </w:t>
      </w:r>
      <w:proofErr w:type="spellStart"/>
      <w:r w:rsidRPr="00FB5C78">
        <w:t>returns</w:t>
      </w:r>
      <w:proofErr w:type="spellEnd"/>
      <w:r w:rsidRPr="00FB5C78">
        <w:t xml:space="preserve">, </w:t>
      </w:r>
      <w:proofErr w:type="spellStart"/>
      <w:r w:rsidRPr="00FB5C78">
        <w:t>real</w:t>
      </w:r>
      <w:proofErr w:type="spellEnd"/>
      <w:r w:rsidRPr="00FB5C78">
        <w:t xml:space="preserve"> </w:t>
      </w:r>
      <w:proofErr w:type="spellStart"/>
      <w:r w:rsidRPr="00FB5C78">
        <w:t>activity</w:t>
      </w:r>
      <w:proofErr w:type="spellEnd"/>
      <w:r w:rsidRPr="00FB5C78">
        <w:t xml:space="preserve"> </w:t>
      </w:r>
      <w:proofErr w:type="spellStart"/>
      <w:r w:rsidRPr="00FB5C78">
        <w:t>and</w:t>
      </w:r>
      <w:proofErr w:type="spellEnd"/>
      <w:r w:rsidRPr="00FB5C78">
        <w:t xml:space="preserve"> Money,”</w:t>
      </w:r>
      <w:proofErr w:type="spellStart"/>
      <w:r w:rsidRPr="00FB5C78">
        <w:t>The</w:t>
      </w:r>
      <w:proofErr w:type="spellEnd"/>
      <w:r w:rsidRPr="00FB5C78">
        <w:t xml:space="preserve"> </w:t>
      </w:r>
      <w:proofErr w:type="spellStart"/>
      <w:r w:rsidRPr="00FB5C78">
        <w:t>American</w:t>
      </w:r>
      <w:proofErr w:type="spellEnd"/>
      <w:r w:rsidRPr="00FB5C78">
        <w:t xml:space="preserve"> </w:t>
      </w:r>
      <w:proofErr w:type="spellStart"/>
      <w:r w:rsidRPr="00FB5C78">
        <w:t>Economic</w:t>
      </w:r>
      <w:proofErr w:type="spellEnd"/>
      <w:r w:rsidRPr="00FB5C78">
        <w:t xml:space="preserve"> </w:t>
      </w:r>
      <w:proofErr w:type="spellStart"/>
      <w:r w:rsidRPr="00FB5C78">
        <w:t>Review</w:t>
      </w:r>
      <w:proofErr w:type="spellEnd"/>
      <w:r w:rsidRPr="00FB5C78">
        <w:t xml:space="preserve">, </w:t>
      </w:r>
      <w:proofErr w:type="spellStart"/>
      <w:r w:rsidRPr="00FB5C78">
        <w:t>Vol</w:t>
      </w:r>
      <w:proofErr w:type="spellEnd"/>
      <w:r w:rsidRPr="00FB5C78">
        <w:t>, 71, No,4:545-565.</w:t>
      </w:r>
    </w:p>
    <w:p w:rsidR="00FB5C78" w:rsidRPr="00FB5C78" w:rsidRDefault="00FB5C78" w:rsidP="00FB5C78">
      <w:pPr>
        <w:ind w:left="851" w:hanging="851"/>
        <w:jc w:val="both"/>
      </w:pPr>
    </w:p>
    <w:p w:rsidR="00FB5C78" w:rsidRPr="00FB5C78" w:rsidRDefault="00FB5C78" w:rsidP="00FB5C78">
      <w:pPr>
        <w:ind w:left="851" w:hanging="851"/>
        <w:jc w:val="both"/>
      </w:pPr>
      <w:proofErr w:type="spellStart"/>
      <w:r w:rsidRPr="00FB5C78">
        <w:t>Fontana</w:t>
      </w:r>
      <w:proofErr w:type="spellEnd"/>
      <w:r w:rsidRPr="00FB5C78">
        <w:t xml:space="preserve">, A, </w:t>
      </w:r>
      <w:proofErr w:type="spellStart"/>
      <w:r w:rsidRPr="00FB5C78">
        <w:t>and</w:t>
      </w:r>
      <w:proofErr w:type="spellEnd"/>
      <w:r w:rsidRPr="00FB5C78">
        <w:t xml:space="preserve"> M, </w:t>
      </w:r>
      <w:proofErr w:type="spellStart"/>
      <w:r w:rsidRPr="00FB5C78">
        <w:t>Scheicher</w:t>
      </w:r>
      <w:proofErr w:type="spellEnd"/>
      <w:r w:rsidRPr="00FB5C78">
        <w:t xml:space="preserve">, (2010). An </w:t>
      </w:r>
      <w:proofErr w:type="spellStart"/>
      <w:r w:rsidRPr="00FB5C78">
        <w:t>analysis</w:t>
      </w:r>
      <w:proofErr w:type="spellEnd"/>
      <w:r w:rsidRPr="00FB5C78">
        <w:t xml:space="preserve"> of </w:t>
      </w:r>
      <w:proofErr w:type="spellStart"/>
      <w:r w:rsidRPr="00FB5C78">
        <w:t>euro</w:t>
      </w:r>
      <w:proofErr w:type="spellEnd"/>
      <w:r w:rsidRPr="00FB5C78">
        <w:t xml:space="preserve"> </w:t>
      </w:r>
      <w:proofErr w:type="spellStart"/>
      <w:r w:rsidRPr="00FB5C78">
        <w:t>area</w:t>
      </w:r>
      <w:proofErr w:type="spellEnd"/>
      <w:r w:rsidRPr="00FB5C78">
        <w:t xml:space="preserve"> </w:t>
      </w:r>
      <w:proofErr w:type="spellStart"/>
      <w:r w:rsidRPr="00FB5C78">
        <w:t>sovereign</w:t>
      </w:r>
      <w:proofErr w:type="spellEnd"/>
      <w:r w:rsidRPr="00FB5C78">
        <w:t xml:space="preserve"> CDS, </w:t>
      </w:r>
      <w:proofErr w:type="spellStart"/>
      <w:r w:rsidRPr="00FB5C78">
        <w:t>European</w:t>
      </w:r>
      <w:proofErr w:type="spellEnd"/>
      <w:r w:rsidRPr="00FB5C78">
        <w:t xml:space="preserve"> Central Bank </w:t>
      </w:r>
      <w:proofErr w:type="spellStart"/>
      <w:r w:rsidRPr="00FB5C78">
        <w:t>Working</w:t>
      </w:r>
      <w:proofErr w:type="spellEnd"/>
      <w:r w:rsidRPr="00FB5C78">
        <w:t xml:space="preserve"> </w:t>
      </w:r>
      <w:proofErr w:type="spellStart"/>
      <w:r w:rsidRPr="00FB5C78">
        <w:t>Paper</w:t>
      </w:r>
      <w:proofErr w:type="spellEnd"/>
      <w:r w:rsidRPr="00FB5C78">
        <w:t xml:space="preserve"> Series 1271.</w:t>
      </w:r>
    </w:p>
    <w:p w:rsidR="00FB5C78" w:rsidRPr="00FB5C78" w:rsidRDefault="00FB5C78" w:rsidP="00FB5C78">
      <w:pPr>
        <w:ind w:left="851" w:hanging="851"/>
        <w:jc w:val="both"/>
      </w:pPr>
    </w:p>
    <w:p w:rsidR="00FB5C78" w:rsidRPr="00FB5C78" w:rsidRDefault="00FB5C78" w:rsidP="00FB5C78">
      <w:pPr>
        <w:ind w:left="851" w:hanging="851"/>
        <w:jc w:val="both"/>
      </w:pPr>
      <w:proofErr w:type="spellStart"/>
      <w:r w:rsidRPr="00FB5C78">
        <w:t>Garcia</w:t>
      </w:r>
      <w:proofErr w:type="spellEnd"/>
      <w:r w:rsidRPr="00FB5C78">
        <w:t xml:space="preserve">, M, </w:t>
      </w:r>
      <w:proofErr w:type="spellStart"/>
      <w:r w:rsidRPr="00FB5C78">
        <w:t>and</w:t>
      </w:r>
      <w:proofErr w:type="spellEnd"/>
      <w:r w:rsidRPr="00FB5C78">
        <w:t xml:space="preserve"> R, </w:t>
      </w:r>
      <w:proofErr w:type="spellStart"/>
      <w:r w:rsidRPr="00FB5C78">
        <w:t>Rigobon</w:t>
      </w:r>
      <w:proofErr w:type="spellEnd"/>
      <w:r w:rsidRPr="00FB5C78">
        <w:t xml:space="preserve">, (2005). “A Risk Management </w:t>
      </w:r>
      <w:proofErr w:type="spellStart"/>
      <w:r w:rsidRPr="00FB5C78">
        <w:t>Approach</w:t>
      </w:r>
      <w:proofErr w:type="spellEnd"/>
      <w:r w:rsidRPr="00FB5C78">
        <w:t xml:space="preserve"> </w:t>
      </w:r>
      <w:proofErr w:type="spellStart"/>
      <w:r w:rsidRPr="00FB5C78">
        <w:t>to</w:t>
      </w:r>
      <w:proofErr w:type="spellEnd"/>
      <w:r w:rsidRPr="00FB5C78">
        <w:t xml:space="preserve"> </w:t>
      </w:r>
      <w:proofErr w:type="spellStart"/>
      <w:r w:rsidRPr="00FB5C78">
        <w:t>Emerging</w:t>
      </w:r>
      <w:proofErr w:type="spellEnd"/>
      <w:r w:rsidRPr="00FB5C78">
        <w:t xml:space="preserve"> </w:t>
      </w:r>
      <w:proofErr w:type="spellStart"/>
      <w:r w:rsidRPr="00FB5C78">
        <w:t>Market’s</w:t>
      </w:r>
      <w:proofErr w:type="spellEnd"/>
      <w:r w:rsidRPr="00FB5C78">
        <w:t xml:space="preserve"> </w:t>
      </w:r>
      <w:proofErr w:type="spellStart"/>
      <w:r w:rsidRPr="00FB5C78">
        <w:t>Sovereign</w:t>
      </w:r>
      <w:proofErr w:type="spellEnd"/>
      <w:r w:rsidRPr="00FB5C78">
        <w:t xml:space="preserve"> </w:t>
      </w:r>
      <w:proofErr w:type="spellStart"/>
      <w:r w:rsidRPr="00FB5C78">
        <w:t>Debt</w:t>
      </w:r>
      <w:proofErr w:type="spellEnd"/>
      <w:r w:rsidRPr="00FB5C78">
        <w:t xml:space="preserve"> </w:t>
      </w:r>
      <w:proofErr w:type="spellStart"/>
      <w:r w:rsidRPr="00FB5C78">
        <w:t>Sustainability</w:t>
      </w:r>
      <w:proofErr w:type="spellEnd"/>
      <w:r w:rsidRPr="00FB5C78">
        <w:t xml:space="preserve"> </w:t>
      </w:r>
      <w:proofErr w:type="spellStart"/>
      <w:r w:rsidRPr="00FB5C78">
        <w:t>with</w:t>
      </w:r>
      <w:proofErr w:type="spellEnd"/>
      <w:r w:rsidRPr="00FB5C78">
        <w:t xml:space="preserve"> an Application </w:t>
      </w:r>
      <w:proofErr w:type="spellStart"/>
      <w:r w:rsidRPr="00FB5C78">
        <w:t>to</w:t>
      </w:r>
      <w:proofErr w:type="spellEnd"/>
      <w:r w:rsidRPr="00FB5C78">
        <w:t xml:space="preserve"> </w:t>
      </w:r>
      <w:proofErr w:type="spellStart"/>
      <w:r w:rsidRPr="00FB5C78">
        <w:t>Brazilian</w:t>
      </w:r>
      <w:proofErr w:type="spellEnd"/>
      <w:r w:rsidRPr="00FB5C78">
        <w:t xml:space="preserve"> Data,” in: F, </w:t>
      </w:r>
      <w:proofErr w:type="spellStart"/>
      <w:r w:rsidRPr="00FB5C78">
        <w:t>Giavazzi</w:t>
      </w:r>
      <w:proofErr w:type="spellEnd"/>
      <w:r w:rsidRPr="00FB5C78">
        <w:t xml:space="preserve">, I, </w:t>
      </w:r>
      <w:proofErr w:type="spellStart"/>
      <w:r w:rsidRPr="00FB5C78">
        <w:t>Goldfajn</w:t>
      </w:r>
      <w:proofErr w:type="spellEnd"/>
      <w:r w:rsidRPr="00FB5C78">
        <w:t xml:space="preserve">, </w:t>
      </w:r>
      <w:proofErr w:type="spellStart"/>
      <w:r w:rsidRPr="00FB5C78">
        <w:t>and</w:t>
      </w:r>
      <w:proofErr w:type="spellEnd"/>
      <w:r w:rsidRPr="00FB5C78">
        <w:t xml:space="preserve"> S, </w:t>
      </w:r>
      <w:proofErr w:type="spellStart"/>
      <w:r w:rsidRPr="00FB5C78">
        <w:t>Herrera</w:t>
      </w:r>
      <w:proofErr w:type="spellEnd"/>
      <w:r w:rsidRPr="00FB5C78">
        <w:t xml:space="preserve"> (</w:t>
      </w:r>
      <w:proofErr w:type="spellStart"/>
      <w:r w:rsidRPr="00FB5C78">
        <w:t>eds</w:t>
      </w:r>
      <w:proofErr w:type="spellEnd"/>
      <w:r w:rsidRPr="00FB5C78">
        <w:t xml:space="preserve">,), </w:t>
      </w:r>
      <w:proofErr w:type="spellStart"/>
      <w:r w:rsidRPr="00FB5C78">
        <w:t>Inflation</w:t>
      </w:r>
      <w:proofErr w:type="spellEnd"/>
      <w:r w:rsidRPr="00FB5C78">
        <w:t xml:space="preserve"> </w:t>
      </w:r>
      <w:proofErr w:type="spellStart"/>
      <w:r w:rsidRPr="00FB5C78">
        <w:t>Targeting</w:t>
      </w:r>
      <w:proofErr w:type="spellEnd"/>
      <w:r w:rsidRPr="00FB5C78">
        <w:t xml:space="preserve">, </w:t>
      </w:r>
      <w:proofErr w:type="spellStart"/>
      <w:r w:rsidRPr="00FB5C78">
        <w:t>Debt</w:t>
      </w:r>
      <w:proofErr w:type="spellEnd"/>
      <w:r w:rsidRPr="00FB5C78">
        <w:t xml:space="preserve"> </w:t>
      </w:r>
      <w:proofErr w:type="spellStart"/>
      <w:r w:rsidRPr="00FB5C78">
        <w:t>and</w:t>
      </w:r>
      <w:proofErr w:type="spellEnd"/>
      <w:r w:rsidRPr="00FB5C78">
        <w:t xml:space="preserve"> </w:t>
      </w:r>
      <w:proofErr w:type="spellStart"/>
      <w:r w:rsidRPr="00FB5C78">
        <w:t>the</w:t>
      </w:r>
      <w:proofErr w:type="spellEnd"/>
      <w:r w:rsidRPr="00FB5C78">
        <w:t xml:space="preserve"> </w:t>
      </w:r>
      <w:proofErr w:type="spellStart"/>
      <w:r w:rsidRPr="00FB5C78">
        <w:t>Brazilian</w:t>
      </w:r>
      <w:proofErr w:type="spellEnd"/>
      <w:r w:rsidRPr="00FB5C78">
        <w:t xml:space="preserve"> </w:t>
      </w:r>
      <w:proofErr w:type="spellStart"/>
      <w:r w:rsidRPr="00FB5C78">
        <w:t>experience</w:t>
      </w:r>
      <w:proofErr w:type="spellEnd"/>
      <w:r w:rsidRPr="00FB5C78">
        <w:t xml:space="preserve"> 1999 </w:t>
      </w:r>
      <w:proofErr w:type="spellStart"/>
      <w:r w:rsidRPr="00FB5C78">
        <w:t>to</w:t>
      </w:r>
      <w:proofErr w:type="spellEnd"/>
      <w:r w:rsidRPr="00FB5C78">
        <w:t xml:space="preserve"> 2003, MIT </w:t>
      </w:r>
      <w:proofErr w:type="spellStart"/>
      <w:r w:rsidRPr="00FB5C78">
        <w:t>Press</w:t>
      </w:r>
      <w:proofErr w:type="spellEnd"/>
      <w:r w:rsidRPr="00FB5C78">
        <w:t>.</w:t>
      </w:r>
    </w:p>
    <w:p w:rsidR="00FB5C78" w:rsidRPr="00FB5C78" w:rsidRDefault="00FB5C78" w:rsidP="00FB5C78">
      <w:pPr>
        <w:ind w:left="851" w:hanging="851"/>
        <w:jc w:val="both"/>
      </w:pPr>
    </w:p>
    <w:p w:rsidR="00FB5C78" w:rsidRPr="00FB5C78" w:rsidRDefault="00FB5C78" w:rsidP="00FB5C78">
      <w:pPr>
        <w:ind w:left="851" w:hanging="851"/>
        <w:jc w:val="both"/>
      </w:pPr>
      <w:proofErr w:type="spellStart"/>
      <w:r w:rsidRPr="00FB5C78">
        <w:t>Garcia-Herrero</w:t>
      </w:r>
      <w:proofErr w:type="spellEnd"/>
      <w:r w:rsidRPr="00FB5C78">
        <w:t xml:space="preserve">, A </w:t>
      </w:r>
      <w:proofErr w:type="spellStart"/>
      <w:r w:rsidRPr="00FB5C78">
        <w:t>and</w:t>
      </w:r>
      <w:proofErr w:type="spellEnd"/>
      <w:r w:rsidRPr="00FB5C78">
        <w:t xml:space="preserve"> A, </w:t>
      </w:r>
      <w:proofErr w:type="spellStart"/>
      <w:r w:rsidRPr="00FB5C78">
        <w:t>Ortiz</w:t>
      </w:r>
      <w:proofErr w:type="spellEnd"/>
      <w:r w:rsidRPr="00FB5C78">
        <w:t xml:space="preserve"> (2007). “</w:t>
      </w:r>
      <w:proofErr w:type="spellStart"/>
      <w:r w:rsidRPr="00FB5C78">
        <w:t>The</w:t>
      </w:r>
      <w:proofErr w:type="spellEnd"/>
      <w:r w:rsidRPr="00FB5C78">
        <w:t xml:space="preserve"> role of global risk </w:t>
      </w:r>
      <w:proofErr w:type="spellStart"/>
      <w:r w:rsidRPr="00FB5C78">
        <w:t>aversion</w:t>
      </w:r>
      <w:proofErr w:type="spellEnd"/>
      <w:r w:rsidRPr="00FB5C78">
        <w:t xml:space="preserve"> in </w:t>
      </w:r>
      <w:proofErr w:type="spellStart"/>
      <w:r w:rsidRPr="00FB5C78">
        <w:t>explaining</w:t>
      </w:r>
      <w:proofErr w:type="spellEnd"/>
      <w:r w:rsidRPr="00FB5C78">
        <w:t xml:space="preserve"> Latin </w:t>
      </w:r>
      <w:proofErr w:type="spellStart"/>
      <w:r w:rsidRPr="00FB5C78">
        <w:t>American</w:t>
      </w:r>
      <w:proofErr w:type="spellEnd"/>
      <w:r w:rsidRPr="00FB5C78">
        <w:t xml:space="preserve"> </w:t>
      </w:r>
      <w:proofErr w:type="spellStart"/>
      <w:r w:rsidRPr="00FB5C78">
        <w:t>sovereign</w:t>
      </w:r>
      <w:proofErr w:type="spellEnd"/>
      <w:r w:rsidRPr="00FB5C78">
        <w:t xml:space="preserve"> </w:t>
      </w:r>
      <w:proofErr w:type="spellStart"/>
      <w:r w:rsidRPr="00FB5C78">
        <w:t>spreads</w:t>
      </w:r>
      <w:proofErr w:type="spellEnd"/>
      <w:r w:rsidRPr="00FB5C78">
        <w:t xml:space="preserve">,” </w:t>
      </w:r>
      <w:proofErr w:type="spellStart"/>
      <w:r w:rsidRPr="00FB5C78">
        <w:t>Economia</w:t>
      </w:r>
      <w:proofErr w:type="spellEnd"/>
      <w:r w:rsidRPr="00FB5C78">
        <w:t xml:space="preserve"> 7(1), 125-155.</w:t>
      </w:r>
    </w:p>
    <w:p w:rsidR="00FB5C78" w:rsidRPr="00FB5C78" w:rsidRDefault="00FB5C78" w:rsidP="00FB5C78">
      <w:pPr>
        <w:ind w:left="851" w:hanging="851"/>
        <w:jc w:val="both"/>
      </w:pPr>
    </w:p>
    <w:p w:rsidR="00FB5C78" w:rsidRPr="00FB5C78" w:rsidRDefault="00FB5C78" w:rsidP="00FB5C78">
      <w:pPr>
        <w:ind w:left="851" w:hanging="851"/>
        <w:jc w:val="both"/>
      </w:pPr>
      <w:proofErr w:type="spellStart"/>
      <w:r w:rsidRPr="00FB5C78">
        <w:t>Georgievska</w:t>
      </w:r>
      <w:proofErr w:type="spellEnd"/>
      <w:r w:rsidRPr="00FB5C78">
        <w:t xml:space="preserve">, A,, L, </w:t>
      </w:r>
      <w:proofErr w:type="spellStart"/>
      <w:r w:rsidRPr="00FB5C78">
        <w:t>Georgievska</w:t>
      </w:r>
      <w:proofErr w:type="spellEnd"/>
      <w:r w:rsidRPr="00FB5C78">
        <w:t xml:space="preserve">, </w:t>
      </w:r>
      <w:proofErr w:type="spellStart"/>
      <w:r w:rsidRPr="00FB5C78">
        <w:t>A,Stojanovic</w:t>
      </w:r>
      <w:proofErr w:type="spellEnd"/>
      <w:r w:rsidRPr="00FB5C78">
        <w:t xml:space="preserve"> </w:t>
      </w:r>
      <w:proofErr w:type="spellStart"/>
      <w:r w:rsidRPr="00FB5C78">
        <w:t>and</w:t>
      </w:r>
      <w:proofErr w:type="spellEnd"/>
      <w:r w:rsidRPr="00FB5C78">
        <w:t xml:space="preserve"> </w:t>
      </w:r>
      <w:proofErr w:type="spellStart"/>
      <w:r w:rsidRPr="00FB5C78">
        <w:t>N,Todorovic</w:t>
      </w:r>
      <w:proofErr w:type="spellEnd"/>
      <w:r w:rsidRPr="00FB5C78">
        <w:t xml:space="preserve">, (2008). </w:t>
      </w:r>
      <w:r w:rsidRPr="00FB5C78">
        <w:rPr>
          <w:lang w:val="en-US"/>
        </w:rPr>
        <w:t>“</w:t>
      </w:r>
      <w:proofErr w:type="spellStart"/>
      <w:r w:rsidRPr="00FB5C78">
        <w:t>Sovereign</w:t>
      </w:r>
      <w:proofErr w:type="spellEnd"/>
      <w:r w:rsidRPr="00FB5C78">
        <w:t xml:space="preserve"> </w:t>
      </w:r>
      <w:proofErr w:type="spellStart"/>
      <w:r w:rsidRPr="00FB5C78">
        <w:t>rescheduling</w:t>
      </w:r>
      <w:proofErr w:type="spellEnd"/>
      <w:r w:rsidRPr="00FB5C78">
        <w:t xml:space="preserve"> </w:t>
      </w:r>
      <w:proofErr w:type="spellStart"/>
      <w:r w:rsidRPr="00FB5C78">
        <w:t>probabilities</w:t>
      </w:r>
      <w:proofErr w:type="spellEnd"/>
      <w:r w:rsidRPr="00FB5C78">
        <w:t xml:space="preserve"> in </w:t>
      </w:r>
      <w:proofErr w:type="spellStart"/>
      <w:r w:rsidRPr="00FB5C78">
        <w:t>emerging</w:t>
      </w:r>
      <w:proofErr w:type="spellEnd"/>
      <w:r w:rsidRPr="00FB5C78">
        <w:t xml:space="preserve"> </w:t>
      </w:r>
      <w:proofErr w:type="spellStart"/>
      <w:r w:rsidRPr="00FB5C78">
        <w:t>markets</w:t>
      </w:r>
      <w:proofErr w:type="spellEnd"/>
      <w:r w:rsidRPr="00FB5C78">
        <w:t xml:space="preserve">: a </w:t>
      </w:r>
      <w:proofErr w:type="spellStart"/>
      <w:r w:rsidRPr="00FB5C78">
        <w:t>comparison</w:t>
      </w:r>
      <w:proofErr w:type="spellEnd"/>
      <w:r w:rsidRPr="00FB5C78">
        <w:t xml:space="preserve"> </w:t>
      </w:r>
      <w:proofErr w:type="spellStart"/>
      <w:r w:rsidRPr="00FB5C78">
        <w:t>with</w:t>
      </w:r>
      <w:proofErr w:type="spellEnd"/>
      <w:r w:rsidRPr="00FB5C78">
        <w:t xml:space="preserve"> </w:t>
      </w:r>
      <w:proofErr w:type="spellStart"/>
      <w:r w:rsidRPr="00FB5C78">
        <w:t>credit</w:t>
      </w:r>
      <w:proofErr w:type="spellEnd"/>
      <w:r w:rsidRPr="00FB5C78">
        <w:t xml:space="preserve"> </w:t>
      </w:r>
      <w:proofErr w:type="spellStart"/>
      <w:r w:rsidRPr="00FB5C78">
        <w:t>rating</w:t>
      </w:r>
      <w:proofErr w:type="spellEnd"/>
      <w:r w:rsidRPr="00FB5C78">
        <w:t xml:space="preserve"> </w:t>
      </w:r>
      <w:proofErr w:type="spellStart"/>
      <w:r w:rsidRPr="00FB5C78">
        <w:t>agencies</w:t>
      </w:r>
      <w:proofErr w:type="spellEnd"/>
      <w:r w:rsidRPr="00FB5C78">
        <w:t xml:space="preserve">' </w:t>
      </w:r>
      <w:proofErr w:type="spellStart"/>
      <w:r w:rsidRPr="00FB5C78">
        <w:t>ratings</w:t>
      </w:r>
      <w:proofErr w:type="spellEnd"/>
      <w:r w:rsidRPr="00FB5C78">
        <w:t xml:space="preserve">,” </w:t>
      </w:r>
      <w:proofErr w:type="spellStart"/>
      <w:r w:rsidRPr="00FB5C78">
        <w:rPr>
          <w:iCs/>
        </w:rPr>
        <w:t>Journal</w:t>
      </w:r>
      <w:proofErr w:type="spellEnd"/>
      <w:r w:rsidRPr="00FB5C78">
        <w:rPr>
          <w:iCs/>
        </w:rPr>
        <w:t xml:space="preserve"> of </w:t>
      </w:r>
      <w:proofErr w:type="spellStart"/>
      <w:r w:rsidRPr="00FB5C78">
        <w:rPr>
          <w:iCs/>
        </w:rPr>
        <w:t>Applied</w:t>
      </w:r>
      <w:proofErr w:type="spellEnd"/>
      <w:r w:rsidRPr="00FB5C78">
        <w:rPr>
          <w:iCs/>
        </w:rPr>
        <w:t xml:space="preserve"> </w:t>
      </w:r>
      <w:proofErr w:type="spellStart"/>
      <w:r w:rsidRPr="00FB5C78">
        <w:rPr>
          <w:iCs/>
        </w:rPr>
        <w:t>Statistics</w:t>
      </w:r>
      <w:proofErr w:type="spellEnd"/>
      <w:r w:rsidRPr="00FB5C78">
        <w:rPr>
          <w:iCs/>
        </w:rPr>
        <w:t xml:space="preserve">, 35: </w:t>
      </w:r>
      <w:r w:rsidRPr="00FB5C78">
        <w:t>1031-1051.</w:t>
      </w:r>
    </w:p>
    <w:p w:rsidR="00FB5C78" w:rsidRPr="00FB5C78" w:rsidRDefault="00FB5C78" w:rsidP="00FB5C78">
      <w:pPr>
        <w:ind w:left="851" w:hanging="851"/>
        <w:jc w:val="both"/>
      </w:pPr>
    </w:p>
    <w:p w:rsidR="00FB5C78" w:rsidRPr="00FB5C78" w:rsidRDefault="00FB5C78" w:rsidP="00FB5C78">
      <w:pPr>
        <w:ind w:left="851" w:hanging="851"/>
        <w:jc w:val="both"/>
      </w:pPr>
      <w:proofErr w:type="spellStart"/>
      <w:r w:rsidRPr="00FB5C78">
        <w:t>Hilscher</w:t>
      </w:r>
      <w:proofErr w:type="spellEnd"/>
      <w:r w:rsidRPr="00FB5C78">
        <w:t xml:space="preserve">, </w:t>
      </w:r>
      <w:proofErr w:type="spellStart"/>
      <w:r w:rsidRPr="00FB5C78">
        <w:t>Jens</w:t>
      </w:r>
      <w:proofErr w:type="spellEnd"/>
      <w:r w:rsidRPr="00FB5C78">
        <w:t xml:space="preserve"> </w:t>
      </w:r>
      <w:proofErr w:type="spellStart"/>
      <w:r w:rsidRPr="00FB5C78">
        <w:t>and</w:t>
      </w:r>
      <w:proofErr w:type="spellEnd"/>
      <w:r w:rsidRPr="00FB5C78">
        <w:t xml:space="preserve"> </w:t>
      </w:r>
      <w:proofErr w:type="spellStart"/>
      <w:r w:rsidRPr="00FB5C78">
        <w:t>Yves</w:t>
      </w:r>
      <w:proofErr w:type="spellEnd"/>
      <w:r w:rsidRPr="00FB5C78">
        <w:t xml:space="preserve"> </w:t>
      </w:r>
      <w:proofErr w:type="spellStart"/>
      <w:r w:rsidRPr="00FB5C78">
        <w:t>Nosbusch</w:t>
      </w:r>
      <w:proofErr w:type="spellEnd"/>
      <w:r w:rsidRPr="00FB5C78">
        <w:t xml:space="preserve"> (2010).  “</w:t>
      </w:r>
      <w:proofErr w:type="spellStart"/>
      <w:r w:rsidRPr="00FB5C78">
        <w:t>Determinants</w:t>
      </w:r>
      <w:proofErr w:type="spellEnd"/>
      <w:r w:rsidRPr="00FB5C78">
        <w:t xml:space="preserve"> of </w:t>
      </w:r>
      <w:proofErr w:type="spellStart"/>
      <w:r w:rsidRPr="00FB5C78">
        <w:t>Sovereign</w:t>
      </w:r>
      <w:proofErr w:type="spellEnd"/>
      <w:r w:rsidRPr="00FB5C78">
        <w:t xml:space="preserve"> Risk: </w:t>
      </w:r>
      <w:proofErr w:type="spellStart"/>
      <w:r w:rsidRPr="00FB5C78">
        <w:t>Macroeconomic</w:t>
      </w:r>
      <w:proofErr w:type="spellEnd"/>
      <w:r w:rsidRPr="00FB5C78">
        <w:t xml:space="preserve"> Fundamentals </w:t>
      </w:r>
      <w:proofErr w:type="spellStart"/>
      <w:r w:rsidRPr="00FB5C78">
        <w:t>and</w:t>
      </w:r>
      <w:proofErr w:type="spellEnd"/>
      <w:r w:rsidRPr="00FB5C78">
        <w:t xml:space="preserve"> </w:t>
      </w:r>
      <w:proofErr w:type="spellStart"/>
      <w:r w:rsidRPr="00FB5C78">
        <w:t>the</w:t>
      </w:r>
      <w:proofErr w:type="spellEnd"/>
      <w:r w:rsidRPr="00FB5C78">
        <w:t xml:space="preserve"> </w:t>
      </w:r>
      <w:proofErr w:type="spellStart"/>
      <w:r w:rsidRPr="00FB5C78">
        <w:t>Pricing</w:t>
      </w:r>
      <w:proofErr w:type="spellEnd"/>
      <w:r w:rsidRPr="00FB5C78">
        <w:t xml:space="preserve"> of </w:t>
      </w:r>
      <w:proofErr w:type="spellStart"/>
      <w:r w:rsidRPr="00FB5C78">
        <w:t>Sovereign</w:t>
      </w:r>
      <w:proofErr w:type="spellEnd"/>
      <w:r w:rsidRPr="00FB5C78">
        <w:t xml:space="preserve"> </w:t>
      </w:r>
      <w:proofErr w:type="spellStart"/>
      <w:r w:rsidRPr="00FB5C78">
        <w:t>Debt</w:t>
      </w:r>
      <w:proofErr w:type="spellEnd"/>
      <w:r w:rsidRPr="00FB5C78">
        <w:t xml:space="preserve">,” </w:t>
      </w:r>
      <w:proofErr w:type="spellStart"/>
      <w:r w:rsidRPr="00FB5C78">
        <w:t>Review</w:t>
      </w:r>
      <w:proofErr w:type="spellEnd"/>
      <w:r w:rsidRPr="00FB5C78">
        <w:t xml:space="preserve"> of Finance ,14: 235–262.</w:t>
      </w:r>
    </w:p>
    <w:p w:rsidR="00FB5C78" w:rsidRPr="00FB5C78" w:rsidRDefault="00FB5C78" w:rsidP="00FB5C78">
      <w:pPr>
        <w:ind w:left="851" w:hanging="851"/>
        <w:jc w:val="both"/>
      </w:pPr>
    </w:p>
    <w:p w:rsidR="00FB5C78" w:rsidRPr="00FB5C78" w:rsidRDefault="00FB5C78" w:rsidP="00FB5C78">
      <w:pPr>
        <w:ind w:left="851" w:hanging="851"/>
        <w:jc w:val="both"/>
        <w:rPr>
          <w:rFonts w:eastAsia="CMR10"/>
        </w:rPr>
      </w:pPr>
      <w:proofErr w:type="spellStart"/>
      <w:r w:rsidRPr="00FB5C78">
        <w:rPr>
          <w:rFonts w:eastAsia="CMR10"/>
        </w:rPr>
        <w:t>Kamin</w:t>
      </w:r>
      <w:proofErr w:type="spellEnd"/>
      <w:r w:rsidRPr="00FB5C78">
        <w:rPr>
          <w:rFonts w:eastAsia="CMR10"/>
        </w:rPr>
        <w:t xml:space="preserve">, Steven, </w:t>
      </w:r>
      <w:proofErr w:type="spellStart"/>
      <w:r w:rsidRPr="00FB5C78">
        <w:rPr>
          <w:rFonts w:eastAsia="CMR10"/>
        </w:rPr>
        <w:t>and</w:t>
      </w:r>
      <w:proofErr w:type="spellEnd"/>
      <w:r w:rsidRPr="00FB5C78">
        <w:rPr>
          <w:rFonts w:eastAsia="CMR10"/>
        </w:rPr>
        <w:t xml:space="preserve"> </w:t>
      </w:r>
      <w:proofErr w:type="spellStart"/>
      <w:r w:rsidRPr="00FB5C78">
        <w:rPr>
          <w:rFonts w:eastAsia="CMR10"/>
        </w:rPr>
        <w:t>Karsten</w:t>
      </w:r>
      <w:proofErr w:type="spellEnd"/>
      <w:r w:rsidRPr="00FB5C78">
        <w:rPr>
          <w:rFonts w:eastAsia="CMR10"/>
        </w:rPr>
        <w:t xml:space="preserve"> </w:t>
      </w:r>
      <w:proofErr w:type="spellStart"/>
      <w:r w:rsidRPr="00FB5C78">
        <w:rPr>
          <w:rFonts w:eastAsia="CMR10"/>
        </w:rPr>
        <w:t>von</w:t>
      </w:r>
      <w:proofErr w:type="spellEnd"/>
      <w:r w:rsidRPr="00FB5C78">
        <w:rPr>
          <w:rFonts w:eastAsia="CMR10"/>
        </w:rPr>
        <w:t xml:space="preserve"> </w:t>
      </w:r>
      <w:proofErr w:type="spellStart"/>
      <w:r w:rsidRPr="00FB5C78">
        <w:rPr>
          <w:rFonts w:eastAsia="CMR10"/>
        </w:rPr>
        <w:t>Kleist</w:t>
      </w:r>
      <w:proofErr w:type="spellEnd"/>
      <w:r w:rsidRPr="00FB5C78">
        <w:rPr>
          <w:rFonts w:eastAsia="CMR10"/>
        </w:rPr>
        <w:t xml:space="preserve"> (1999). </w:t>
      </w:r>
      <w:r w:rsidRPr="00FB5C78">
        <w:t>“</w:t>
      </w:r>
      <w:proofErr w:type="spellStart"/>
      <w:r w:rsidRPr="00FB5C78">
        <w:rPr>
          <w:rFonts w:eastAsia="CMR10"/>
        </w:rPr>
        <w:t>The</w:t>
      </w:r>
      <w:proofErr w:type="spellEnd"/>
      <w:r w:rsidRPr="00FB5C78">
        <w:rPr>
          <w:rFonts w:eastAsia="CMR10"/>
        </w:rPr>
        <w:t xml:space="preserve"> </w:t>
      </w:r>
      <w:proofErr w:type="spellStart"/>
      <w:r w:rsidRPr="00FB5C78">
        <w:rPr>
          <w:rFonts w:eastAsia="CMR10"/>
        </w:rPr>
        <w:t>Evolution</w:t>
      </w:r>
      <w:proofErr w:type="spellEnd"/>
      <w:r w:rsidRPr="00FB5C78">
        <w:rPr>
          <w:rFonts w:eastAsia="CMR10"/>
        </w:rPr>
        <w:t xml:space="preserve"> </w:t>
      </w:r>
      <w:proofErr w:type="spellStart"/>
      <w:r w:rsidRPr="00FB5C78">
        <w:rPr>
          <w:rFonts w:eastAsia="CMR10"/>
        </w:rPr>
        <w:t>and</w:t>
      </w:r>
      <w:proofErr w:type="spellEnd"/>
      <w:r w:rsidRPr="00FB5C78">
        <w:rPr>
          <w:rFonts w:eastAsia="CMR10"/>
        </w:rPr>
        <w:t xml:space="preserve"> </w:t>
      </w:r>
      <w:proofErr w:type="spellStart"/>
      <w:r w:rsidRPr="00FB5C78">
        <w:rPr>
          <w:rFonts w:eastAsia="CMR10"/>
        </w:rPr>
        <w:t>Determinants</w:t>
      </w:r>
      <w:proofErr w:type="spellEnd"/>
      <w:r w:rsidRPr="00FB5C78">
        <w:rPr>
          <w:rFonts w:eastAsia="CMR10"/>
        </w:rPr>
        <w:t xml:space="preserve"> of </w:t>
      </w:r>
      <w:proofErr w:type="spellStart"/>
      <w:r w:rsidRPr="00FB5C78">
        <w:rPr>
          <w:rFonts w:eastAsia="CMR10"/>
        </w:rPr>
        <w:t>Emerging</w:t>
      </w:r>
      <w:proofErr w:type="spellEnd"/>
      <w:r w:rsidRPr="00FB5C78">
        <w:rPr>
          <w:rFonts w:eastAsia="CMR10"/>
        </w:rPr>
        <w:t xml:space="preserve"> Market </w:t>
      </w:r>
      <w:proofErr w:type="spellStart"/>
      <w:r w:rsidRPr="00FB5C78">
        <w:rPr>
          <w:rFonts w:eastAsia="CMR10"/>
        </w:rPr>
        <w:t>Credit</w:t>
      </w:r>
      <w:proofErr w:type="spellEnd"/>
      <w:r w:rsidRPr="00FB5C78">
        <w:rPr>
          <w:rFonts w:eastAsia="CMR10"/>
        </w:rPr>
        <w:t xml:space="preserve"> </w:t>
      </w:r>
      <w:proofErr w:type="spellStart"/>
      <w:r w:rsidRPr="00FB5C78">
        <w:rPr>
          <w:rFonts w:eastAsia="CMR10"/>
        </w:rPr>
        <w:t>Spreads</w:t>
      </w:r>
      <w:proofErr w:type="spellEnd"/>
      <w:r w:rsidRPr="00FB5C78">
        <w:rPr>
          <w:rFonts w:eastAsia="CMR10"/>
        </w:rPr>
        <w:t xml:space="preserve"> in </w:t>
      </w:r>
      <w:proofErr w:type="spellStart"/>
      <w:r w:rsidRPr="00FB5C78">
        <w:rPr>
          <w:rFonts w:eastAsia="CMR10"/>
        </w:rPr>
        <w:t>the</w:t>
      </w:r>
      <w:proofErr w:type="spellEnd"/>
      <w:r w:rsidRPr="00FB5C78">
        <w:rPr>
          <w:rFonts w:eastAsia="CMR10"/>
        </w:rPr>
        <w:t xml:space="preserve"> 1990s,” </w:t>
      </w:r>
      <w:proofErr w:type="spellStart"/>
      <w:r w:rsidRPr="00FB5C78">
        <w:rPr>
          <w:rFonts w:eastAsia="CMR10"/>
        </w:rPr>
        <w:t>Working</w:t>
      </w:r>
      <w:proofErr w:type="spellEnd"/>
      <w:r w:rsidRPr="00FB5C78">
        <w:rPr>
          <w:rFonts w:eastAsia="CMR10"/>
        </w:rPr>
        <w:t xml:space="preserve"> </w:t>
      </w:r>
      <w:proofErr w:type="spellStart"/>
      <w:r w:rsidRPr="00FB5C78">
        <w:rPr>
          <w:rFonts w:eastAsia="CMR10"/>
        </w:rPr>
        <w:t>paper</w:t>
      </w:r>
      <w:proofErr w:type="spellEnd"/>
      <w:r w:rsidRPr="00FB5C78">
        <w:rPr>
          <w:rFonts w:eastAsia="CMR10"/>
        </w:rPr>
        <w:t xml:space="preserve"> No, 68, Bank </w:t>
      </w:r>
      <w:proofErr w:type="spellStart"/>
      <w:r w:rsidRPr="00FB5C78">
        <w:rPr>
          <w:rFonts w:eastAsia="CMR10"/>
        </w:rPr>
        <w:t>for</w:t>
      </w:r>
      <w:proofErr w:type="spellEnd"/>
      <w:r w:rsidRPr="00FB5C78">
        <w:rPr>
          <w:rFonts w:eastAsia="CMR10"/>
        </w:rPr>
        <w:t xml:space="preserve"> International </w:t>
      </w:r>
      <w:proofErr w:type="spellStart"/>
      <w:r w:rsidRPr="00FB5C78">
        <w:rPr>
          <w:rFonts w:eastAsia="CMR10"/>
        </w:rPr>
        <w:t>Settlements</w:t>
      </w:r>
      <w:proofErr w:type="spellEnd"/>
      <w:r w:rsidRPr="00FB5C78">
        <w:rPr>
          <w:rFonts w:eastAsia="CMR10"/>
        </w:rPr>
        <w:t>.</w:t>
      </w:r>
    </w:p>
    <w:p w:rsidR="00FB5C78" w:rsidRPr="00FB5C78" w:rsidRDefault="00FB5C78" w:rsidP="00FB5C78">
      <w:pPr>
        <w:ind w:left="851" w:hanging="851"/>
        <w:jc w:val="both"/>
        <w:rPr>
          <w:rFonts w:eastAsia="CMR10"/>
        </w:rPr>
      </w:pPr>
    </w:p>
    <w:p w:rsidR="00FB5C78" w:rsidRPr="00FB5C78" w:rsidRDefault="00FB5C78" w:rsidP="00FB5C78">
      <w:pPr>
        <w:ind w:left="851" w:hanging="851"/>
        <w:jc w:val="both"/>
        <w:rPr>
          <w:iCs/>
        </w:rPr>
      </w:pPr>
      <w:proofErr w:type="spellStart"/>
      <w:r w:rsidRPr="00FB5C78">
        <w:lastRenderedPageBreak/>
        <w:t>Longstaff</w:t>
      </w:r>
      <w:proofErr w:type="spellEnd"/>
      <w:r w:rsidRPr="00FB5C78">
        <w:t xml:space="preserve">, Francis A, </w:t>
      </w:r>
      <w:proofErr w:type="spellStart"/>
      <w:r w:rsidRPr="00FB5C78">
        <w:t>Jun</w:t>
      </w:r>
      <w:proofErr w:type="spellEnd"/>
      <w:r w:rsidRPr="00FB5C78">
        <w:t xml:space="preserve"> </w:t>
      </w:r>
      <w:proofErr w:type="spellStart"/>
      <w:r w:rsidRPr="00FB5C78">
        <w:t>Pan</w:t>
      </w:r>
      <w:proofErr w:type="spellEnd"/>
      <w:r w:rsidRPr="00FB5C78">
        <w:t xml:space="preserve">, </w:t>
      </w:r>
      <w:proofErr w:type="spellStart"/>
      <w:r w:rsidRPr="00FB5C78">
        <w:t>Lasse</w:t>
      </w:r>
      <w:proofErr w:type="spellEnd"/>
      <w:r w:rsidRPr="00FB5C78">
        <w:t xml:space="preserve"> H, Pedersen </w:t>
      </w:r>
      <w:proofErr w:type="spellStart"/>
      <w:r w:rsidRPr="00FB5C78">
        <w:t>and</w:t>
      </w:r>
      <w:proofErr w:type="spellEnd"/>
      <w:r w:rsidRPr="00FB5C78">
        <w:t xml:space="preserve"> </w:t>
      </w:r>
      <w:proofErr w:type="spellStart"/>
      <w:r w:rsidRPr="00FB5C78">
        <w:t>Kenneth</w:t>
      </w:r>
      <w:proofErr w:type="spellEnd"/>
      <w:r w:rsidRPr="00FB5C78">
        <w:t xml:space="preserve"> J, </w:t>
      </w:r>
      <w:proofErr w:type="spellStart"/>
      <w:r w:rsidRPr="00FB5C78">
        <w:t>Singleton</w:t>
      </w:r>
      <w:proofErr w:type="spellEnd"/>
      <w:r w:rsidRPr="00FB5C78">
        <w:t xml:space="preserve">, (2011). “How </w:t>
      </w:r>
      <w:proofErr w:type="spellStart"/>
      <w:r w:rsidRPr="00FB5C78">
        <w:t>Sovereign</w:t>
      </w:r>
      <w:proofErr w:type="spellEnd"/>
      <w:r w:rsidRPr="00FB5C78">
        <w:t xml:space="preserve"> Is </w:t>
      </w:r>
      <w:proofErr w:type="spellStart"/>
      <w:r w:rsidRPr="00FB5C78">
        <w:t>Sovereign</w:t>
      </w:r>
      <w:proofErr w:type="spellEnd"/>
      <w:r w:rsidRPr="00FB5C78">
        <w:t xml:space="preserve"> </w:t>
      </w:r>
      <w:proofErr w:type="spellStart"/>
      <w:r w:rsidRPr="00FB5C78">
        <w:t>Credit</w:t>
      </w:r>
      <w:proofErr w:type="spellEnd"/>
      <w:r w:rsidRPr="00FB5C78">
        <w:t xml:space="preserve"> Risk?” </w:t>
      </w:r>
      <w:proofErr w:type="spellStart"/>
      <w:r w:rsidRPr="00FB5C78">
        <w:rPr>
          <w:iCs/>
        </w:rPr>
        <w:t>American</w:t>
      </w:r>
      <w:proofErr w:type="spellEnd"/>
      <w:r w:rsidRPr="00FB5C78">
        <w:rPr>
          <w:iCs/>
        </w:rPr>
        <w:t xml:space="preserve"> </w:t>
      </w:r>
      <w:proofErr w:type="spellStart"/>
      <w:r w:rsidRPr="00FB5C78">
        <w:rPr>
          <w:iCs/>
        </w:rPr>
        <w:t>Economic</w:t>
      </w:r>
      <w:proofErr w:type="spellEnd"/>
      <w:r w:rsidRPr="00FB5C78">
        <w:rPr>
          <w:iCs/>
        </w:rPr>
        <w:t xml:space="preserve"> </w:t>
      </w:r>
      <w:proofErr w:type="spellStart"/>
      <w:r w:rsidRPr="00FB5C78">
        <w:rPr>
          <w:iCs/>
        </w:rPr>
        <w:t>Journal</w:t>
      </w:r>
      <w:proofErr w:type="spellEnd"/>
      <w:r w:rsidRPr="00FB5C78">
        <w:rPr>
          <w:iCs/>
        </w:rPr>
        <w:t>,  3: 75–103.</w:t>
      </w:r>
    </w:p>
    <w:p w:rsidR="00FB5C78" w:rsidRPr="00FB5C78" w:rsidRDefault="00FB5C78" w:rsidP="00FB5C78">
      <w:pPr>
        <w:ind w:left="851" w:hanging="851"/>
        <w:jc w:val="both"/>
        <w:rPr>
          <w:iCs/>
        </w:rPr>
      </w:pPr>
    </w:p>
    <w:p w:rsidR="00FB5C78" w:rsidRPr="00FB5C78" w:rsidRDefault="00FB5C78" w:rsidP="00FB5C78">
      <w:pPr>
        <w:ind w:left="851" w:hanging="851"/>
        <w:jc w:val="both"/>
        <w:rPr>
          <w:rFonts w:eastAsia="CMR10"/>
        </w:rPr>
      </w:pPr>
      <w:proofErr w:type="spellStart"/>
      <w:r w:rsidRPr="00FB5C78">
        <w:t>Mauro</w:t>
      </w:r>
      <w:proofErr w:type="spellEnd"/>
      <w:r w:rsidRPr="00FB5C78">
        <w:t xml:space="preserve">, P, N </w:t>
      </w:r>
      <w:proofErr w:type="spellStart"/>
      <w:r w:rsidRPr="00FB5C78">
        <w:t>Sussman</w:t>
      </w:r>
      <w:proofErr w:type="spellEnd"/>
      <w:r w:rsidRPr="00FB5C78">
        <w:t xml:space="preserve"> </w:t>
      </w:r>
      <w:proofErr w:type="spellStart"/>
      <w:r w:rsidRPr="00FB5C78">
        <w:t>and</w:t>
      </w:r>
      <w:proofErr w:type="spellEnd"/>
      <w:r w:rsidRPr="00FB5C78">
        <w:t xml:space="preserve"> Y, </w:t>
      </w:r>
      <w:proofErr w:type="spellStart"/>
      <w:r w:rsidRPr="00FB5C78">
        <w:t>Yafeh</w:t>
      </w:r>
      <w:proofErr w:type="spellEnd"/>
      <w:r w:rsidRPr="00FB5C78">
        <w:t xml:space="preserve"> (2002). “</w:t>
      </w:r>
      <w:proofErr w:type="spellStart"/>
      <w:r w:rsidRPr="00FB5C78">
        <w:t>Emerging</w:t>
      </w:r>
      <w:proofErr w:type="spellEnd"/>
      <w:r w:rsidRPr="00FB5C78">
        <w:t xml:space="preserve"> market </w:t>
      </w:r>
      <w:proofErr w:type="spellStart"/>
      <w:r w:rsidRPr="00FB5C78">
        <w:t>spreads</w:t>
      </w:r>
      <w:proofErr w:type="spellEnd"/>
      <w:r w:rsidRPr="00FB5C78">
        <w:t xml:space="preserve">: </w:t>
      </w:r>
      <w:proofErr w:type="spellStart"/>
      <w:r w:rsidRPr="00FB5C78">
        <w:t>then</w:t>
      </w:r>
      <w:proofErr w:type="spellEnd"/>
      <w:r w:rsidRPr="00FB5C78">
        <w:t xml:space="preserve"> </w:t>
      </w:r>
      <w:proofErr w:type="spellStart"/>
      <w:r w:rsidRPr="00FB5C78">
        <w:t>versus</w:t>
      </w:r>
      <w:proofErr w:type="spellEnd"/>
      <w:r w:rsidRPr="00FB5C78">
        <w:t xml:space="preserve"> </w:t>
      </w:r>
      <w:proofErr w:type="spellStart"/>
      <w:r w:rsidRPr="00FB5C78">
        <w:t>now</w:t>
      </w:r>
      <w:proofErr w:type="spellEnd"/>
      <w:r w:rsidRPr="00FB5C78">
        <w:t xml:space="preserve">,” </w:t>
      </w:r>
      <w:proofErr w:type="spellStart"/>
      <w:r w:rsidRPr="00FB5C78">
        <w:t>Quarterly</w:t>
      </w:r>
      <w:proofErr w:type="spellEnd"/>
      <w:r w:rsidRPr="00FB5C78">
        <w:t xml:space="preserve"> </w:t>
      </w:r>
      <w:proofErr w:type="spellStart"/>
      <w:r w:rsidRPr="00FB5C78">
        <w:t>Journal</w:t>
      </w:r>
      <w:proofErr w:type="spellEnd"/>
      <w:r w:rsidRPr="00FB5C78">
        <w:t xml:space="preserve"> of </w:t>
      </w:r>
      <w:proofErr w:type="spellStart"/>
      <w:r w:rsidRPr="00FB5C78">
        <w:t>Economics</w:t>
      </w:r>
      <w:proofErr w:type="spellEnd"/>
      <w:r w:rsidRPr="00FB5C78">
        <w:t>, May:695-703.</w:t>
      </w:r>
    </w:p>
    <w:p w:rsidR="00FB5C78" w:rsidRPr="00FB5C78" w:rsidRDefault="00FB5C78" w:rsidP="00FB5C78">
      <w:pPr>
        <w:ind w:left="851" w:hanging="851"/>
        <w:jc w:val="both"/>
        <w:rPr>
          <w:rFonts w:eastAsia="CMR10"/>
        </w:rPr>
      </w:pPr>
    </w:p>
    <w:p w:rsidR="00FB5C78" w:rsidRPr="00FB5C78" w:rsidRDefault="00FB5C78" w:rsidP="00FB5C78">
      <w:pPr>
        <w:ind w:left="851" w:hanging="851"/>
        <w:jc w:val="both"/>
      </w:pPr>
      <w:proofErr w:type="spellStart"/>
      <w:r w:rsidRPr="00FB5C78">
        <w:t>McGuire</w:t>
      </w:r>
      <w:proofErr w:type="spellEnd"/>
      <w:r w:rsidRPr="00FB5C78">
        <w:t xml:space="preserve"> </w:t>
      </w:r>
      <w:proofErr w:type="spellStart"/>
      <w:r w:rsidRPr="00FB5C78">
        <w:t>P.and</w:t>
      </w:r>
      <w:proofErr w:type="spellEnd"/>
      <w:r w:rsidRPr="00FB5C78">
        <w:t xml:space="preserve"> M. A </w:t>
      </w:r>
      <w:proofErr w:type="spellStart"/>
      <w:r w:rsidRPr="00FB5C78">
        <w:t>Schrijvers</w:t>
      </w:r>
      <w:proofErr w:type="spellEnd"/>
      <w:r w:rsidRPr="00FB5C78">
        <w:t xml:space="preserve"> (2003) “</w:t>
      </w:r>
      <w:proofErr w:type="spellStart"/>
      <w:r w:rsidRPr="00FB5C78">
        <w:t>Common</w:t>
      </w:r>
      <w:proofErr w:type="spellEnd"/>
      <w:r w:rsidRPr="00FB5C78">
        <w:t xml:space="preserve"> </w:t>
      </w:r>
      <w:proofErr w:type="spellStart"/>
      <w:r w:rsidRPr="00FB5C78">
        <w:t>factors</w:t>
      </w:r>
      <w:proofErr w:type="spellEnd"/>
      <w:r w:rsidRPr="00FB5C78">
        <w:t xml:space="preserve"> in </w:t>
      </w:r>
      <w:proofErr w:type="spellStart"/>
      <w:r w:rsidRPr="00FB5C78">
        <w:t>emerging</w:t>
      </w:r>
      <w:proofErr w:type="spellEnd"/>
      <w:r w:rsidRPr="00FB5C78">
        <w:t xml:space="preserve"> market </w:t>
      </w:r>
      <w:proofErr w:type="spellStart"/>
      <w:r w:rsidRPr="00FB5C78">
        <w:t>spreads</w:t>
      </w:r>
      <w:proofErr w:type="spellEnd"/>
      <w:r w:rsidRPr="00FB5C78">
        <w:t xml:space="preserve">” BIS </w:t>
      </w:r>
      <w:proofErr w:type="spellStart"/>
      <w:r w:rsidRPr="00FB5C78">
        <w:t>Quarterly</w:t>
      </w:r>
      <w:proofErr w:type="spellEnd"/>
      <w:r w:rsidRPr="00FB5C78">
        <w:t xml:space="preserve"> </w:t>
      </w:r>
      <w:proofErr w:type="spellStart"/>
      <w:r w:rsidRPr="00FB5C78">
        <w:t>Review</w:t>
      </w:r>
      <w:proofErr w:type="spellEnd"/>
      <w:r w:rsidRPr="00FB5C78">
        <w:t xml:space="preserve"> : 65-78.</w:t>
      </w:r>
    </w:p>
    <w:p w:rsidR="00FB5C78" w:rsidRPr="00FB5C78" w:rsidRDefault="00FB5C78" w:rsidP="00FB5C78">
      <w:pPr>
        <w:ind w:left="851" w:hanging="851"/>
        <w:jc w:val="both"/>
      </w:pPr>
    </w:p>
    <w:p w:rsidR="00FB5C78" w:rsidRPr="00FB5C78" w:rsidRDefault="00FB5C78" w:rsidP="00FB5C78">
      <w:pPr>
        <w:ind w:left="851" w:hanging="851"/>
        <w:jc w:val="both"/>
      </w:pPr>
      <w:proofErr w:type="spellStart"/>
      <w:r w:rsidRPr="00FB5C78">
        <w:t>Mellios</w:t>
      </w:r>
      <w:proofErr w:type="spellEnd"/>
      <w:r w:rsidRPr="00FB5C78">
        <w:t xml:space="preserve">, C, </w:t>
      </w:r>
      <w:proofErr w:type="spellStart"/>
      <w:r w:rsidRPr="00FB5C78">
        <w:t>and</w:t>
      </w:r>
      <w:proofErr w:type="spellEnd"/>
      <w:r w:rsidRPr="00FB5C78">
        <w:t xml:space="preserve"> E, </w:t>
      </w:r>
      <w:proofErr w:type="spellStart"/>
      <w:r w:rsidRPr="00FB5C78">
        <w:t>Paget</w:t>
      </w:r>
      <w:proofErr w:type="spellEnd"/>
      <w:r w:rsidRPr="00FB5C78">
        <w:t>-Blanc (2006). “</w:t>
      </w:r>
      <w:proofErr w:type="spellStart"/>
      <w:r w:rsidRPr="00FB5C78">
        <w:rPr>
          <w:bCs/>
        </w:rPr>
        <w:t>The</w:t>
      </w:r>
      <w:proofErr w:type="spellEnd"/>
      <w:r w:rsidRPr="00FB5C78">
        <w:rPr>
          <w:bCs/>
        </w:rPr>
        <w:t xml:space="preserve"> </w:t>
      </w:r>
      <w:proofErr w:type="spellStart"/>
      <w:r w:rsidRPr="00FB5C78">
        <w:rPr>
          <w:bCs/>
        </w:rPr>
        <w:t>impact</w:t>
      </w:r>
      <w:proofErr w:type="spellEnd"/>
      <w:r w:rsidRPr="00FB5C78">
        <w:rPr>
          <w:bCs/>
        </w:rPr>
        <w:t xml:space="preserve"> of </w:t>
      </w:r>
      <w:proofErr w:type="spellStart"/>
      <w:r w:rsidRPr="00FB5C78">
        <w:rPr>
          <w:bCs/>
        </w:rPr>
        <w:t>macro-economic</w:t>
      </w:r>
      <w:proofErr w:type="spellEnd"/>
      <w:r w:rsidRPr="00FB5C78">
        <w:rPr>
          <w:bCs/>
        </w:rPr>
        <w:t xml:space="preserve"> </w:t>
      </w:r>
      <w:proofErr w:type="spellStart"/>
      <w:r w:rsidRPr="00FB5C78">
        <w:rPr>
          <w:bCs/>
        </w:rPr>
        <w:t>variables</w:t>
      </w:r>
      <w:proofErr w:type="spellEnd"/>
      <w:r w:rsidRPr="00FB5C78">
        <w:rPr>
          <w:bCs/>
        </w:rPr>
        <w:t xml:space="preserve"> on </w:t>
      </w:r>
      <w:proofErr w:type="spellStart"/>
      <w:r w:rsidRPr="00FB5C78">
        <w:rPr>
          <w:bCs/>
        </w:rPr>
        <w:t>the</w:t>
      </w:r>
      <w:proofErr w:type="spellEnd"/>
      <w:r w:rsidRPr="00FB5C78">
        <w:rPr>
          <w:bCs/>
        </w:rPr>
        <w:t xml:space="preserve"> </w:t>
      </w:r>
      <w:proofErr w:type="spellStart"/>
      <w:r w:rsidRPr="00FB5C78">
        <w:rPr>
          <w:bCs/>
        </w:rPr>
        <w:t>sovereign</w:t>
      </w:r>
      <w:proofErr w:type="spellEnd"/>
      <w:r w:rsidRPr="00FB5C78">
        <w:rPr>
          <w:bCs/>
        </w:rPr>
        <w:t xml:space="preserve"> CDS </w:t>
      </w:r>
      <w:proofErr w:type="spellStart"/>
      <w:r w:rsidRPr="00FB5C78">
        <w:rPr>
          <w:bCs/>
        </w:rPr>
        <w:t>spreads</w:t>
      </w:r>
      <w:proofErr w:type="spellEnd"/>
      <w:r w:rsidRPr="00FB5C78">
        <w:rPr>
          <w:bCs/>
        </w:rPr>
        <w:t xml:space="preserve"> of </w:t>
      </w:r>
      <w:proofErr w:type="spellStart"/>
      <w:r w:rsidRPr="00FB5C78">
        <w:rPr>
          <w:bCs/>
        </w:rPr>
        <w:t>the</w:t>
      </w:r>
      <w:proofErr w:type="spellEnd"/>
      <w:r w:rsidRPr="00FB5C78">
        <w:rPr>
          <w:bCs/>
        </w:rPr>
        <w:t xml:space="preserve"> </w:t>
      </w:r>
      <w:proofErr w:type="spellStart"/>
      <w:r w:rsidRPr="00FB5C78">
        <w:rPr>
          <w:bCs/>
        </w:rPr>
        <w:t>Eurozone</w:t>
      </w:r>
      <w:proofErr w:type="spellEnd"/>
      <w:r w:rsidRPr="00FB5C78">
        <w:rPr>
          <w:bCs/>
        </w:rPr>
        <w:t xml:space="preserve"> </w:t>
      </w:r>
      <w:proofErr w:type="spellStart"/>
      <w:r w:rsidRPr="00FB5C78">
        <w:rPr>
          <w:bCs/>
        </w:rPr>
        <w:t>countries</w:t>
      </w:r>
      <w:proofErr w:type="spellEnd"/>
      <w:r w:rsidRPr="00FB5C78">
        <w:rPr>
          <w:bCs/>
        </w:rPr>
        <w:t xml:space="preserve"> : </w:t>
      </w:r>
      <w:proofErr w:type="spellStart"/>
      <w:r w:rsidRPr="00FB5C78">
        <w:rPr>
          <w:iCs/>
        </w:rPr>
        <w:t>Examining</w:t>
      </w:r>
      <w:proofErr w:type="spellEnd"/>
      <w:r w:rsidRPr="00FB5C78">
        <w:rPr>
          <w:iCs/>
        </w:rPr>
        <w:t xml:space="preserve"> </w:t>
      </w:r>
      <w:proofErr w:type="spellStart"/>
      <w:r w:rsidRPr="00FB5C78">
        <w:rPr>
          <w:iCs/>
        </w:rPr>
        <w:t>the</w:t>
      </w:r>
      <w:proofErr w:type="spellEnd"/>
      <w:r w:rsidRPr="00FB5C78">
        <w:rPr>
          <w:iCs/>
        </w:rPr>
        <w:t xml:space="preserve"> </w:t>
      </w:r>
      <w:proofErr w:type="spellStart"/>
      <w:r w:rsidRPr="00FB5C78">
        <w:rPr>
          <w:iCs/>
        </w:rPr>
        <w:t>determinants</w:t>
      </w:r>
      <w:proofErr w:type="spellEnd"/>
      <w:r w:rsidRPr="00FB5C78">
        <w:rPr>
          <w:iCs/>
        </w:rPr>
        <w:t xml:space="preserve"> of </w:t>
      </w:r>
      <w:proofErr w:type="spellStart"/>
      <w:r w:rsidRPr="00FB5C78">
        <w:rPr>
          <w:iCs/>
        </w:rPr>
        <w:t>credit</w:t>
      </w:r>
      <w:proofErr w:type="spellEnd"/>
      <w:r w:rsidRPr="00FB5C78">
        <w:rPr>
          <w:iCs/>
        </w:rPr>
        <w:t xml:space="preserve"> </w:t>
      </w:r>
      <w:proofErr w:type="spellStart"/>
      <w:r w:rsidRPr="00FB5C78">
        <w:rPr>
          <w:iCs/>
        </w:rPr>
        <w:t>default</w:t>
      </w:r>
      <w:proofErr w:type="spellEnd"/>
      <w:r w:rsidRPr="00FB5C78">
        <w:rPr>
          <w:iCs/>
        </w:rPr>
        <w:t xml:space="preserve"> </w:t>
      </w:r>
      <w:proofErr w:type="spellStart"/>
      <w:r w:rsidRPr="00FB5C78">
        <w:rPr>
          <w:iCs/>
        </w:rPr>
        <w:t>swaps</w:t>
      </w:r>
      <w:proofErr w:type="spellEnd"/>
      <w:r w:rsidRPr="00FB5C78">
        <w:rPr>
          <w:iCs/>
        </w:rPr>
        <w:t xml:space="preserve">,” </w:t>
      </w:r>
      <w:proofErr w:type="spellStart"/>
      <w:r w:rsidRPr="00FB5C78">
        <w:rPr>
          <w:iCs/>
        </w:rPr>
        <w:t>Journal</w:t>
      </w:r>
      <w:proofErr w:type="spellEnd"/>
      <w:r w:rsidRPr="00FB5C78">
        <w:rPr>
          <w:iCs/>
        </w:rPr>
        <w:t xml:space="preserve"> of Finance</w:t>
      </w:r>
      <w:r w:rsidRPr="00FB5C78">
        <w:t>, 12 (4) :363.</w:t>
      </w:r>
    </w:p>
    <w:p w:rsidR="00FB5C78" w:rsidRPr="00FB5C78" w:rsidRDefault="00FB5C78" w:rsidP="00FB5C78">
      <w:pPr>
        <w:ind w:left="851" w:hanging="851"/>
        <w:jc w:val="both"/>
      </w:pPr>
    </w:p>
    <w:p w:rsidR="00FB5C78" w:rsidRPr="00FB5C78" w:rsidRDefault="00FB5C78" w:rsidP="00FB5C78">
      <w:pPr>
        <w:ind w:left="851" w:hanging="851"/>
        <w:jc w:val="both"/>
      </w:pPr>
      <w:proofErr w:type="spellStart"/>
      <w:r w:rsidRPr="00FB5C78">
        <w:t>Pan</w:t>
      </w:r>
      <w:proofErr w:type="spellEnd"/>
      <w:r w:rsidRPr="00FB5C78">
        <w:t xml:space="preserve">, J. </w:t>
      </w:r>
      <w:proofErr w:type="spellStart"/>
      <w:r w:rsidRPr="00FB5C78">
        <w:t>and</w:t>
      </w:r>
      <w:proofErr w:type="spellEnd"/>
      <w:r w:rsidRPr="00FB5C78">
        <w:t xml:space="preserve"> </w:t>
      </w:r>
      <w:proofErr w:type="spellStart"/>
      <w:r w:rsidRPr="00FB5C78">
        <w:t>Singleton</w:t>
      </w:r>
      <w:proofErr w:type="spellEnd"/>
      <w:r w:rsidRPr="00FB5C78">
        <w:t xml:space="preserve">, K. J. (2008). </w:t>
      </w:r>
      <w:proofErr w:type="spellStart"/>
      <w:r w:rsidRPr="00FB5C78">
        <w:t>Default</w:t>
      </w:r>
      <w:proofErr w:type="spellEnd"/>
      <w:r w:rsidRPr="00FB5C78">
        <w:t xml:space="preserve"> </w:t>
      </w:r>
      <w:proofErr w:type="spellStart"/>
      <w:r w:rsidRPr="00FB5C78">
        <w:t>and</w:t>
      </w:r>
      <w:proofErr w:type="spellEnd"/>
      <w:r w:rsidRPr="00FB5C78">
        <w:t xml:space="preserve"> </w:t>
      </w:r>
      <w:proofErr w:type="spellStart"/>
      <w:r w:rsidRPr="00FB5C78">
        <w:t>recovery</w:t>
      </w:r>
      <w:proofErr w:type="spellEnd"/>
      <w:r w:rsidRPr="00FB5C78">
        <w:t xml:space="preserve"> </w:t>
      </w:r>
      <w:proofErr w:type="spellStart"/>
      <w:r w:rsidRPr="00FB5C78">
        <w:t>implicit</w:t>
      </w:r>
      <w:proofErr w:type="spellEnd"/>
      <w:r w:rsidRPr="00FB5C78">
        <w:t xml:space="preserve"> in </w:t>
      </w:r>
      <w:proofErr w:type="spellStart"/>
      <w:r w:rsidRPr="00FB5C78">
        <w:t>the</w:t>
      </w:r>
      <w:proofErr w:type="spellEnd"/>
      <w:r w:rsidRPr="00FB5C78">
        <w:t xml:space="preserve"> </w:t>
      </w:r>
      <w:proofErr w:type="spellStart"/>
      <w:r w:rsidRPr="00FB5C78">
        <w:t>term</w:t>
      </w:r>
      <w:proofErr w:type="spellEnd"/>
      <w:r w:rsidRPr="00FB5C78">
        <w:t xml:space="preserve"> </w:t>
      </w:r>
      <w:proofErr w:type="spellStart"/>
      <w:r w:rsidRPr="00FB5C78">
        <w:t>structure</w:t>
      </w:r>
      <w:proofErr w:type="spellEnd"/>
      <w:r w:rsidRPr="00FB5C78">
        <w:t xml:space="preserve"> of </w:t>
      </w:r>
      <w:proofErr w:type="spellStart"/>
      <w:r w:rsidRPr="00FB5C78">
        <w:t>sovereign</w:t>
      </w:r>
      <w:proofErr w:type="spellEnd"/>
      <w:r w:rsidRPr="00FB5C78">
        <w:t xml:space="preserve"> </w:t>
      </w:r>
      <w:proofErr w:type="spellStart"/>
      <w:r w:rsidRPr="00FB5C78">
        <w:t>cds</w:t>
      </w:r>
      <w:proofErr w:type="spellEnd"/>
      <w:r w:rsidRPr="00FB5C78">
        <w:t xml:space="preserve"> </w:t>
      </w:r>
      <w:proofErr w:type="spellStart"/>
      <w:r w:rsidRPr="00FB5C78">
        <w:t>spreads</w:t>
      </w:r>
      <w:proofErr w:type="spellEnd"/>
      <w:r w:rsidRPr="00FB5C78">
        <w:t xml:space="preserve">, </w:t>
      </w:r>
      <w:proofErr w:type="spellStart"/>
      <w:r w:rsidRPr="00FB5C78">
        <w:t>The</w:t>
      </w:r>
      <w:proofErr w:type="spellEnd"/>
      <w:r w:rsidRPr="00FB5C78">
        <w:t xml:space="preserve"> </w:t>
      </w:r>
      <w:proofErr w:type="spellStart"/>
      <w:r w:rsidRPr="00FB5C78">
        <w:t>Journal</w:t>
      </w:r>
      <w:proofErr w:type="spellEnd"/>
      <w:r w:rsidRPr="00FB5C78">
        <w:t xml:space="preserve"> of Finance 63(5): 2345{2384.</w:t>
      </w:r>
    </w:p>
    <w:p w:rsidR="00FB5C78" w:rsidRPr="00FB5C78" w:rsidRDefault="00FB5C78" w:rsidP="00FB5C78">
      <w:pPr>
        <w:ind w:left="851" w:hanging="851"/>
        <w:jc w:val="both"/>
      </w:pPr>
    </w:p>
    <w:p w:rsidR="00FB5C78" w:rsidRPr="00FB5C78" w:rsidRDefault="00FB5C78" w:rsidP="00FB5C78">
      <w:pPr>
        <w:ind w:left="851" w:hanging="851"/>
        <w:jc w:val="both"/>
      </w:pPr>
      <w:proofErr w:type="spellStart"/>
      <w:r w:rsidRPr="00FB5C78">
        <w:t>Reinhart</w:t>
      </w:r>
      <w:proofErr w:type="spellEnd"/>
      <w:r w:rsidRPr="00FB5C78">
        <w:t xml:space="preserve">, C, </w:t>
      </w:r>
      <w:proofErr w:type="spellStart"/>
      <w:r w:rsidRPr="00FB5C78">
        <w:t>and</w:t>
      </w:r>
      <w:proofErr w:type="spellEnd"/>
      <w:r w:rsidRPr="00FB5C78">
        <w:t xml:space="preserve"> K, </w:t>
      </w:r>
      <w:proofErr w:type="spellStart"/>
      <w:r w:rsidRPr="00FB5C78">
        <w:t>Rogoff</w:t>
      </w:r>
      <w:proofErr w:type="spellEnd"/>
      <w:r w:rsidRPr="00FB5C78">
        <w:t xml:space="preserve">, (2008). </w:t>
      </w:r>
      <w:proofErr w:type="spellStart"/>
      <w:r w:rsidRPr="00FB5C78">
        <w:t>This</w:t>
      </w:r>
      <w:proofErr w:type="spellEnd"/>
      <w:r w:rsidRPr="00FB5C78">
        <w:t xml:space="preserve"> time </w:t>
      </w:r>
      <w:r w:rsidRPr="00FB5C78">
        <w:rPr>
          <w:iCs/>
        </w:rPr>
        <w:t xml:space="preserve">is </w:t>
      </w:r>
      <w:proofErr w:type="spellStart"/>
      <w:r w:rsidRPr="00FB5C78">
        <w:rPr>
          <w:iCs/>
        </w:rPr>
        <w:t>different</w:t>
      </w:r>
      <w:proofErr w:type="spellEnd"/>
      <w:r w:rsidRPr="00FB5C78">
        <w:rPr>
          <w:iCs/>
        </w:rPr>
        <w:t xml:space="preserve">: </w:t>
      </w:r>
      <w:proofErr w:type="spellStart"/>
      <w:r w:rsidRPr="00FB5C78">
        <w:rPr>
          <w:iCs/>
        </w:rPr>
        <w:t>Eight</w:t>
      </w:r>
      <w:proofErr w:type="spellEnd"/>
      <w:r w:rsidRPr="00FB5C78">
        <w:rPr>
          <w:iCs/>
        </w:rPr>
        <w:t xml:space="preserve"> </w:t>
      </w:r>
      <w:proofErr w:type="spellStart"/>
      <w:r w:rsidRPr="00FB5C78">
        <w:rPr>
          <w:iCs/>
        </w:rPr>
        <w:t>Centuries</w:t>
      </w:r>
      <w:proofErr w:type="spellEnd"/>
      <w:r w:rsidRPr="00FB5C78">
        <w:rPr>
          <w:iCs/>
        </w:rPr>
        <w:t xml:space="preserve"> of Financial </w:t>
      </w:r>
      <w:proofErr w:type="spellStart"/>
      <w:r w:rsidRPr="00FB5C78">
        <w:rPr>
          <w:iCs/>
        </w:rPr>
        <w:t>Folly</w:t>
      </w:r>
      <w:proofErr w:type="spellEnd"/>
      <w:r w:rsidRPr="00FB5C78">
        <w:t xml:space="preserve">, New Jersey: Princeton </w:t>
      </w:r>
      <w:proofErr w:type="spellStart"/>
      <w:r w:rsidRPr="00FB5C78">
        <w:t>University</w:t>
      </w:r>
      <w:proofErr w:type="spellEnd"/>
      <w:r w:rsidRPr="00FB5C78">
        <w:t xml:space="preserve"> </w:t>
      </w:r>
      <w:proofErr w:type="spellStart"/>
      <w:r w:rsidRPr="00FB5C78">
        <w:t>Press</w:t>
      </w:r>
      <w:proofErr w:type="spellEnd"/>
      <w:r w:rsidRPr="00FB5C78">
        <w:t>.</w:t>
      </w:r>
    </w:p>
    <w:p w:rsidR="00FB5C78" w:rsidRPr="00FB5C78" w:rsidRDefault="00FB5C78" w:rsidP="00FB5C78">
      <w:pPr>
        <w:ind w:left="851" w:hanging="851"/>
        <w:jc w:val="both"/>
      </w:pPr>
    </w:p>
    <w:p w:rsidR="00FB5C78" w:rsidRPr="00FB5C78" w:rsidRDefault="00FB5C78" w:rsidP="00FB5C78">
      <w:pPr>
        <w:ind w:left="851" w:hanging="851"/>
        <w:jc w:val="both"/>
      </w:pPr>
      <w:proofErr w:type="spellStart"/>
      <w:r w:rsidRPr="00FB5C78">
        <w:t>Remolona</w:t>
      </w:r>
      <w:proofErr w:type="spellEnd"/>
      <w:r w:rsidRPr="00FB5C78">
        <w:t xml:space="preserve">, E., </w:t>
      </w:r>
      <w:proofErr w:type="spellStart"/>
      <w:r w:rsidRPr="00FB5C78">
        <w:t>Scatigna</w:t>
      </w:r>
      <w:proofErr w:type="spellEnd"/>
      <w:r w:rsidRPr="00FB5C78">
        <w:t xml:space="preserve">, M. </w:t>
      </w:r>
      <w:proofErr w:type="spellStart"/>
      <w:r w:rsidRPr="00FB5C78">
        <w:t>and</w:t>
      </w:r>
      <w:proofErr w:type="spellEnd"/>
      <w:r w:rsidRPr="00FB5C78">
        <w:t xml:space="preserve"> </w:t>
      </w:r>
      <w:proofErr w:type="spellStart"/>
      <w:r w:rsidRPr="00FB5C78">
        <w:t>Wu</w:t>
      </w:r>
      <w:proofErr w:type="spellEnd"/>
      <w:r w:rsidRPr="00FB5C78">
        <w:t xml:space="preserve">, E. (2008). </w:t>
      </w:r>
      <w:proofErr w:type="spellStart"/>
      <w:r w:rsidRPr="00FB5C78">
        <w:t>The</w:t>
      </w:r>
      <w:proofErr w:type="spellEnd"/>
      <w:r w:rsidRPr="00FB5C78">
        <w:t xml:space="preserve"> </w:t>
      </w:r>
      <w:proofErr w:type="spellStart"/>
      <w:r w:rsidRPr="00FB5C78">
        <w:t>dynamic</w:t>
      </w:r>
      <w:proofErr w:type="spellEnd"/>
      <w:r w:rsidRPr="00FB5C78">
        <w:t xml:space="preserve"> </w:t>
      </w:r>
      <w:proofErr w:type="spellStart"/>
      <w:r w:rsidRPr="00FB5C78">
        <w:t>pricing</w:t>
      </w:r>
      <w:proofErr w:type="spellEnd"/>
      <w:r w:rsidRPr="00FB5C78">
        <w:t xml:space="preserve"> of </w:t>
      </w:r>
      <w:proofErr w:type="spellStart"/>
      <w:r w:rsidRPr="00FB5C78">
        <w:t>sovereign</w:t>
      </w:r>
      <w:proofErr w:type="spellEnd"/>
      <w:r w:rsidRPr="00FB5C78">
        <w:t xml:space="preserve"> risk in </w:t>
      </w:r>
      <w:proofErr w:type="spellStart"/>
      <w:r w:rsidRPr="00FB5C78">
        <w:t>emerging</w:t>
      </w:r>
      <w:proofErr w:type="spellEnd"/>
      <w:r w:rsidRPr="00FB5C78">
        <w:t xml:space="preserve"> </w:t>
      </w:r>
      <w:proofErr w:type="spellStart"/>
      <w:r w:rsidRPr="00FB5C78">
        <w:t>markets</w:t>
      </w:r>
      <w:proofErr w:type="spellEnd"/>
      <w:r w:rsidRPr="00FB5C78">
        <w:t xml:space="preserve">: Fundamentals </w:t>
      </w:r>
      <w:proofErr w:type="spellStart"/>
      <w:r w:rsidRPr="00FB5C78">
        <w:t>and</w:t>
      </w:r>
      <w:proofErr w:type="spellEnd"/>
      <w:r w:rsidRPr="00FB5C78">
        <w:t xml:space="preserve"> risk </w:t>
      </w:r>
      <w:proofErr w:type="spellStart"/>
      <w:r w:rsidRPr="00FB5C78">
        <w:t>aversion</w:t>
      </w:r>
      <w:proofErr w:type="spellEnd"/>
      <w:r w:rsidRPr="00FB5C78">
        <w:t xml:space="preserve">, </w:t>
      </w:r>
      <w:proofErr w:type="spellStart"/>
      <w:r w:rsidRPr="00FB5C78">
        <w:t>Journal</w:t>
      </w:r>
      <w:proofErr w:type="spellEnd"/>
      <w:r w:rsidRPr="00FB5C78">
        <w:t xml:space="preserve"> of </w:t>
      </w:r>
      <w:proofErr w:type="spellStart"/>
      <w:r w:rsidRPr="00FB5C78">
        <w:t>Fixed</w:t>
      </w:r>
      <w:proofErr w:type="spellEnd"/>
      <w:r w:rsidRPr="00FB5C78">
        <w:t xml:space="preserve"> </w:t>
      </w:r>
      <w:proofErr w:type="spellStart"/>
      <w:r w:rsidRPr="00FB5C78">
        <w:t>Income</w:t>
      </w:r>
      <w:proofErr w:type="spellEnd"/>
      <w:r w:rsidRPr="00FB5C78">
        <w:t xml:space="preserve"> 17(4): 57 {71.</w:t>
      </w:r>
    </w:p>
    <w:p w:rsidR="00FB5C78" w:rsidRPr="00FB5C78" w:rsidRDefault="00FB5C78" w:rsidP="00FB5C78">
      <w:pPr>
        <w:ind w:left="851" w:hanging="851"/>
        <w:jc w:val="both"/>
      </w:pPr>
    </w:p>
    <w:p w:rsidR="00FB5C78" w:rsidRPr="00FB5C78" w:rsidRDefault="00FB5C78" w:rsidP="00FB5C78">
      <w:pPr>
        <w:ind w:left="851" w:hanging="851"/>
        <w:jc w:val="both"/>
        <w:rPr>
          <w:rStyle w:val="pagetitle1"/>
          <w:rFonts w:ascii="Times New Roman" w:hAnsi="Times New Roman" w:cs="Times New Roman"/>
          <w:color w:val="auto"/>
          <w:sz w:val="24"/>
          <w:szCs w:val="24"/>
        </w:rPr>
      </w:pPr>
      <w:proofErr w:type="spellStart"/>
      <w:r w:rsidRPr="00FB5C78">
        <w:t>Sturzenegger</w:t>
      </w:r>
      <w:proofErr w:type="spellEnd"/>
      <w:r w:rsidRPr="00FB5C78">
        <w:t xml:space="preserve"> </w:t>
      </w:r>
      <w:hyperlink r:id="rId14" w:history="1">
        <w:proofErr w:type="spellStart"/>
        <w:r w:rsidRPr="00FB5C78">
          <w:rPr>
            <w:rStyle w:val="Kpr"/>
            <w:color w:val="auto"/>
          </w:rPr>
          <w:t>Federico</w:t>
        </w:r>
        <w:proofErr w:type="spellEnd"/>
        <w:r w:rsidRPr="00FB5C78">
          <w:rPr>
            <w:rStyle w:val="Kpr"/>
            <w:color w:val="auto"/>
          </w:rPr>
          <w:t xml:space="preserve"> </w:t>
        </w:r>
      </w:hyperlink>
      <w:r w:rsidRPr="00FB5C78">
        <w:rPr>
          <w:rStyle w:val="bodycopy1"/>
          <w:rFonts w:ascii="Times New Roman" w:eastAsiaTheme="majorEastAsia" w:hAnsi="Times New Roman"/>
          <w:color w:val="auto"/>
          <w:sz w:val="24"/>
          <w:szCs w:val="24"/>
        </w:rPr>
        <w:t xml:space="preserve"> </w:t>
      </w:r>
      <w:proofErr w:type="spellStart"/>
      <w:r w:rsidRPr="00FB5C78">
        <w:rPr>
          <w:rStyle w:val="bodycopy1"/>
          <w:rFonts w:ascii="Times New Roman" w:eastAsiaTheme="majorEastAsia" w:hAnsi="Times New Roman"/>
          <w:color w:val="auto"/>
          <w:sz w:val="24"/>
          <w:szCs w:val="24"/>
        </w:rPr>
        <w:t>and</w:t>
      </w:r>
      <w:proofErr w:type="spellEnd"/>
      <w:r w:rsidRPr="00FB5C78">
        <w:rPr>
          <w:rStyle w:val="bodycopy1"/>
          <w:rFonts w:ascii="Times New Roman" w:eastAsiaTheme="majorEastAsia" w:hAnsi="Times New Roman"/>
          <w:color w:val="auto"/>
          <w:sz w:val="24"/>
          <w:szCs w:val="24"/>
        </w:rPr>
        <w:t xml:space="preserve"> </w:t>
      </w:r>
      <w:hyperlink r:id="rId15" w:history="1">
        <w:proofErr w:type="spellStart"/>
        <w:r w:rsidRPr="00FB5C78">
          <w:rPr>
            <w:rStyle w:val="Kpr"/>
            <w:color w:val="auto"/>
          </w:rPr>
          <w:t>Jeromin</w:t>
        </w:r>
        <w:proofErr w:type="spellEnd"/>
        <w:r w:rsidRPr="00FB5C78">
          <w:rPr>
            <w:rStyle w:val="Kpr"/>
            <w:color w:val="auto"/>
          </w:rPr>
          <w:t xml:space="preserve"> </w:t>
        </w:r>
        <w:proofErr w:type="spellStart"/>
        <w:r w:rsidRPr="00FB5C78">
          <w:rPr>
            <w:rStyle w:val="Kpr"/>
            <w:color w:val="auto"/>
          </w:rPr>
          <w:t>Zettelmeyer</w:t>
        </w:r>
        <w:proofErr w:type="spellEnd"/>
      </w:hyperlink>
      <w:r w:rsidRPr="00FB5C78">
        <w:rPr>
          <w:rStyle w:val="Kpr"/>
          <w:color w:val="auto"/>
        </w:rPr>
        <w:t xml:space="preserve"> </w:t>
      </w:r>
      <w:r w:rsidRPr="00FB5C78">
        <w:rPr>
          <w:rStyle w:val="bodycopy1"/>
          <w:rFonts w:ascii="Times New Roman" w:eastAsiaTheme="majorEastAsia" w:hAnsi="Times New Roman"/>
          <w:color w:val="auto"/>
          <w:sz w:val="24"/>
          <w:szCs w:val="24"/>
        </w:rPr>
        <w:t xml:space="preserve"> (2007).</w:t>
      </w:r>
      <w:r w:rsidRPr="00FB5C78">
        <w:rPr>
          <w:lang w:val="en-US"/>
        </w:rPr>
        <w:t xml:space="preserve"> “</w:t>
      </w:r>
      <w:r w:rsidRPr="00FB5C78">
        <w:rPr>
          <w:rStyle w:val="bodycopy1"/>
          <w:rFonts w:ascii="Times New Roman" w:eastAsiaTheme="majorEastAsia" w:hAnsi="Times New Roman"/>
          <w:color w:val="auto"/>
          <w:sz w:val="24"/>
          <w:szCs w:val="24"/>
        </w:rPr>
        <w:t xml:space="preserve"> </w:t>
      </w:r>
      <w:proofErr w:type="spellStart"/>
      <w:r w:rsidRPr="00FB5C78">
        <w:rPr>
          <w:rStyle w:val="pagetitle1"/>
          <w:rFonts w:ascii="Times New Roman" w:hAnsi="Times New Roman" w:cs="Times New Roman"/>
          <w:color w:val="auto"/>
          <w:sz w:val="24"/>
          <w:szCs w:val="24"/>
        </w:rPr>
        <w:t>Debt</w:t>
      </w:r>
      <w:proofErr w:type="spellEnd"/>
      <w:r w:rsidRPr="00FB5C78">
        <w:rPr>
          <w:rStyle w:val="pagetitle1"/>
          <w:rFonts w:ascii="Times New Roman" w:hAnsi="Times New Roman" w:cs="Times New Roman"/>
          <w:color w:val="auto"/>
          <w:sz w:val="24"/>
          <w:szCs w:val="24"/>
        </w:rPr>
        <w:t xml:space="preserve"> </w:t>
      </w:r>
      <w:proofErr w:type="spellStart"/>
      <w:r w:rsidRPr="00FB5C78">
        <w:rPr>
          <w:rStyle w:val="pagetitle1"/>
          <w:rFonts w:ascii="Times New Roman" w:hAnsi="Times New Roman" w:cs="Times New Roman"/>
          <w:color w:val="auto"/>
          <w:sz w:val="24"/>
          <w:szCs w:val="24"/>
        </w:rPr>
        <w:t>Defaults</w:t>
      </w:r>
      <w:proofErr w:type="spellEnd"/>
      <w:r w:rsidRPr="00FB5C78">
        <w:rPr>
          <w:rStyle w:val="pagetitle1"/>
          <w:rFonts w:ascii="Times New Roman" w:hAnsi="Times New Roman" w:cs="Times New Roman"/>
          <w:color w:val="auto"/>
          <w:sz w:val="24"/>
          <w:szCs w:val="24"/>
        </w:rPr>
        <w:t xml:space="preserve"> </w:t>
      </w:r>
      <w:proofErr w:type="spellStart"/>
      <w:r w:rsidRPr="00FB5C78">
        <w:rPr>
          <w:rStyle w:val="pagetitle1"/>
          <w:rFonts w:ascii="Times New Roman" w:hAnsi="Times New Roman" w:cs="Times New Roman"/>
          <w:color w:val="auto"/>
          <w:sz w:val="24"/>
          <w:szCs w:val="24"/>
        </w:rPr>
        <w:t>and</w:t>
      </w:r>
      <w:proofErr w:type="spellEnd"/>
      <w:r w:rsidRPr="00FB5C78">
        <w:rPr>
          <w:rStyle w:val="pagetitle1"/>
          <w:rFonts w:ascii="Times New Roman" w:hAnsi="Times New Roman" w:cs="Times New Roman"/>
          <w:color w:val="auto"/>
          <w:sz w:val="24"/>
          <w:szCs w:val="24"/>
        </w:rPr>
        <w:t xml:space="preserve"> </w:t>
      </w:r>
      <w:proofErr w:type="spellStart"/>
      <w:r w:rsidRPr="00FB5C78">
        <w:rPr>
          <w:rStyle w:val="pagetitle1"/>
          <w:rFonts w:ascii="Times New Roman" w:hAnsi="Times New Roman" w:cs="Times New Roman"/>
          <w:color w:val="auto"/>
          <w:sz w:val="24"/>
          <w:szCs w:val="24"/>
        </w:rPr>
        <w:t>Lessons</w:t>
      </w:r>
      <w:proofErr w:type="spellEnd"/>
      <w:r w:rsidRPr="00FB5C78">
        <w:rPr>
          <w:rStyle w:val="pagetitle1"/>
          <w:rFonts w:ascii="Times New Roman" w:hAnsi="Times New Roman" w:cs="Times New Roman"/>
          <w:color w:val="auto"/>
          <w:sz w:val="24"/>
          <w:szCs w:val="24"/>
        </w:rPr>
        <w:t xml:space="preserve"> </w:t>
      </w:r>
      <w:proofErr w:type="spellStart"/>
      <w:r w:rsidRPr="00FB5C78">
        <w:rPr>
          <w:rStyle w:val="pagetitle1"/>
          <w:rFonts w:ascii="Times New Roman" w:hAnsi="Times New Roman" w:cs="Times New Roman"/>
          <w:color w:val="auto"/>
          <w:sz w:val="24"/>
          <w:szCs w:val="24"/>
        </w:rPr>
        <w:t>from</w:t>
      </w:r>
      <w:proofErr w:type="spellEnd"/>
      <w:r w:rsidRPr="00FB5C78">
        <w:rPr>
          <w:rStyle w:val="pagetitle1"/>
          <w:rFonts w:ascii="Times New Roman" w:hAnsi="Times New Roman" w:cs="Times New Roman"/>
          <w:color w:val="auto"/>
          <w:sz w:val="24"/>
          <w:szCs w:val="24"/>
        </w:rPr>
        <w:t xml:space="preserve"> a </w:t>
      </w:r>
      <w:proofErr w:type="spellStart"/>
      <w:r w:rsidRPr="00FB5C78">
        <w:rPr>
          <w:rStyle w:val="pagetitle1"/>
          <w:rFonts w:ascii="Times New Roman" w:hAnsi="Times New Roman" w:cs="Times New Roman"/>
          <w:color w:val="auto"/>
          <w:sz w:val="24"/>
          <w:szCs w:val="24"/>
        </w:rPr>
        <w:t>Decade</w:t>
      </w:r>
      <w:proofErr w:type="spellEnd"/>
      <w:r w:rsidRPr="00FB5C78">
        <w:rPr>
          <w:rStyle w:val="pagetitle1"/>
          <w:rFonts w:ascii="Times New Roman" w:hAnsi="Times New Roman" w:cs="Times New Roman"/>
          <w:color w:val="auto"/>
          <w:sz w:val="24"/>
          <w:szCs w:val="24"/>
        </w:rPr>
        <w:t xml:space="preserve"> of </w:t>
      </w:r>
      <w:proofErr w:type="spellStart"/>
      <w:r w:rsidRPr="00FB5C78">
        <w:rPr>
          <w:rStyle w:val="pagetitle1"/>
          <w:rFonts w:ascii="Times New Roman" w:hAnsi="Times New Roman" w:cs="Times New Roman"/>
          <w:color w:val="auto"/>
          <w:sz w:val="24"/>
          <w:szCs w:val="24"/>
        </w:rPr>
        <w:t>Crises</w:t>
      </w:r>
      <w:proofErr w:type="spellEnd"/>
      <w:r w:rsidRPr="00FB5C78">
        <w:rPr>
          <w:rStyle w:val="pagetitle1"/>
          <w:rFonts w:ascii="Times New Roman" w:hAnsi="Times New Roman" w:cs="Times New Roman"/>
          <w:color w:val="auto"/>
          <w:sz w:val="24"/>
          <w:szCs w:val="24"/>
        </w:rPr>
        <w:t>,”MIT Press:9-10.</w:t>
      </w:r>
    </w:p>
    <w:p w:rsidR="00FB5C78" w:rsidRPr="00FB5C78" w:rsidRDefault="00FB5C78" w:rsidP="00FB5C78">
      <w:pPr>
        <w:ind w:left="851" w:hanging="851"/>
        <w:jc w:val="both"/>
        <w:rPr>
          <w:rStyle w:val="pagetitle1"/>
          <w:rFonts w:ascii="Times New Roman" w:hAnsi="Times New Roman" w:cs="Times New Roman"/>
          <w:color w:val="auto"/>
          <w:sz w:val="24"/>
          <w:szCs w:val="24"/>
        </w:rPr>
      </w:pPr>
    </w:p>
    <w:p w:rsidR="00FB5C78" w:rsidRPr="00FB5C78" w:rsidRDefault="00FB5C78" w:rsidP="00FB5C78">
      <w:pPr>
        <w:ind w:left="851" w:hanging="851"/>
        <w:jc w:val="both"/>
      </w:pPr>
      <w:proofErr w:type="spellStart"/>
      <w:r w:rsidRPr="00FB5C78">
        <w:t>Weigel,Diaz</w:t>
      </w:r>
      <w:proofErr w:type="spellEnd"/>
      <w:r w:rsidRPr="00FB5C78">
        <w:t xml:space="preserve"> D, </w:t>
      </w:r>
      <w:proofErr w:type="spellStart"/>
      <w:r w:rsidRPr="00FB5C78">
        <w:t>and</w:t>
      </w:r>
      <w:proofErr w:type="spellEnd"/>
      <w:r w:rsidRPr="00FB5C78">
        <w:t xml:space="preserve"> G </w:t>
      </w:r>
      <w:proofErr w:type="spellStart"/>
      <w:r w:rsidRPr="00FB5C78">
        <w:t>Gemmill</w:t>
      </w:r>
      <w:proofErr w:type="spellEnd"/>
      <w:r w:rsidRPr="00FB5C78">
        <w:t>,(2006). “</w:t>
      </w:r>
      <w:proofErr w:type="spellStart"/>
      <w:r w:rsidRPr="00FB5C78">
        <w:t>What</w:t>
      </w:r>
      <w:proofErr w:type="spellEnd"/>
      <w:r w:rsidRPr="00FB5C78">
        <w:t xml:space="preserve"> </w:t>
      </w:r>
      <w:proofErr w:type="spellStart"/>
      <w:r w:rsidRPr="00FB5C78">
        <w:t>Drives</w:t>
      </w:r>
      <w:proofErr w:type="spellEnd"/>
      <w:r w:rsidRPr="00FB5C78">
        <w:t xml:space="preserve"> </w:t>
      </w:r>
      <w:proofErr w:type="spellStart"/>
      <w:r w:rsidRPr="00FB5C78">
        <w:t>Credit</w:t>
      </w:r>
      <w:proofErr w:type="spellEnd"/>
      <w:r w:rsidRPr="00FB5C78">
        <w:t xml:space="preserve"> Risk in </w:t>
      </w:r>
      <w:proofErr w:type="spellStart"/>
      <w:r w:rsidRPr="00FB5C78">
        <w:t>Emerging</w:t>
      </w:r>
      <w:proofErr w:type="spellEnd"/>
      <w:r w:rsidRPr="00FB5C78">
        <w:t xml:space="preserve"> </w:t>
      </w:r>
      <w:proofErr w:type="spellStart"/>
      <w:r w:rsidRPr="00FB5C78">
        <w:t>Markets</w:t>
      </w:r>
      <w:proofErr w:type="spellEnd"/>
      <w:r w:rsidRPr="00FB5C78">
        <w:t xml:space="preserve">? </w:t>
      </w:r>
      <w:proofErr w:type="spellStart"/>
      <w:r w:rsidRPr="00FB5C78">
        <w:t>The</w:t>
      </w:r>
      <w:proofErr w:type="spellEnd"/>
      <w:r w:rsidRPr="00FB5C78">
        <w:t xml:space="preserve"> </w:t>
      </w:r>
      <w:proofErr w:type="spellStart"/>
      <w:r w:rsidRPr="00FB5C78">
        <w:t>Roles</w:t>
      </w:r>
      <w:proofErr w:type="spellEnd"/>
      <w:r w:rsidRPr="00FB5C78">
        <w:t xml:space="preserve"> of Country Fundamentals </w:t>
      </w:r>
      <w:proofErr w:type="spellStart"/>
      <w:r w:rsidRPr="00FB5C78">
        <w:t>and</w:t>
      </w:r>
      <w:proofErr w:type="spellEnd"/>
      <w:r w:rsidRPr="00FB5C78">
        <w:t xml:space="preserve"> Market </w:t>
      </w:r>
      <w:proofErr w:type="spellStart"/>
      <w:r w:rsidRPr="00FB5C78">
        <w:t>Co-Movements</w:t>
      </w:r>
      <w:proofErr w:type="spellEnd"/>
      <w:r w:rsidRPr="00FB5C78">
        <w:t xml:space="preserve">,” </w:t>
      </w:r>
      <w:proofErr w:type="spellStart"/>
      <w:r w:rsidRPr="00FB5C78">
        <w:rPr>
          <w:iCs/>
        </w:rPr>
        <w:t>Journal</w:t>
      </w:r>
      <w:proofErr w:type="spellEnd"/>
      <w:r w:rsidRPr="00FB5C78">
        <w:rPr>
          <w:iCs/>
        </w:rPr>
        <w:t xml:space="preserve"> of International Money </w:t>
      </w:r>
      <w:proofErr w:type="spellStart"/>
      <w:r w:rsidRPr="00FB5C78">
        <w:rPr>
          <w:iCs/>
        </w:rPr>
        <w:t>and</w:t>
      </w:r>
      <w:proofErr w:type="spellEnd"/>
      <w:r w:rsidRPr="00FB5C78">
        <w:rPr>
          <w:iCs/>
        </w:rPr>
        <w:t xml:space="preserve"> Finance, </w:t>
      </w:r>
      <w:r w:rsidRPr="00FB5C78">
        <w:rPr>
          <w:bCs/>
        </w:rPr>
        <w:t>25:</w:t>
      </w:r>
      <w:r w:rsidRPr="00FB5C78">
        <w:t xml:space="preserve"> 476–502.</w:t>
      </w:r>
    </w:p>
    <w:p w:rsidR="00FB5C78" w:rsidRPr="00FB5C78" w:rsidRDefault="00FB5C78" w:rsidP="00FB5C78">
      <w:pPr>
        <w:ind w:left="851" w:hanging="851"/>
        <w:jc w:val="both"/>
      </w:pPr>
    </w:p>
    <w:p w:rsidR="00FB5C78" w:rsidRPr="00FB5C78" w:rsidRDefault="00FB5C78" w:rsidP="00FB5C78">
      <w:pPr>
        <w:ind w:left="851" w:hanging="851"/>
        <w:jc w:val="both"/>
      </w:pPr>
      <w:proofErr w:type="spellStart"/>
      <w:r w:rsidRPr="00FB5C78">
        <w:t>Westphalen</w:t>
      </w:r>
      <w:proofErr w:type="spellEnd"/>
      <w:r w:rsidRPr="00FB5C78">
        <w:t>, M, (2001). “</w:t>
      </w:r>
      <w:proofErr w:type="spellStart"/>
      <w:r w:rsidRPr="00FB5C78">
        <w:t>The</w:t>
      </w:r>
      <w:proofErr w:type="spellEnd"/>
      <w:r w:rsidRPr="00FB5C78">
        <w:t xml:space="preserve"> </w:t>
      </w:r>
      <w:proofErr w:type="spellStart"/>
      <w:r w:rsidRPr="00FB5C78">
        <w:t>determinants</w:t>
      </w:r>
      <w:proofErr w:type="spellEnd"/>
      <w:r w:rsidRPr="00FB5C78">
        <w:t xml:space="preserve"> of </w:t>
      </w:r>
      <w:proofErr w:type="spellStart"/>
      <w:r w:rsidRPr="00FB5C78">
        <w:t>sovereign</w:t>
      </w:r>
      <w:proofErr w:type="spellEnd"/>
      <w:r w:rsidRPr="00FB5C78">
        <w:t xml:space="preserve"> </w:t>
      </w:r>
      <w:proofErr w:type="spellStart"/>
      <w:r w:rsidRPr="00FB5C78">
        <w:t>bond</w:t>
      </w:r>
      <w:proofErr w:type="spellEnd"/>
      <w:r w:rsidRPr="00FB5C78">
        <w:t xml:space="preserve"> </w:t>
      </w:r>
      <w:proofErr w:type="spellStart"/>
      <w:r w:rsidRPr="00FB5C78">
        <w:t>credit</w:t>
      </w:r>
      <w:proofErr w:type="spellEnd"/>
      <w:r w:rsidRPr="00FB5C78">
        <w:t xml:space="preserve"> </w:t>
      </w:r>
      <w:proofErr w:type="spellStart"/>
      <w:r w:rsidRPr="00FB5C78">
        <w:t>spreads</w:t>
      </w:r>
      <w:proofErr w:type="spellEnd"/>
      <w:r w:rsidRPr="00FB5C78">
        <w:t xml:space="preserve"> </w:t>
      </w:r>
      <w:proofErr w:type="spellStart"/>
      <w:r w:rsidRPr="00FB5C78">
        <w:t>changes</w:t>
      </w:r>
      <w:proofErr w:type="spellEnd"/>
      <w:r w:rsidRPr="00FB5C78">
        <w:t xml:space="preserve">,” </w:t>
      </w:r>
      <w:proofErr w:type="spellStart"/>
      <w:r w:rsidRPr="00FB5C78">
        <w:t>Working</w:t>
      </w:r>
      <w:proofErr w:type="spellEnd"/>
      <w:r w:rsidRPr="00FB5C78">
        <w:t xml:space="preserve"> </w:t>
      </w:r>
      <w:proofErr w:type="spellStart"/>
      <w:r w:rsidRPr="00FB5C78">
        <w:t>paper</w:t>
      </w:r>
      <w:proofErr w:type="spellEnd"/>
      <w:r w:rsidRPr="00FB5C78">
        <w:t xml:space="preserve">, </w:t>
      </w:r>
      <w:proofErr w:type="spellStart"/>
      <w:r w:rsidRPr="00FB5C78">
        <w:t>University</w:t>
      </w:r>
      <w:proofErr w:type="spellEnd"/>
      <w:r w:rsidRPr="00FB5C78">
        <w:t xml:space="preserve"> of </w:t>
      </w:r>
      <w:proofErr w:type="spellStart"/>
      <w:r w:rsidRPr="00FB5C78">
        <w:t>Lausanne</w:t>
      </w:r>
      <w:proofErr w:type="spellEnd"/>
      <w:r w:rsidRPr="00FB5C78">
        <w:t>.</w:t>
      </w:r>
    </w:p>
    <w:p w:rsidR="005C4FF0" w:rsidRDefault="005C4FF0" w:rsidP="00FB5C78">
      <w:pPr>
        <w:autoSpaceDE w:val="0"/>
        <w:autoSpaceDN w:val="0"/>
        <w:adjustRightInd w:val="0"/>
        <w:ind w:left="851" w:hanging="851"/>
        <w:jc w:val="both"/>
        <w:rPr>
          <w:noProof/>
          <w:lang w:val="en-US"/>
        </w:rPr>
      </w:pPr>
    </w:p>
    <w:p w:rsidR="00FB5C78" w:rsidRDefault="00FB5C78" w:rsidP="00FB5C78">
      <w:pPr>
        <w:autoSpaceDE w:val="0"/>
        <w:autoSpaceDN w:val="0"/>
        <w:adjustRightInd w:val="0"/>
        <w:ind w:left="851" w:hanging="851"/>
        <w:jc w:val="both"/>
        <w:rPr>
          <w:noProof/>
          <w:lang w:val="en-US"/>
        </w:rPr>
      </w:pPr>
    </w:p>
    <w:p w:rsidR="00FB5C78" w:rsidRDefault="00FB5C78" w:rsidP="00FB5C78">
      <w:pPr>
        <w:autoSpaceDE w:val="0"/>
        <w:autoSpaceDN w:val="0"/>
        <w:adjustRightInd w:val="0"/>
        <w:ind w:left="851" w:hanging="851"/>
        <w:jc w:val="both"/>
        <w:rPr>
          <w:noProof/>
          <w:lang w:val="en-US"/>
        </w:rPr>
      </w:pPr>
    </w:p>
    <w:p w:rsidR="00FB5C78" w:rsidRDefault="00FB5C78" w:rsidP="00FB5C78">
      <w:pPr>
        <w:autoSpaceDE w:val="0"/>
        <w:autoSpaceDN w:val="0"/>
        <w:adjustRightInd w:val="0"/>
        <w:ind w:left="851" w:hanging="851"/>
        <w:jc w:val="both"/>
        <w:rPr>
          <w:noProof/>
          <w:lang w:val="en-US"/>
        </w:rPr>
      </w:pPr>
    </w:p>
    <w:p w:rsidR="00FB5C78" w:rsidRDefault="00FB5C78" w:rsidP="00FB5C78">
      <w:pPr>
        <w:autoSpaceDE w:val="0"/>
        <w:autoSpaceDN w:val="0"/>
        <w:adjustRightInd w:val="0"/>
        <w:ind w:left="851" w:hanging="851"/>
        <w:jc w:val="both"/>
        <w:rPr>
          <w:b/>
          <w:noProof/>
          <w:lang w:val="en-US"/>
        </w:rPr>
      </w:pPr>
      <w:r>
        <w:rPr>
          <w:b/>
          <w:noProof/>
          <w:lang w:val="en-US"/>
        </w:rPr>
        <w:t>Appendix</w:t>
      </w:r>
    </w:p>
    <w:p w:rsidR="00FB5C78" w:rsidRDefault="00FB5C78" w:rsidP="00FB5C78">
      <w:pPr>
        <w:autoSpaceDE w:val="0"/>
        <w:autoSpaceDN w:val="0"/>
        <w:adjustRightInd w:val="0"/>
        <w:ind w:left="851" w:hanging="851"/>
        <w:jc w:val="both"/>
        <w:rPr>
          <w:b/>
          <w:noProof/>
          <w:lang w:val="en-US"/>
        </w:rPr>
      </w:pPr>
    </w:p>
    <w:p w:rsidR="00FB5C78" w:rsidRPr="00FB5C78" w:rsidRDefault="00FB5C78" w:rsidP="00FB5C78">
      <w:pPr>
        <w:tabs>
          <w:tab w:val="left" w:pos="426"/>
        </w:tabs>
        <w:spacing w:after="120"/>
        <w:jc w:val="both"/>
        <w:rPr>
          <w:sz w:val="20"/>
          <w:szCs w:val="20"/>
          <w:lang w:val="en-US"/>
        </w:rPr>
      </w:pPr>
    </w:p>
    <w:p w:rsidR="00FB5C78" w:rsidRPr="00FB5C78" w:rsidRDefault="00FB5C78" w:rsidP="00FB5C78">
      <w:pPr>
        <w:jc w:val="center"/>
        <w:rPr>
          <w:sz w:val="20"/>
          <w:szCs w:val="20"/>
          <w:lang w:val="en-US"/>
        </w:rPr>
      </w:pPr>
      <w:r w:rsidRPr="00FB5C78">
        <w:rPr>
          <w:sz w:val="20"/>
          <w:szCs w:val="20"/>
          <w:lang w:val="en-US"/>
        </w:rPr>
        <w:t>Table 1</w:t>
      </w:r>
    </w:p>
    <w:p w:rsidR="00FB5C78" w:rsidRPr="00FB5C78" w:rsidRDefault="00FB5C78" w:rsidP="00FB5C78">
      <w:pPr>
        <w:jc w:val="center"/>
        <w:rPr>
          <w:sz w:val="20"/>
          <w:szCs w:val="20"/>
          <w:lang w:val="en-US"/>
        </w:rPr>
      </w:pPr>
      <w:r w:rsidRPr="00FB5C78">
        <w:rPr>
          <w:sz w:val="20"/>
          <w:szCs w:val="20"/>
          <w:lang w:val="en-US"/>
        </w:rPr>
        <w:t>Descriptive Statistics for Credit Default Swap Spreads</w:t>
      </w:r>
    </w:p>
    <w:tbl>
      <w:tblPr>
        <w:tblStyle w:val="TabloKlavuz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3"/>
        <w:gridCol w:w="1193"/>
        <w:gridCol w:w="1270"/>
        <w:gridCol w:w="1305"/>
        <w:gridCol w:w="1094"/>
        <w:gridCol w:w="1341"/>
        <w:gridCol w:w="612"/>
      </w:tblGrid>
      <w:tr w:rsidR="00FB5C78" w:rsidRPr="00FB5C78" w:rsidTr="00FF5AB8">
        <w:trPr>
          <w:jc w:val="center"/>
        </w:trPr>
        <w:tc>
          <w:tcPr>
            <w:tcW w:w="1013" w:type="dxa"/>
            <w:tcBorders>
              <w:top w:val="single" w:sz="4" w:space="0" w:color="auto"/>
              <w:bottom w:val="single" w:sz="4" w:space="0" w:color="auto"/>
            </w:tcBorders>
          </w:tcPr>
          <w:p w:rsidR="00FB5C78" w:rsidRPr="00FB5C78" w:rsidRDefault="00FB5C78" w:rsidP="00FF5AB8">
            <w:pPr>
              <w:spacing w:line="276" w:lineRule="auto"/>
              <w:jc w:val="both"/>
              <w:rPr>
                <w:sz w:val="20"/>
                <w:szCs w:val="20"/>
                <w:lang w:val="en-US"/>
              </w:rPr>
            </w:pPr>
          </w:p>
        </w:tc>
        <w:tc>
          <w:tcPr>
            <w:tcW w:w="1193" w:type="dxa"/>
            <w:tcBorders>
              <w:top w:val="single" w:sz="4" w:space="0" w:color="auto"/>
              <w:bottom w:val="single" w:sz="4" w:space="0" w:color="auto"/>
            </w:tcBorders>
          </w:tcPr>
          <w:p w:rsidR="00FB5C78" w:rsidRPr="00FB5C78" w:rsidRDefault="00FB5C78" w:rsidP="00FF5AB8">
            <w:pPr>
              <w:spacing w:line="276" w:lineRule="auto"/>
              <w:jc w:val="right"/>
              <w:rPr>
                <w:sz w:val="20"/>
                <w:szCs w:val="20"/>
                <w:lang w:val="en-US"/>
              </w:rPr>
            </w:pPr>
            <w:r w:rsidRPr="00FB5C78">
              <w:rPr>
                <w:sz w:val="20"/>
                <w:szCs w:val="20"/>
                <w:lang w:val="en-US"/>
              </w:rPr>
              <w:t>Mean</w:t>
            </w:r>
          </w:p>
        </w:tc>
        <w:tc>
          <w:tcPr>
            <w:tcW w:w="1270" w:type="dxa"/>
            <w:tcBorders>
              <w:top w:val="single" w:sz="4" w:space="0" w:color="auto"/>
              <w:bottom w:val="single" w:sz="4" w:space="0" w:color="auto"/>
            </w:tcBorders>
          </w:tcPr>
          <w:p w:rsidR="00FB5C78" w:rsidRPr="00FB5C78" w:rsidRDefault="00FB5C78" w:rsidP="00FF5AB8">
            <w:pPr>
              <w:spacing w:line="276" w:lineRule="auto"/>
              <w:jc w:val="right"/>
              <w:rPr>
                <w:sz w:val="20"/>
                <w:szCs w:val="20"/>
                <w:lang w:val="en-US"/>
              </w:rPr>
            </w:pPr>
            <w:r w:rsidRPr="00FB5C78">
              <w:rPr>
                <w:sz w:val="20"/>
                <w:szCs w:val="20"/>
                <w:lang w:val="en-US"/>
              </w:rPr>
              <w:t>Standard</w:t>
            </w:r>
          </w:p>
          <w:p w:rsidR="00FB5C78" w:rsidRPr="00FB5C78" w:rsidRDefault="00FB5C78" w:rsidP="00FF5AB8">
            <w:pPr>
              <w:spacing w:line="276" w:lineRule="auto"/>
              <w:jc w:val="right"/>
              <w:rPr>
                <w:sz w:val="20"/>
                <w:szCs w:val="20"/>
                <w:lang w:val="en-US"/>
              </w:rPr>
            </w:pPr>
            <w:r w:rsidRPr="00FB5C78">
              <w:rPr>
                <w:sz w:val="20"/>
                <w:szCs w:val="20"/>
                <w:lang w:val="en-US"/>
              </w:rPr>
              <w:t>Deviation</w:t>
            </w:r>
          </w:p>
        </w:tc>
        <w:tc>
          <w:tcPr>
            <w:tcW w:w="1305" w:type="dxa"/>
            <w:tcBorders>
              <w:top w:val="single" w:sz="4" w:space="0" w:color="auto"/>
              <w:bottom w:val="single" w:sz="4" w:space="0" w:color="auto"/>
            </w:tcBorders>
          </w:tcPr>
          <w:p w:rsidR="00FB5C78" w:rsidRPr="00FB5C78" w:rsidRDefault="00FB5C78" w:rsidP="00FF5AB8">
            <w:pPr>
              <w:spacing w:line="276" w:lineRule="auto"/>
              <w:jc w:val="right"/>
              <w:rPr>
                <w:sz w:val="20"/>
                <w:szCs w:val="20"/>
                <w:lang w:val="en-US"/>
              </w:rPr>
            </w:pPr>
            <w:r w:rsidRPr="00FB5C78">
              <w:rPr>
                <w:sz w:val="20"/>
                <w:szCs w:val="20"/>
                <w:lang w:val="en-US"/>
              </w:rPr>
              <w:t>Minimum</w:t>
            </w:r>
          </w:p>
        </w:tc>
        <w:tc>
          <w:tcPr>
            <w:tcW w:w="1094" w:type="dxa"/>
            <w:tcBorders>
              <w:top w:val="single" w:sz="4" w:space="0" w:color="auto"/>
              <w:bottom w:val="single" w:sz="4" w:space="0" w:color="auto"/>
            </w:tcBorders>
          </w:tcPr>
          <w:p w:rsidR="00FB5C78" w:rsidRPr="00FB5C78" w:rsidRDefault="00FB5C78" w:rsidP="00FF5AB8">
            <w:pPr>
              <w:spacing w:line="276" w:lineRule="auto"/>
              <w:jc w:val="right"/>
              <w:rPr>
                <w:sz w:val="20"/>
                <w:szCs w:val="20"/>
                <w:lang w:val="en-US"/>
              </w:rPr>
            </w:pPr>
            <w:r w:rsidRPr="00FB5C78">
              <w:rPr>
                <w:sz w:val="20"/>
                <w:szCs w:val="20"/>
                <w:lang w:val="en-US"/>
              </w:rPr>
              <w:t>Median</w:t>
            </w:r>
          </w:p>
        </w:tc>
        <w:tc>
          <w:tcPr>
            <w:tcW w:w="1341" w:type="dxa"/>
            <w:tcBorders>
              <w:top w:val="single" w:sz="4" w:space="0" w:color="auto"/>
              <w:bottom w:val="single" w:sz="4" w:space="0" w:color="auto"/>
            </w:tcBorders>
          </w:tcPr>
          <w:p w:rsidR="00FB5C78" w:rsidRPr="00FB5C78" w:rsidRDefault="00FB5C78" w:rsidP="00FF5AB8">
            <w:pPr>
              <w:spacing w:line="276" w:lineRule="auto"/>
              <w:jc w:val="right"/>
              <w:rPr>
                <w:sz w:val="20"/>
                <w:szCs w:val="20"/>
                <w:lang w:val="en-US"/>
              </w:rPr>
            </w:pPr>
            <w:r w:rsidRPr="00FB5C78">
              <w:rPr>
                <w:sz w:val="20"/>
                <w:szCs w:val="20"/>
                <w:lang w:val="en-US"/>
              </w:rPr>
              <w:t>Maximum</w:t>
            </w:r>
          </w:p>
        </w:tc>
        <w:tc>
          <w:tcPr>
            <w:tcW w:w="612" w:type="dxa"/>
            <w:tcBorders>
              <w:top w:val="single" w:sz="4" w:space="0" w:color="auto"/>
              <w:bottom w:val="single" w:sz="4" w:space="0" w:color="auto"/>
            </w:tcBorders>
          </w:tcPr>
          <w:p w:rsidR="00FB5C78" w:rsidRPr="00FB5C78" w:rsidRDefault="00FB5C78" w:rsidP="00FF5AB8">
            <w:pPr>
              <w:spacing w:line="276" w:lineRule="auto"/>
              <w:jc w:val="right"/>
              <w:rPr>
                <w:sz w:val="20"/>
                <w:szCs w:val="20"/>
                <w:lang w:val="en-US"/>
              </w:rPr>
            </w:pPr>
          </w:p>
          <w:p w:rsidR="00FB5C78" w:rsidRPr="00FB5C78" w:rsidRDefault="00FB5C78" w:rsidP="00FF5AB8">
            <w:pPr>
              <w:spacing w:line="276" w:lineRule="auto"/>
              <w:jc w:val="right"/>
              <w:rPr>
                <w:sz w:val="20"/>
                <w:szCs w:val="20"/>
                <w:lang w:val="en-US"/>
              </w:rPr>
            </w:pPr>
            <w:r w:rsidRPr="00FB5C78">
              <w:rPr>
                <w:sz w:val="20"/>
                <w:szCs w:val="20"/>
                <w:lang w:val="en-US"/>
              </w:rPr>
              <w:t>N</w:t>
            </w:r>
          </w:p>
        </w:tc>
      </w:tr>
      <w:tr w:rsidR="00FB5C78" w:rsidRPr="00FB5C78" w:rsidTr="00FF5AB8">
        <w:trPr>
          <w:jc w:val="center"/>
        </w:trPr>
        <w:tc>
          <w:tcPr>
            <w:tcW w:w="1013" w:type="dxa"/>
            <w:tcBorders>
              <w:top w:val="single" w:sz="4" w:space="0" w:color="auto"/>
            </w:tcBorders>
          </w:tcPr>
          <w:p w:rsidR="00FB5C78" w:rsidRPr="00FB5C78" w:rsidRDefault="00FB5C78" w:rsidP="00FF5AB8">
            <w:pPr>
              <w:spacing w:line="276" w:lineRule="auto"/>
              <w:jc w:val="both"/>
              <w:rPr>
                <w:sz w:val="20"/>
                <w:szCs w:val="20"/>
                <w:lang w:val="en-US"/>
              </w:rPr>
            </w:pPr>
            <w:r w:rsidRPr="00FB5C78">
              <w:rPr>
                <w:sz w:val="20"/>
                <w:szCs w:val="20"/>
                <w:lang w:val="en-US"/>
              </w:rPr>
              <w:t>Russia</w:t>
            </w:r>
          </w:p>
        </w:tc>
        <w:tc>
          <w:tcPr>
            <w:tcW w:w="1193" w:type="dxa"/>
            <w:tcBorders>
              <w:top w:val="single" w:sz="4" w:space="0" w:color="auto"/>
            </w:tcBorders>
          </w:tcPr>
          <w:p w:rsidR="00FB5C78" w:rsidRPr="00FB5C78" w:rsidRDefault="00FB5C78" w:rsidP="00FF5AB8">
            <w:pPr>
              <w:spacing w:line="276" w:lineRule="auto"/>
              <w:jc w:val="right"/>
              <w:rPr>
                <w:sz w:val="20"/>
                <w:szCs w:val="20"/>
                <w:lang w:val="en-US"/>
              </w:rPr>
            </w:pPr>
            <w:r w:rsidRPr="00FB5C78">
              <w:rPr>
                <w:sz w:val="20"/>
                <w:szCs w:val="20"/>
                <w:lang w:val="en-US"/>
              </w:rPr>
              <w:t>184,04</w:t>
            </w:r>
          </w:p>
        </w:tc>
        <w:tc>
          <w:tcPr>
            <w:tcW w:w="1270" w:type="dxa"/>
            <w:tcBorders>
              <w:top w:val="single" w:sz="4" w:space="0" w:color="auto"/>
            </w:tcBorders>
          </w:tcPr>
          <w:p w:rsidR="00FB5C78" w:rsidRPr="00FB5C78" w:rsidRDefault="00FB5C78" w:rsidP="00FF5AB8">
            <w:pPr>
              <w:spacing w:line="276" w:lineRule="auto"/>
              <w:jc w:val="right"/>
              <w:rPr>
                <w:sz w:val="20"/>
                <w:szCs w:val="20"/>
                <w:lang w:val="en-US"/>
              </w:rPr>
            </w:pPr>
            <w:r w:rsidRPr="00FB5C78">
              <w:rPr>
                <w:sz w:val="20"/>
                <w:szCs w:val="20"/>
                <w:lang w:val="en-US"/>
              </w:rPr>
              <w:t>182,54</w:t>
            </w:r>
          </w:p>
        </w:tc>
        <w:tc>
          <w:tcPr>
            <w:tcW w:w="1305" w:type="dxa"/>
            <w:tcBorders>
              <w:top w:val="single" w:sz="4" w:space="0" w:color="auto"/>
            </w:tcBorders>
          </w:tcPr>
          <w:p w:rsidR="00FB5C78" w:rsidRPr="00FB5C78" w:rsidRDefault="00FB5C78" w:rsidP="00FF5AB8">
            <w:pPr>
              <w:spacing w:line="276" w:lineRule="auto"/>
              <w:jc w:val="right"/>
              <w:rPr>
                <w:sz w:val="20"/>
                <w:szCs w:val="20"/>
                <w:lang w:val="en-US"/>
              </w:rPr>
            </w:pPr>
            <w:r w:rsidRPr="00FB5C78">
              <w:rPr>
                <w:sz w:val="20"/>
                <w:szCs w:val="20"/>
                <w:lang w:val="en-US"/>
              </w:rPr>
              <w:t>43</w:t>
            </w:r>
          </w:p>
        </w:tc>
        <w:tc>
          <w:tcPr>
            <w:tcW w:w="1094" w:type="dxa"/>
            <w:tcBorders>
              <w:top w:val="single" w:sz="4" w:space="0" w:color="auto"/>
            </w:tcBorders>
          </w:tcPr>
          <w:p w:rsidR="00FB5C78" w:rsidRPr="00FB5C78" w:rsidRDefault="00FB5C78" w:rsidP="00FF5AB8">
            <w:pPr>
              <w:spacing w:line="276" w:lineRule="auto"/>
              <w:jc w:val="right"/>
              <w:rPr>
                <w:sz w:val="20"/>
                <w:szCs w:val="20"/>
                <w:lang w:val="en-US"/>
              </w:rPr>
            </w:pPr>
            <w:r w:rsidRPr="00FB5C78">
              <w:rPr>
                <w:sz w:val="20"/>
                <w:szCs w:val="20"/>
                <w:lang w:val="en-US"/>
              </w:rPr>
              <w:t>137,16</w:t>
            </w:r>
          </w:p>
        </w:tc>
        <w:tc>
          <w:tcPr>
            <w:tcW w:w="1341" w:type="dxa"/>
            <w:tcBorders>
              <w:top w:val="single" w:sz="4" w:space="0" w:color="auto"/>
            </w:tcBorders>
          </w:tcPr>
          <w:p w:rsidR="00FB5C78" w:rsidRPr="00FB5C78" w:rsidRDefault="00FB5C78" w:rsidP="00FF5AB8">
            <w:pPr>
              <w:spacing w:line="276" w:lineRule="auto"/>
              <w:jc w:val="right"/>
              <w:rPr>
                <w:sz w:val="20"/>
                <w:szCs w:val="20"/>
                <w:lang w:val="en-US"/>
              </w:rPr>
            </w:pPr>
            <w:r w:rsidRPr="00FB5C78">
              <w:rPr>
                <w:sz w:val="20"/>
                <w:szCs w:val="20"/>
                <w:lang w:val="en-US"/>
              </w:rPr>
              <w:t>1.001,01</w:t>
            </w:r>
          </w:p>
        </w:tc>
        <w:tc>
          <w:tcPr>
            <w:tcW w:w="612" w:type="dxa"/>
            <w:tcBorders>
              <w:top w:val="single" w:sz="4" w:space="0" w:color="auto"/>
            </w:tcBorders>
          </w:tcPr>
          <w:p w:rsidR="00FB5C78" w:rsidRPr="00FB5C78" w:rsidRDefault="00FB5C78" w:rsidP="00FF5AB8">
            <w:pPr>
              <w:spacing w:line="276" w:lineRule="auto"/>
              <w:jc w:val="right"/>
              <w:rPr>
                <w:sz w:val="20"/>
                <w:szCs w:val="20"/>
                <w:lang w:val="en-US"/>
              </w:rPr>
            </w:pPr>
            <w:r w:rsidRPr="00FB5C78">
              <w:rPr>
                <w:sz w:val="20"/>
                <w:szCs w:val="20"/>
                <w:lang w:val="en-US"/>
              </w:rPr>
              <w:t>86</w:t>
            </w:r>
          </w:p>
        </w:tc>
      </w:tr>
      <w:tr w:rsidR="00FB5C78" w:rsidRPr="00FB5C78" w:rsidTr="00FF5AB8">
        <w:trPr>
          <w:jc w:val="center"/>
        </w:trPr>
        <w:tc>
          <w:tcPr>
            <w:tcW w:w="1013" w:type="dxa"/>
          </w:tcPr>
          <w:p w:rsidR="00FB5C78" w:rsidRPr="00FB5C78" w:rsidRDefault="00FB5C78" w:rsidP="00FF5AB8">
            <w:pPr>
              <w:spacing w:line="276" w:lineRule="auto"/>
              <w:jc w:val="both"/>
              <w:rPr>
                <w:sz w:val="20"/>
                <w:szCs w:val="20"/>
                <w:lang w:val="en-US"/>
              </w:rPr>
            </w:pPr>
            <w:r w:rsidRPr="00FB5C78">
              <w:rPr>
                <w:sz w:val="20"/>
                <w:szCs w:val="20"/>
                <w:lang w:val="en-US"/>
              </w:rPr>
              <w:t>Brazil</w:t>
            </w:r>
          </w:p>
        </w:tc>
        <w:tc>
          <w:tcPr>
            <w:tcW w:w="1193" w:type="dxa"/>
          </w:tcPr>
          <w:p w:rsidR="00FB5C78" w:rsidRPr="00FB5C78" w:rsidRDefault="00FB5C78" w:rsidP="00FF5AB8">
            <w:pPr>
              <w:spacing w:line="276" w:lineRule="auto"/>
              <w:jc w:val="right"/>
              <w:rPr>
                <w:sz w:val="20"/>
                <w:szCs w:val="20"/>
                <w:lang w:val="en-US"/>
              </w:rPr>
            </w:pPr>
            <w:r w:rsidRPr="00FB5C78">
              <w:rPr>
                <w:sz w:val="20"/>
                <w:szCs w:val="20"/>
                <w:lang w:val="en-US"/>
              </w:rPr>
              <w:t>162,33</w:t>
            </w:r>
          </w:p>
        </w:tc>
        <w:tc>
          <w:tcPr>
            <w:tcW w:w="1270" w:type="dxa"/>
          </w:tcPr>
          <w:p w:rsidR="00FB5C78" w:rsidRPr="00FB5C78" w:rsidRDefault="00FB5C78" w:rsidP="00FF5AB8">
            <w:pPr>
              <w:spacing w:line="276" w:lineRule="auto"/>
              <w:jc w:val="right"/>
              <w:rPr>
                <w:sz w:val="20"/>
                <w:szCs w:val="20"/>
                <w:lang w:val="en-US"/>
              </w:rPr>
            </w:pPr>
            <w:r w:rsidRPr="00FB5C78">
              <w:rPr>
                <w:sz w:val="20"/>
                <w:szCs w:val="20"/>
                <w:lang w:val="en-US"/>
              </w:rPr>
              <w:t>85,99</w:t>
            </w:r>
          </w:p>
        </w:tc>
        <w:tc>
          <w:tcPr>
            <w:tcW w:w="1305" w:type="dxa"/>
          </w:tcPr>
          <w:p w:rsidR="00FB5C78" w:rsidRPr="00FB5C78" w:rsidRDefault="00FB5C78" w:rsidP="00FF5AB8">
            <w:pPr>
              <w:spacing w:line="276" w:lineRule="auto"/>
              <w:jc w:val="right"/>
              <w:rPr>
                <w:sz w:val="20"/>
                <w:szCs w:val="20"/>
                <w:lang w:val="en-US"/>
              </w:rPr>
            </w:pPr>
            <w:r w:rsidRPr="00FB5C78">
              <w:rPr>
                <w:sz w:val="20"/>
                <w:szCs w:val="20"/>
                <w:lang w:val="en-US"/>
              </w:rPr>
              <w:t>62,7</w:t>
            </w:r>
          </w:p>
        </w:tc>
        <w:tc>
          <w:tcPr>
            <w:tcW w:w="1094" w:type="dxa"/>
          </w:tcPr>
          <w:p w:rsidR="00FB5C78" w:rsidRPr="00FB5C78" w:rsidRDefault="00FB5C78" w:rsidP="00FF5AB8">
            <w:pPr>
              <w:spacing w:line="276" w:lineRule="auto"/>
              <w:jc w:val="right"/>
              <w:rPr>
                <w:sz w:val="20"/>
                <w:szCs w:val="20"/>
                <w:lang w:val="en-US"/>
              </w:rPr>
            </w:pPr>
            <w:r w:rsidRPr="00FB5C78">
              <w:rPr>
                <w:sz w:val="20"/>
                <w:szCs w:val="20"/>
                <w:lang w:val="en-US"/>
              </w:rPr>
              <w:t>127,56</w:t>
            </w:r>
          </w:p>
        </w:tc>
        <w:tc>
          <w:tcPr>
            <w:tcW w:w="1341" w:type="dxa"/>
          </w:tcPr>
          <w:p w:rsidR="00FB5C78" w:rsidRPr="00FB5C78" w:rsidRDefault="00FB5C78" w:rsidP="00FF5AB8">
            <w:pPr>
              <w:spacing w:line="276" w:lineRule="auto"/>
              <w:jc w:val="right"/>
              <w:rPr>
                <w:sz w:val="20"/>
                <w:szCs w:val="20"/>
                <w:lang w:val="en-US"/>
              </w:rPr>
            </w:pPr>
            <w:r w:rsidRPr="00FB5C78">
              <w:rPr>
                <w:sz w:val="20"/>
                <w:szCs w:val="20"/>
                <w:lang w:val="en-US"/>
              </w:rPr>
              <w:t>446,40</w:t>
            </w:r>
          </w:p>
        </w:tc>
        <w:tc>
          <w:tcPr>
            <w:tcW w:w="612" w:type="dxa"/>
          </w:tcPr>
          <w:p w:rsidR="00FB5C78" w:rsidRPr="00FB5C78" w:rsidRDefault="00FB5C78" w:rsidP="00FF5AB8">
            <w:pPr>
              <w:spacing w:line="276" w:lineRule="auto"/>
              <w:jc w:val="right"/>
              <w:rPr>
                <w:sz w:val="20"/>
                <w:szCs w:val="20"/>
                <w:lang w:val="en-US"/>
              </w:rPr>
            </w:pPr>
            <w:r w:rsidRPr="00FB5C78">
              <w:rPr>
                <w:sz w:val="20"/>
                <w:szCs w:val="20"/>
                <w:lang w:val="en-US"/>
              </w:rPr>
              <w:t>86</w:t>
            </w:r>
          </w:p>
        </w:tc>
      </w:tr>
      <w:tr w:rsidR="00FB5C78" w:rsidRPr="00FB5C78" w:rsidTr="00FF5AB8">
        <w:trPr>
          <w:jc w:val="center"/>
        </w:trPr>
        <w:tc>
          <w:tcPr>
            <w:tcW w:w="1013" w:type="dxa"/>
          </w:tcPr>
          <w:p w:rsidR="00FB5C78" w:rsidRPr="00FB5C78" w:rsidRDefault="00FB5C78" w:rsidP="00FF5AB8">
            <w:pPr>
              <w:spacing w:line="276" w:lineRule="auto"/>
              <w:jc w:val="both"/>
              <w:rPr>
                <w:sz w:val="20"/>
                <w:szCs w:val="20"/>
                <w:lang w:val="en-US"/>
              </w:rPr>
            </w:pPr>
            <w:r w:rsidRPr="00FB5C78">
              <w:rPr>
                <w:sz w:val="20"/>
                <w:szCs w:val="20"/>
                <w:lang w:val="en-US"/>
              </w:rPr>
              <w:t>Turkey</w:t>
            </w:r>
          </w:p>
        </w:tc>
        <w:tc>
          <w:tcPr>
            <w:tcW w:w="1193" w:type="dxa"/>
          </w:tcPr>
          <w:p w:rsidR="00FB5C78" w:rsidRPr="00FB5C78" w:rsidRDefault="00FB5C78" w:rsidP="00FF5AB8">
            <w:pPr>
              <w:spacing w:line="276" w:lineRule="auto"/>
              <w:jc w:val="right"/>
              <w:rPr>
                <w:sz w:val="20"/>
                <w:szCs w:val="20"/>
                <w:lang w:val="en-US"/>
              </w:rPr>
            </w:pPr>
            <w:r w:rsidRPr="00FB5C78">
              <w:rPr>
                <w:sz w:val="20"/>
                <w:szCs w:val="20"/>
                <w:lang w:val="en-US"/>
              </w:rPr>
              <w:t>227,07</w:t>
            </w:r>
          </w:p>
        </w:tc>
        <w:tc>
          <w:tcPr>
            <w:tcW w:w="1270" w:type="dxa"/>
          </w:tcPr>
          <w:p w:rsidR="00FB5C78" w:rsidRPr="00FB5C78" w:rsidRDefault="00FB5C78" w:rsidP="00FF5AB8">
            <w:pPr>
              <w:spacing w:line="276" w:lineRule="auto"/>
              <w:jc w:val="right"/>
              <w:rPr>
                <w:sz w:val="20"/>
                <w:szCs w:val="20"/>
                <w:lang w:val="en-US"/>
              </w:rPr>
            </w:pPr>
            <w:r w:rsidRPr="00FB5C78">
              <w:rPr>
                <w:sz w:val="20"/>
                <w:szCs w:val="20"/>
                <w:lang w:val="en-US"/>
              </w:rPr>
              <w:t>93,88</w:t>
            </w:r>
          </w:p>
        </w:tc>
        <w:tc>
          <w:tcPr>
            <w:tcW w:w="1305" w:type="dxa"/>
          </w:tcPr>
          <w:p w:rsidR="00FB5C78" w:rsidRPr="00FB5C78" w:rsidRDefault="00FB5C78" w:rsidP="00FF5AB8">
            <w:pPr>
              <w:spacing w:line="276" w:lineRule="auto"/>
              <w:jc w:val="right"/>
              <w:rPr>
                <w:sz w:val="20"/>
                <w:szCs w:val="20"/>
                <w:lang w:val="en-US"/>
              </w:rPr>
            </w:pPr>
            <w:r w:rsidRPr="00FB5C78">
              <w:rPr>
                <w:sz w:val="20"/>
                <w:szCs w:val="20"/>
                <w:lang w:val="en-US"/>
              </w:rPr>
              <w:t>132</w:t>
            </w:r>
          </w:p>
        </w:tc>
        <w:tc>
          <w:tcPr>
            <w:tcW w:w="1094" w:type="dxa"/>
          </w:tcPr>
          <w:p w:rsidR="00FB5C78" w:rsidRPr="00FB5C78" w:rsidRDefault="00FB5C78" w:rsidP="00FF5AB8">
            <w:pPr>
              <w:spacing w:line="276" w:lineRule="auto"/>
              <w:jc w:val="right"/>
              <w:rPr>
                <w:sz w:val="20"/>
                <w:szCs w:val="20"/>
                <w:lang w:val="en-US"/>
              </w:rPr>
            </w:pPr>
            <w:r w:rsidRPr="00FB5C78">
              <w:rPr>
                <w:sz w:val="20"/>
                <w:szCs w:val="20"/>
                <w:lang w:val="en-US"/>
              </w:rPr>
              <w:t>195,85</w:t>
            </w:r>
          </w:p>
        </w:tc>
        <w:tc>
          <w:tcPr>
            <w:tcW w:w="1341" w:type="dxa"/>
          </w:tcPr>
          <w:p w:rsidR="00FB5C78" w:rsidRPr="00FB5C78" w:rsidRDefault="00FB5C78" w:rsidP="00FF5AB8">
            <w:pPr>
              <w:spacing w:line="276" w:lineRule="auto"/>
              <w:jc w:val="right"/>
              <w:rPr>
                <w:sz w:val="20"/>
                <w:szCs w:val="20"/>
                <w:lang w:val="en-US"/>
              </w:rPr>
            </w:pPr>
            <w:r w:rsidRPr="00FB5C78">
              <w:rPr>
                <w:sz w:val="20"/>
                <w:szCs w:val="20"/>
                <w:lang w:val="en-US"/>
              </w:rPr>
              <w:t>605,82</w:t>
            </w:r>
          </w:p>
        </w:tc>
        <w:tc>
          <w:tcPr>
            <w:tcW w:w="612" w:type="dxa"/>
          </w:tcPr>
          <w:p w:rsidR="00FB5C78" w:rsidRPr="00FB5C78" w:rsidRDefault="00FB5C78" w:rsidP="00FF5AB8">
            <w:pPr>
              <w:spacing w:line="276" w:lineRule="auto"/>
              <w:jc w:val="right"/>
              <w:rPr>
                <w:sz w:val="20"/>
                <w:szCs w:val="20"/>
                <w:lang w:val="en-US"/>
              </w:rPr>
            </w:pPr>
            <w:r w:rsidRPr="00FB5C78">
              <w:rPr>
                <w:sz w:val="20"/>
                <w:szCs w:val="20"/>
                <w:lang w:val="en-US"/>
              </w:rPr>
              <w:t>86</w:t>
            </w:r>
          </w:p>
        </w:tc>
      </w:tr>
      <w:tr w:rsidR="00FB5C78" w:rsidRPr="00FB5C78" w:rsidTr="00FF5AB8">
        <w:trPr>
          <w:jc w:val="center"/>
        </w:trPr>
        <w:tc>
          <w:tcPr>
            <w:tcW w:w="1013" w:type="dxa"/>
          </w:tcPr>
          <w:p w:rsidR="00FB5C78" w:rsidRPr="00FB5C78" w:rsidRDefault="00FB5C78" w:rsidP="00FF5AB8">
            <w:pPr>
              <w:spacing w:line="276" w:lineRule="auto"/>
              <w:jc w:val="both"/>
              <w:rPr>
                <w:sz w:val="20"/>
                <w:szCs w:val="20"/>
                <w:lang w:val="en-US"/>
              </w:rPr>
            </w:pPr>
            <w:r w:rsidRPr="00FB5C78">
              <w:rPr>
                <w:sz w:val="20"/>
                <w:szCs w:val="20"/>
                <w:lang w:val="en-US"/>
              </w:rPr>
              <w:t>Korea</w:t>
            </w:r>
          </w:p>
        </w:tc>
        <w:tc>
          <w:tcPr>
            <w:tcW w:w="1193" w:type="dxa"/>
          </w:tcPr>
          <w:p w:rsidR="00FB5C78" w:rsidRPr="00FB5C78" w:rsidRDefault="00FB5C78" w:rsidP="00FF5AB8">
            <w:pPr>
              <w:spacing w:line="276" w:lineRule="auto"/>
              <w:jc w:val="right"/>
              <w:rPr>
                <w:sz w:val="20"/>
                <w:szCs w:val="20"/>
                <w:lang w:val="en-US"/>
              </w:rPr>
            </w:pPr>
            <w:r w:rsidRPr="00FB5C78">
              <w:rPr>
                <w:sz w:val="20"/>
                <w:szCs w:val="20"/>
                <w:lang w:val="en-US"/>
              </w:rPr>
              <w:t>102,20</w:t>
            </w:r>
          </w:p>
        </w:tc>
        <w:tc>
          <w:tcPr>
            <w:tcW w:w="1270" w:type="dxa"/>
          </w:tcPr>
          <w:p w:rsidR="00FB5C78" w:rsidRPr="00FB5C78" w:rsidRDefault="00FB5C78" w:rsidP="00FF5AB8">
            <w:pPr>
              <w:spacing w:line="276" w:lineRule="auto"/>
              <w:jc w:val="right"/>
              <w:rPr>
                <w:sz w:val="20"/>
                <w:szCs w:val="20"/>
                <w:lang w:val="en-US"/>
              </w:rPr>
            </w:pPr>
            <w:r w:rsidRPr="00FB5C78">
              <w:rPr>
                <w:sz w:val="20"/>
                <w:szCs w:val="20"/>
                <w:lang w:val="en-US"/>
              </w:rPr>
              <w:t>94,21</w:t>
            </w:r>
          </w:p>
        </w:tc>
        <w:tc>
          <w:tcPr>
            <w:tcW w:w="1305" w:type="dxa"/>
          </w:tcPr>
          <w:p w:rsidR="00FB5C78" w:rsidRPr="00FB5C78" w:rsidRDefault="00FB5C78" w:rsidP="00FF5AB8">
            <w:pPr>
              <w:spacing w:line="276" w:lineRule="auto"/>
              <w:jc w:val="right"/>
              <w:rPr>
                <w:sz w:val="20"/>
                <w:szCs w:val="20"/>
                <w:lang w:val="en-US"/>
              </w:rPr>
            </w:pPr>
            <w:r w:rsidRPr="00FB5C78">
              <w:rPr>
                <w:sz w:val="20"/>
                <w:szCs w:val="20"/>
                <w:lang w:val="en-US"/>
              </w:rPr>
              <w:t>14,5</w:t>
            </w:r>
          </w:p>
        </w:tc>
        <w:tc>
          <w:tcPr>
            <w:tcW w:w="1094" w:type="dxa"/>
          </w:tcPr>
          <w:p w:rsidR="00FB5C78" w:rsidRPr="00FB5C78" w:rsidRDefault="00FB5C78" w:rsidP="00FF5AB8">
            <w:pPr>
              <w:spacing w:line="276" w:lineRule="auto"/>
              <w:jc w:val="right"/>
              <w:rPr>
                <w:sz w:val="20"/>
                <w:szCs w:val="20"/>
                <w:lang w:val="en-US"/>
              </w:rPr>
            </w:pPr>
            <w:r w:rsidRPr="00FB5C78">
              <w:rPr>
                <w:sz w:val="20"/>
                <w:szCs w:val="20"/>
                <w:lang w:val="en-US"/>
              </w:rPr>
              <w:t>93,32</w:t>
            </w:r>
          </w:p>
        </w:tc>
        <w:tc>
          <w:tcPr>
            <w:tcW w:w="1341" w:type="dxa"/>
          </w:tcPr>
          <w:p w:rsidR="00FB5C78" w:rsidRPr="00FB5C78" w:rsidRDefault="00FB5C78" w:rsidP="00FF5AB8">
            <w:pPr>
              <w:spacing w:line="276" w:lineRule="auto"/>
              <w:jc w:val="right"/>
              <w:rPr>
                <w:sz w:val="20"/>
                <w:szCs w:val="20"/>
                <w:lang w:val="en-US"/>
              </w:rPr>
            </w:pPr>
            <w:r w:rsidRPr="00FB5C78">
              <w:rPr>
                <w:sz w:val="20"/>
                <w:szCs w:val="20"/>
                <w:lang w:val="en-US"/>
              </w:rPr>
              <w:t>450</w:t>
            </w:r>
          </w:p>
        </w:tc>
        <w:tc>
          <w:tcPr>
            <w:tcW w:w="612" w:type="dxa"/>
          </w:tcPr>
          <w:p w:rsidR="00FB5C78" w:rsidRPr="00FB5C78" w:rsidRDefault="00FB5C78" w:rsidP="00FF5AB8">
            <w:pPr>
              <w:spacing w:line="276" w:lineRule="auto"/>
              <w:jc w:val="right"/>
              <w:rPr>
                <w:sz w:val="20"/>
                <w:szCs w:val="20"/>
                <w:lang w:val="en-US"/>
              </w:rPr>
            </w:pPr>
            <w:r w:rsidRPr="00FB5C78">
              <w:rPr>
                <w:sz w:val="20"/>
                <w:szCs w:val="20"/>
                <w:lang w:val="en-US"/>
              </w:rPr>
              <w:t>86</w:t>
            </w:r>
          </w:p>
        </w:tc>
      </w:tr>
      <w:tr w:rsidR="00FB5C78" w:rsidRPr="00FB5C78" w:rsidTr="00FF5AB8">
        <w:trPr>
          <w:jc w:val="center"/>
        </w:trPr>
        <w:tc>
          <w:tcPr>
            <w:tcW w:w="1013" w:type="dxa"/>
          </w:tcPr>
          <w:p w:rsidR="00FB5C78" w:rsidRPr="00FB5C78" w:rsidRDefault="00FB5C78" w:rsidP="00FF5AB8">
            <w:pPr>
              <w:spacing w:line="276" w:lineRule="auto"/>
              <w:jc w:val="both"/>
              <w:rPr>
                <w:sz w:val="20"/>
                <w:szCs w:val="20"/>
                <w:lang w:val="en-US"/>
              </w:rPr>
            </w:pPr>
            <w:r w:rsidRPr="00FB5C78">
              <w:rPr>
                <w:sz w:val="20"/>
                <w:szCs w:val="20"/>
                <w:lang w:val="en-US"/>
              </w:rPr>
              <w:t>Greece</w:t>
            </w:r>
          </w:p>
        </w:tc>
        <w:tc>
          <w:tcPr>
            <w:tcW w:w="1193" w:type="dxa"/>
          </w:tcPr>
          <w:p w:rsidR="00FB5C78" w:rsidRPr="00FB5C78" w:rsidRDefault="00FB5C78" w:rsidP="00FF5AB8">
            <w:pPr>
              <w:spacing w:line="276" w:lineRule="auto"/>
              <w:jc w:val="right"/>
              <w:rPr>
                <w:sz w:val="20"/>
                <w:szCs w:val="20"/>
                <w:lang w:val="en-US"/>
              </w:rPr>
            </w:pPr>
            <w:r w:rsidRPr="00FB5C78">
              <w:rPr>
                <w:sz w:val="20"/>
                <w:szCs w:val="20"/>
                <w:lang w:val="en-US"/>
              </w:rPr>
              <w:t>1.500,586</w:t>
            </w:r>
          </w:p>
        </w:tc>
        <w:tc>
          <w:tcPr>
            <w:tcW w:w="1270" w:type="dxa"/>
          </w:tcPr>
          <w:p w:rsidR="00FB5C78" w:rsidRPr="00FB5C78" w:rsidRDefault="00FB5C78" w:rsidP="00FF5AB8">
            <w:pPr>
              <w:spacing w:line="276" w:lineRule="auto"/>
              <w:jc w:val="right"/>
              <w:rPr>
                <w:sz w:val="20"/>
                <w:szCs w:val="20"/>
                <w:lang w:val="en-US"/>
              </w:rPr>
            </w:pPr>
            <w:r w:rsidRPr="00FB5C78">
              <w:rPr>
                <w:sz w:val="20"/>
                <w:szCs w:val="20"/>
                <w:lang w:val="en-US"/>
              </w:rPr>
              <w:t>3.611,67</w:t>
            </w:r>
          </w:p>
        </w:tc>
        <w:tc>
          <w:tcPr>
            <w:tcW w:w="1305" w:type="dxa"/>
          </w:tcPr>
          <w:p w:rsidR="00FB5C78" w:rsidRPr="00FB5C78" w:rsidRDefault="00FB5C78" w:rsidP="00FF5AB8">
            <w:pPr>
              <w:spacing w:line="276" w:lineRule="auto"/>
              <w:jc w:val="right"/>
              <w:rPr>
                <w:sz w:val="20"/>
                <w:szCs w:val="20"/>
                <w:lang w:val="en-US"/>
              </w:rPr>
            </w:pPr>
            <w:r w:rsidRPr="00FB5C78">
              <w:rPr>
                <w:sz w:val="20"/>
                <w:szCs w:val="20"/>
                <w:lang w:val="en-US"/>
              </w:rPr>
              <w:t>4,7</w:t>
            </w:r>
          </w:p>
        </w:tc>
        <w:tc>
          <w:tcPr>
            <w:tcW w:w="1094" w:type="dxa"/>
          </w:tcPr>
          <w:p w:rsidR="00FB5C78" w:rsidRPr="00FB5C78" w:rsidRDefault="00FB5C78" w:rsidP="00FF5AB8">
            <w:pPr>
              <w:spacing w:line="276" w:lineRule="auto"/>
              <w:jc w:val="right"/>
              <w:rPr>
                <w:sz w:val="20"/>
                <w:szCs w:val="20"/>
                <w:lang w:val="en-US"/>
              </w:rPr>
            </w:pPr>
            <w:r w:rsidRPr="00FB5C78">
              <w:rPr>
                <w:sz w:val="20"/>
                <w:szCs w:val="20"/>
                <w:lang w:val="en-US"/>
              </w:rPr>
              <w:t>104,5</w:t>
            </w:r>
          </w:p>
        </w:tc>
        <w:tc>
          <w:tcPr>
            <w:tcW w:w="1341" w:type="dxa"/>
          </w:tcPr>
          <w:p w:rsidR="00FB5C78" w:rsidRPr="00FB5C78" w:rsidRDefault="00FB5C78" w:rsidP="00FF5AB8">
            <w:pPr>
              <w:spacing w:line="276" w:lineRule="auto"/>
              <w:jc w:val="right"/>
              <w:rPr>
                <w:sz w:val="20"/>
                <w:szCs w:val="20"/>
                <w:lang w:val="en-US"/>
              </w:rPr>
            </w:pPr>
            <w:r w:rsidRPr="00FB5C78">
              <w:rPr>
                <w:sz w:val="20"/>
                <w:szCs w:val="20"/>
                <w:lang w:val="en-US"/>
              </w:rPr>
              <w:t>14.904,36</w:t>
            </w:r>
          </w:p>
        </w:tc>
        <w:tc>
          <w:tcPr>
            <w:tcW w:w="612" w:type="dxa"/>
          </w:tcPr>
          <w:p w:rsidR="00FB5C78" w:rsidRPr="00FB5C78" w:rsidRDefault="00FB5C78" w:rsidP="00FF5AB8">
            <w:pPr>
              <w:spacing w:line="276" w:lineRule="auto"/>
              <w:jc w:val="right"/>
              <w:rPr>
                <w:sz w:val="20"/>
                <w:szCs w:val="20"/>
                <w:lang w:val="en-US"/>
              </w:rPr>
            </w:pPr>
            <w:r w:rsidRPr="00FB5C78">
              <w:rPr>
                <w:sz w:val="20"/>
                <w:szCs w:val="20"/>
                <w:lang w:val="en-US"/>
              </w:rPr>
              <w:t>86</w:t>
            </w:r>
          </w:p>
        </w:tc>
      </w:tr>
      <w:tr w:rsidR="00FB5C78" w:rsidRPr="00FB5C78" w:rsidTr="00FF5AB8">
        <w:trPr>
          <w:jc w:val="center"/>
        </w:trPr>
        <w:tc>
          <w:tcPr>
            <w:tcW w:w="1013" w:type="dxa"/>
          </w:tcPr>
          <w:p w:rsidR="00FB5C78" w:rsidRPr="00FB5C78" w:rsidRDefault="00FB5C78" w:rsidP="00FF5AB8">
            <w:pPr>
              <w:spacing w:line="276" w:lineRule="auto"/>
              <w:jc w:val="both"/>
              <w:rPr>
                <w:sz w:val="20"/>
                <w:szCs w:val="20"/>
                <w:lang w:val="en-US"/>
              </w:rPr>
            </w:pPr>
            <w:r w:rsidRPr="00FB5C78">
              <w:rPr>
                <w:sz w:val="20"/>
                <w:szCs w:val="20"/>
                <w:lang w:val="en-US"/>
              </w:rPr>
              <w:t>Spain</w:t>
            </w:r>
          </w:p>
        </w:tc>
        <w:tc>
          <w:tcPr>
            <w:tcW w:w="1193" w:type="dxa"/>
          </w:tcPr>
          <w:p w:rsidR="00FB5C78" w:rsidRPr="00FB5C78" w:rsidRDefault="00FB5C78" w:rsidP="00FF5AB8">
            <w:pPr>
              <w:spacing w:line="276" w:lineRule="auto"/>
              <w:jc w:val="right"/>
              <w:rPr>
                <w:sz w:val="20"/>
                <w:szCs w:val="20"/>
                <w:lang w:val="en-US"/>
              </w:rPr>
            </w:pPr>
            <w:r w:rsidRPr="00FB5C78">
              <w:rPr>
                <w:sz w:val="20"/>
                <w:szCs w:val="20"/>
                <w:lang w:val="en-US"/>
              </w:rPr>
              <w:t>103,72</w:t>
            </w:r>
          </w:p>
        </w:tc>
        <w:tc>
          <w:tcPr>
            <w:tcW w:w="1270" w:type="dxa"/>
          </w:tcPr>
          <w:p w:rsidR="00FB5C78" w:rsidRPr="00FB5C78" w:rsidRDefault="00FB5C78" w:rsidP="00FF5AB8">
            <w:pPr>
              <w:spacing w:line="276" w:lineRule="auto"/>
              <w:jc w:val="right"/>
              <w:rPr>
                <w:sz w:val="20"/>
                <w:szCs w:val="20"/>
                <w:lang w:val="en-US"/>
              </w:rPr>
            </w:pPr>
            <w:r w:rsidRPr="00FB5C78">
              <w:rPr>
                <w:sz w:val="20"/>
                <w:szCs w:val="20"/>
                <w:lang w:val="en-US"/>
              </w:rPr>
              <w:t>117,73</w:t>
            </w:r>
          </w:p>
        </w:tc>
        <w:tc>
          <w:tcPr>
            <w:tcW w:w="1305" w:type="dxa"/>
          </w:tcPr>
          <w:p w:rsidR="00FB5C78" w:rsidRPr="00FB5C78" w:rsidRDefault="00FB5C78" w:rsidP="00FF5AB8">
            <w:pPr>
              <w:spacing w:line="276" w:lineRule="auto"/>
              <w:jc w:val="right"/>
              <w:rPr>
                <w:sz w:val="20"/>
                <w:szCs w:val="20"/>
                <w:lang w:val="en-US"/>
              </w:rPr>
            </w:pPr>
            <w:r w:rsidRPr="00FB5C78">
              <w:rPr>
                <w:sz w:val="20"/>
                <w:szCs w:val="20"/>
                <w:lang w:val="en-US"/>
              </w:rPr>
              <w:t>1,05</w:t>
            </w:r>
          </w:p>
        </w:tc>
        <w:tc>
          <w:tcPr>
            <w:tcW w:w="1094" w:type="dxa"/>
          </w:tcPr>
          <w:p w:rsidR="00FB5C78" w:rsidRPr="00FB5C78" w:rsidRDefault="00FB5C78" w:rsidP="00FF5AB8">
            <w:pPr>
              <w:spacing w:line="276" w:lineRule="auto"/>
              <w:jc w:val="right"/>
              <w:rPr>
                <w:sz w:val="20"/>
                <w:szCs w:val="20"/>
                <w:lang w:val="en-US"/>
              </w:rPr>
            </w:pPr>
            <w:r w:rsidRPr="00FB5C78">
              <w:rPr>
                <w:sz w:val="20"/>
                <w:szCs w:val="20"/>
                <w:lang w:val="en-US"/>
              </w:rPr>
              <w:t>61,08</w:t>
            </w:r>
          </w:p>
        </w:tc>
        <w:tc>
          <w:tcPr>
            <w:tcW w:w="1341" w:type="dxa"/>
          </w:tcPr>
          <w:p w:rsidR="00FB5C78" w:rsidRPr="00FB5C78" w:rsidRDefault="00FB5C78" w:rsidP="00FF5AB8">
            <w:pPr>
              <w:spacing w:line="276" w:lineRule="auto"/>
              <w:jc w:val="right"/>
              <w:rPr>
                <w:sz w:val="20"/>
                <w:szCs w:val="20"/>
                <w:lang w:val="en-US"/>
              </w:rPr>
            </w:pPr>
            <w:r w:rsidRPr="00FB5C78">
              <w:rPr>
                <w:sz w:val="20"/>
                <w:szCs w:val="20"/>
                <w:lang w:val="en-US"/>
              </w:rPr>
              <w:t>449,51</w:t>
            </w:r>
          </w:p>
        </w:tc>
        <w:tc>
          <w:tcPr>
            <w:tcW w:w="612" w:type="dxa"/>
          </w:tcPr>
          <w:p w:rsidR="00FB5C78" w:rsidRPr="00FB5C78" w:rsidRDefault="00FB5C78" w:rsidP="00FF5AB8">
            <w:pPr>
              <w:spacing w:line="276" w:lineRule="auto"/>
              <w:jc w:val="right"/>
              <w:rPr>
                <w:sz w:val="20"/>
                <w:szCs w:val="20"/>
                <w:lang w:val="en-US"/>
              </w:rPr>
            </w:pPr>
            <w:r w:rsidRPr="00FB5C78">
              <w:rPr>
                <w:sz w:val="20"/>
                <w:szCs w:val="20"/>
                <w:lang w:val="en-US"/>
              </w:rPr>
              <w:t>86</w:t>
            </w:r>
          </w:p>
        </w:tc>
      </w:tr>
      <w:tr w:rsidR="00FB5C78" w:rsidRPr="00FB5C78" w:rsidTr="00FF5AB8">
        <w:trPr>
          <w:trHeight w:hRule="exact" w:val="113"/>
          <w:jc w:val="center"/>
        </w:trPr>
        <w:tc>
          <w:tcPr>
            <w:tcW w:w="1013" w:type="dxa"/>
            <w:tcBorders>
              <w:bottom w:val="single" w:sz="4" w:space="0" w:color="auto"/>
            </w:tcBorders>
          </w:tcPr>
          <w:p w:rsidR="00FB5C78" w:rsidRPr="00FB5C78" w:rsidRDefault="00FB5C78" w:rsidP="00FF5AB8">
            <w:pPr>
              <w:spacing w:line="276" w:lineRule="auto"/>
              <w:jc w:val="both"/>
              <w:rPr>
                <w:sz w:val="20"/>
                <w:szCs w:val="20"/>
                <w:lang w:val="en-US"/>
              </w:rPr>
            </w:pPr>
          </w:p>
        </w:tc>
        <w:tc>
          <w:tcPr>
            <w:tcW w:w="1193" w:type="dxa"/>
            <w:tcBorders>
              <w:bottom w:val="single" w:sz="4" w:space="0" w:color="auto"/>
            </w:tcBorders>
          </w:tcPr>
          <w:p w:rsidR="00FB5C78" w:rsidRPr="00FB5C78" w:rsidRDefault="00FB5C78" w:rsidP="00FF5AB8">
            <w:pPr>
              <w:spacing w:line="276" w:lineRule="auto"/>
              <w:jc w:val="both"/>
              <w:rPr>
                <w:sz w:val="20"/>
                <w:szCs w:val="20"/>
                <w:lang w:val="en-US"/>
              </w:rPr>
            </w:pPr>
          </w:p>
        </w:tc>
        <w:tc>
          <w:tcPr>
            <w:tcW w:w="1270" w:type="dxa"/>
            <w:tcBorders>
              <w:bottom w:val="single" w:sz="4" w:space="0" w:color="auto"/>
            </w:tcBorders>
          </w:tcPr>
          <w:p w:rsidR="00FB5C78" w:rsidRPr="00FB5C78" w:rsidRDefault="00FB5C78" w:rsidP="00FF5AB8">
            <w:pPr>
              <w:spacing w:line="276" w:lineRule="auto"/>
              <w:jc w:val="both"/>
              <w:rPr>
                <w:sz w:val="20"/>
                <w:szCs w:val="20"/>
                <w:lang w:val="en-US"/>
              </w:rPr>
            </w:pPr>
          </w:p>
        </w:tc>
        <w:tc>
          <w:tcPr>
            <w:tcW w:w="1305" w:type="dxa"/>
            <w:tcBorders>
              <w:bottom w:val="single" w:sz="4" w:space="0" w:color="auto"/>
            </w:tcBorders>
          </w:tcPr>
          <w:p w:rsidR="00FB5C78" w:rsidRPr="00FB5C78" w:rsidRDefault="00FB5C78" w:rsidP="00FF5AB8">
            <w:pPr>
              <w:spacing w:line="276" w:lineRule="auto"/>
              <w:jc w:val="both"/>
              <w:rPr>
                <w:sz w:val="20"/>
                <w:szCs w:val="20"/>
                <w:lang w:val="en-US"/>
              </w:rPr>
            </w:pPr>
          </w:p>
        </w:tc>
        <w:tc>
          <w:tcPr>
            <w:tcW w:w="1094" w:type="dxa"/>
            <w:tcBorders>
              <w:bottom w:val="single" w:sz="4" w:space="0" w:color="auto"/>
            </w:tcBorders>
          </w:tcPr>
          <w:p w:rsidR="00FB5C78" w:rsidRPr="00FB5C78" w:rsidRDefault="00FB5C78" w:rsidP="00FF5AB8">
            <w:pPr>
              <w:spacing w:line="276" w:lineRule="auto"/>
              <w:jc w:val="both"/>
              <w:rPr>
                <w:sz w:val="20"/>
                <w:szCs w:val="20"/>
                <w:lang w:val="en-US"/>
              </w:rPr>
            </w:pPr>
          </w:p>
        </w:tc>
        <w:tc>
          <w:tcPr>
            <w:tcW w:w="1341" w:type="dxa"/>
            <w:tcBorders>
              <w:bottom w:val="single" w:sz="4" w:space="0" w:color="auto"/>
            </w:tcBorders>
          </w:tcPr>
          <w:p w:rsidR="00FB5C78" w:rsidRPr="00FB5C78" w:rsidRDefault="00FB5C78" w:rsidP="00FF5AB8">
            <w:pPr>
              <w:spacing w:line="276" w:lineRule="auto"/>
              <w:jc w:val="both"/>
              <w:rPr>
                <w:sz w:val="20"/>
                <w:szCs w:val="20"/>
                <w:lang w:val="en-US"/>
              </w:rPr>
            </w:pPr>
          </w:p>
        </w:tc>
        <w:tc>
          <w:tcPr>
            <w:tcW w:w="612" w:type="dxa"/>
            <w:tcBorders>
              <w:bottom w:val="single" w:sz="4" w:space="0" w:color="auto"/>
            </w:tcBorders>
          </w:tcPr>
          <w:p w:rsidR="00FB5C78" w:rsidRPr="00FB5C78" w:rsidRDefault="00FB5C78" w:rsidP="00FF5AB8">
            <w:pPr>
              <w:spacing w:line="276" w:lineRule="auto"/>
              <w:jc w:val="both"/>
              <w:rPr>
                <w:sz w:val="20"/>
                <w:szCs w:val="20"/>
                <w:lang w:val="en-US"/>
              </w:rPr>
            </w:pPr>
          </w:p>
        </w:tc>
      </w:tr>
    </w:tbl>
    <w:p w:rsidR="00FB5C78" w:rsidRPr="00FB5C78" w:rsidRDefault="00FB5C78" w:rsidP="00FB5C78">
      <w:pPr>
        <w:spacing w:after="120"/>
        <w:jc w:val="both"/>
        <w:rPr>
          <w:sz w:val="20"/>
          <w:szCs w:val="20"/>
          <w:lang w:val="en-US"/>
        </w:rPr>
      </w:pPr>
    </w:p>
    <w:p w:rsidR="00FB5C78" w:rsidRPr="00FB5C78" w:rsidRDefault="00FB5C78" w:rsidP="00FB5C78">
      <w:pPr>
        <w:jc w:val="center"/>
        <w:rPr>
          <w:sz w:val="20"/>
          <w:szCs w:val="20"/>
          <w:lang w:val="en-US"/>
        </w:rPr>
      </w:pPr>
      <w:r w:rsidRPr="00FB5C78">
        <w:rPr>
          <w:sz w:val="20"/>
          <w:szCs w:val="20"/>
          <w:lang w:val="en-US"/>
        </w:rPr>
        <w:lastRenderedPageBreak/>
        <w:t>Table 2</w:t>
      </w:r>
    </w:p>
    <w:p w:rsidR="00FB5C78" w:rsidRPr="00FB5C78" w:rsidRDefault="00FB5C78" w:rsidP="00FB5C78">
      <w:pPr>
        <w:jc w:val="center"/>
        <w:rPr>
          <w:sz w:val="20"/>
          <w:szCs w:val="20"/>
          <w:lang w:val="en-US"/>
        </w:rPr>
      </w:pPr>
      <w:r w:rsidRPr="00FB5C78">
        <w:rPr>
          <w:sz w:val="20"/>
          <w:szCs w:val="20"/>
          <w:lang w:val="en-US"/>
        </w:rPr>
        <w:t>Correlation Matrix of Monthly Changes in Sovereign Credit Default Swap Spreads of the Selected Countries</w:t>
      </w:r>
    </w:p>
    <w:p w:rsidR="00FB5C78" w:rsidRPr="00FB5C78" w:rsidRDefault="00FB5C78" w:rsidP="00FB5C78">
      <w:pPr>
        <w:jc w:val="center"/>
        <w:rPr>
          <w:sz w:val="20"/>
          <w:szCs w:val="20"/>
          <w:lang w:val="en-US"/>
        </w:rPr>
      </w:pPr>
    </w:p>
    <w:tbl>
      <w:tblPr>
        <w:tblStyle w:val="TabloKlavuz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1"/>
        <w:gridCol w:w="1151"/>
        <w:gridCol w:w="1151"/>
        <w:gridCol w:w="1151"/>
        <w:gridCol w:w="1151"/>
        <w:gridCol w:w="1151"/>
        <w:gridCol w:w="1152"/>
      </w:tblGrid>
      <w:tr w:rsidR="00FB5C78" w:rsidRPr="00FB5C78" w:rsidTr="00FF5AB8">
        <w:trPr>
          <w:jc w:val="center"/>
        </w:trPr>
        <w:tc>
          <w:tcPr>
            <w:tcW w:w="1151" w:type="dxa"/>
            <w:tcBorders>
              <w:top w:val="single" w:sz="4" w:space="0" w:color="auto"/>
              <w:bottom w:val="single" w:sz="4" w:space="0" w:color="auto"/>
            </w:tcBorders>
          </w:tcPr>
          <w:p w:rsidR="00FB5C78" w:rsidRPr="00FB5C78" w:rsidRDefault="00FB5C78" w:rsidP="00FF5AB8">
            <w:pPr>
              <w:spacing w:line="276" w:lineRule="auto"/>
              <w:jc w:val="both"/>
              <w:rPr>
                <w:sz w:val="20"/>
                <w:szCs w:val="20"/>
                <w:lang w:val="en-US"/>
              </w:rPr>
            </w:pPr>
          </w:p>
        </w:tc>
        <w:tc>
          <w:tcPr>
            <w:tcW w:w="1151" w:type="dxa"/>
            <w:tcBorders>
              <w:top w:val="single" w:sz="4" w:space="0" w:color="auto"/>
              <w:bottom w:val="single" w:sz="4" w:space="0" w:color="auto"/>
            </w:tcBorders>
          </w:tcPr>
          <w:p w:rsidR="00FB5C78" w:rsidRPr="00FB5C78" w:rsidRDefault="00FB5C78" w:rsidP="00FF5AB8">
            <w:pPr>
              <w:spacing w:line="276" w:lineRule="auto"/>
              <w:jc w:val="right"/>
              <w:rPr>
                <w:sz w:val="20"/>
                <w:szCs w:val="20"/>
                <w:lang w:val="en-US"/>
              </w:rPr>
            </w:pPr>
            <w:r w:rsidRPr="00FB5C78">
              <w:rPr>
                <w:sz w:val="20"/>
                <w:szCs w:val="20"/>
                <w:lang w:val="en-US"/>
              </w:rPr>
              <w:t>Russia</w:t>
            </w:r>
          </w:p>
        </w:tc>
        <w:tc>
          <w:tcPr>
            <w:tcW w:w="1151" w:type="dxa"/>
            <w:tcBorders>
              <w:top w:val="single" w:sz="4" w:space="0" w:color="auto"/>
              <w:bottom w:val="single" w:sz="4" w:space="0" w:color="auto"/>
            </w:tcBorders>
          </w:tcPr>
          <w:p w:rsidR="00FB5C78" w:rsidRPr="00FB5C78" w:rsidRDefault="00FB5C78" w:rsidP="00FF5AB8">
            <w:pPr>
              <w:spacing w:line="276" w:lineRule="auto"/>
              <w:jc w:val="right"/>
              <w:rPr>
                <w:sz w:val="20"/>
                <w:szCs w:val="20"/>
                <w:lang w:val="en-US"/>
              </w:rPr>
            </w:pPr>
            <w:r w:rsidRPr="00FB5C78">
              <w:rPr>
                <w:sz w:val="20"/>
                <w:szCs w:val="20"/>
                <w:lang w:val="en-US"/>
              </w:rPr>
              <w:t>Brazil</w:t>
            </w:r>
          </w:p>
        </w:tc>
        <w:tc>
          <w:tcPr>
            <w:tcW w:w="1151" w:type="dxa"/>
            <w:tcBorders>
              <w:top w:val="single" w:sz="4" w:space="0" w:color="auto"/>
              <w:bottom w:val="single" w:sz="4" w:space="0" w:color="auto"/>
            </w:tcBorders>
          </w:tcPr>
          <w:p w:rsidR="00FB5C78" w:rsidRPr="00FB5C78" w:rsidRDefault="00FB5C78" w:rsidP="00FF5AB8">
            <w:pPr>
              <w:spacing w:line="276" w:lineRule="auto"/>
              <w:jc w:val="right"/>
              <w:rPr>
                <w:sz w:val="20"/>
                <w:szCs w:val="20"/>
                <w:lang w:val="en-US"/>
              </w:rPr>
            </w:pPr>
            <w:r w:rsidRPr="00FB5C78">
              <w:rPr>
                <w:sz w:val="20"/>
                <w:szCs w:val="20"/>
                <w:lang w:val="en-US"/>
              </w:rPr>
              <w:t>Turkey</w:t>
            </w:r>
          </w:p>
        </w:tc>
        <w:tc>
          <w:tcPr>
            <w:tcW w:w="1151" w:type="dxa"/>
            <w:tcBorders>
              <w:top w:val="single" w:sz="4" w:space="0" w:color="auto"/>
              <w:bottom w:val="single" w:sz="4" w:space="0" w:color="auto"/>
            </w:tcBorders>
          </w:tcPr>
          <w:p w:rsidR="00FB5C78" w:rsidRPr="00FB5C78" w:rsidRDefault="00FB5C78" w:rsidP="00FF5AB8">
            <w:pPr>
              <w:spacing w:line="276" w:lineRule="auto"/>
              <w:jc w:val="right"/>
              <w:rPr>
                <w:sz w:val="20"/>
                <w:szCs w:val="20"/>
                <w:lang w:val="en-US"/>
              </w:rPr>
            </w:pPr>
            <w:r w:rsidRPr="00FB5C78">
              <w:rPr>
                <w:sz w:val="20"/>
                <w:szCs w:val="20"/>
                <w:lang w:val="en-US"/>
              </w:rPr>
              <w:t>Korea</w:t>
            </w:r>
          </w:p>
        </w:tc>
        <w:tc>
          <w:tcPr>
            <w:tcW w:w="1151" w:type="dxa"/>
            <w:tcBorders>
              <w:top w:val="single" w:sz="4" w:space="0" w:color="auto"/>
              <w:bottom w:val="single" w:sz="4" w:space="0" w:color="auto"/>
            </w:tcBorders>
          </w:tcPr>
          <w:p w:rsidR="00FB5C78" w:rsidRPr="00FB5C78" w:rsidRDefault="00FB5C78" w:rsidP="00FF5AB8">
            <w:pPr>
              <w:spacing w:line="276" w:lineRule="auto"/>
              <w:jc w:val="right"/>
              <w:rPr>
                <w:sz w:val="20"/>
                <w:szCs w:val="20"/>
                <w:lang w:val="en-US"/>
              </w:rPr>
            </w:pPr>
            <w:r w:rsidRPr="00FB5C78">
              <w:rPr>
                <w:sz w:val="20"/>
                <w:szCs w:val="20"/>
                <w:lang w:val="en-US"/>
              </w:rPr>
              <w:t>Greece</w:t>
            </w:r>
          </w:p>
        </w:tc>
        <w:tc>
          <w:tcPr>
            <w:tcW w:w="1152" w:type="dxa"/>
            <w:tcBorders>
              <w:top w:val="single" w:sz="4" w:space="0" w:color="auto"/>
              <w:bottom w:val="single" w:sz="4" w:space="0" w:color="auto"/>
            </w:tcBorders>
          </w:tcPr>
          <w:p w:rsidR="00FB5C78" w:rsidRPr="00FB5C78" w:rsidRDefault="00FB5C78" w:rsidP="00FF5AB8">
            <w:pPr>
              <w:spacing w:line="276" w:lineRule="auto"/>
              <w:jc w:val="right"/>
              <w:rPr>
                <w:sz w:val="20"/>
                <w:szCs w:val="20"/>
                <w:lang w:val="en-US"/>
              </w:rPr>
            </w:pPr>
            <w:r w:rsidRPr="00FB5C78">
              <w:rPr>
                <w:sz w:val="20"/>
                <w:szCs w:val="20"/>
                <w:lang w:val="en-US"/>
              </w:rPr>
              <w:t>Spain</w:t>
            </w:r>
          </w:p>
        </w:tc>
      </w:tr>
      <w:tr w:rsidR="00FB5C78" w:rsidRPr="00FB5C78" w:rsidTr="00FF5AB8">
        <w:trPr>
          <w:trHeight w:hRule="exact" w:val="301"/>
          <w:jc w:val="center"/>
        </w:trPr>
        <w:tc>
          <w:tcPr>
            <w:tcW w:w="1151" w:type="dxa"/>
            <w:tcBorders>
              <w:top w:val="single" w:sz="4" w:space="0" w:color="auto"/>
            </w:tcBorders>
          </w:tcPr>
          <w:p w:rsidR="00FB5C78" w:rsidRPr="00FB5C78" w:rsidRDefault="00FB5C78" w:rsidP="00FF5AB8">
            <w:pPr>
              <w:spacing w:after="120" w:line="276" w:lineRule="auto"/>
              <w:jc w:val="both"/>
              <w:rPr>
                <w:sz w:val="20"/>
                <w:szCs w:val="20"/>
                <w:lang w:val="en-US"/>
              </w:rPr>
            </w:pPr>
            <w:r w:rsidRPr="00FB5C78">
              <w:rPr>
                <w:sz w:val="20"/>
                <w:szCs w:val="20"/>
                <w:lang w:val="en-US"/>
              </w:rPr>
              <w:t>Russia</w:t>
            </w:r>
          </w:p>
        </w:tc>
        <w:tc>
          <w:tcPr>
            <w:tcW w:w="1151" w:type="dxa"/>
            <w:tcBorders>
              <w:top w:val="single" w:sz="4" w:space="0" w:color="auto"/>
            </w:tcBorders>
          </w:tcPr>
          <w:p w:rsidR="00FB5C78" w:rsidRPr="00FB5C78" w:rsidRDefault="00FB5C78" w:rsidP="00FF5AB8">
            <w:pPr>
              <w:spacing w:after="120" w:line="276" w:lineRule="auto"/>
              <w:jc w:val="right"/>
              <w:rPr>
                <w:sz w:val="20"/>
                <w:szCs w:val="20"/>
                <w:lang w:val="en-US"/>
              </w:rPr>
            </w:pPr>
            <w:r w:rsidRPr="00FB5C78">
              <w:rPr>
                <w:sz w:val="20"/>
                <w:szCs w:val="20"/>
                <w:lang w:val="en-US"/>
              </w:rPr>
              <w:t>1,0000</w:t>
            </w:r>
          </w:p>
        </w:tc>
        <w:tc>
          <w:tcPr>
            <w:tcW w:w="1151" w:type="dxa"/>
            <w:tcBorders>
              <w:top w:val="single" w:sz="4" w:space="0" w:color="auto"/>
            </w:tcBorders>
          </w:tcPr>
          <w:p w:rsidR="00FB5C78" w:rsidRPr="00FB5C78" w:rsidRDefault="00FB5C78" w:rsidP="00FF5AB8">
            <w:pPr>
              <w:spacing w:after="120" w:line="276" w:lineRule="auto"/>
              <w:jc w:val="right"/>
              <w:rPr>
                <w:sz w:val="20"/>
                <w:szCs w:val="20"/>
                <w:lang w:val="en-US"/>
              </w:rPr>
            </w:pPr>
          </w:p>
        </w:tc>
        <w:tc>
          <w:tcPr>
            <w:tcW w:w="1151" w:type="dxa"/>
            <w:tcBorders>
              <w:top w:val="single" w:sz="4" w:space="0" w:color="auto"/>
            </w:tcBorders>
          </w:tcPr>
          <w:p w:rsidR="00FB5C78" w:rsidRPr="00FB5C78" w:rsidRDefault="00FB5C78" w:rsidP="00FF5AB8">
            <w:pPr>
              <w:spacing w:after="120" w:line="276" w:lineRule="auto"/>
              <w:jc w:val="right"/>
              <w:rPr>
                <w:sz w:val="20"/>
                <w:szCs w:val="20"/>
                <w:lang w:val="en-US"/>
              </w:rPr>
            </w:pPr>
          </w:p>
        </w:tc>
        <w:tc>
          <w:tcPr>
            <w:tcW w:w="1151" w:type="dxa"/>
            <w:tcBorders>
              <w:top w:val="single" w:sz="4" w:space="0" w:color="auto"/>
            </w:tcBorders>
          </w:tcPr>
          <w:p w:rsidR="00FB5C78" w:rsidRPr="00FB5C78" w:rsidRDefault="00FB5C78" w:rsidP="00FF5AB8">
            <w:pPr>
              <w:spacing w:after="120" w:line="276" w:lineRule="auto"/>
              <w:jc w:val="right"/>
              <w:rPr>
                <w:sz w:val="20"/>
                <w:szCs w:val="20"/>
                <w:lang w:val="en-US"/>
              </w:rPr>
            </w:pPr>
          </w:p>
        </w:tc>
        <w:tc>
          <w:tcPr>
            <w:tcW w:w="1151" w:type="dxa"/>
            <w:tcBorders>
              <w:top w:val="single" w:sz="4" w:space="0" w:color="auto"/>
            </w:tcBorders>
          </w:tcPr>
          <w:p w:rsidR="00FB5C78" w:rsidRPr="00FB5C78" w:rsidRDefault="00FB5C78" w:rsidP="00FF5AB8">
            <w:pPr>
              <w:spacing w:after="120" w:line="276" w:lineRule="auto"/>
              <w:jc w:val="right"/>
              <w:rPr>
                <w:sz w:val="20"/>
                <w:szCs w:val="20"/>
                <w:lang w:val="en-US"/>
              </w:rPr>
            </w:pPr>
          </w:p>
        </w:tc>
        <w:tc>
          <w:tcPr>
            <w:tcW w:w="1152" w:type="dxa"/>
            <w:tcBorders>
              <w:top w:val="single" w:sz="4" w:space="0" w:color="auto"/>
            </w:tcBorders>
          </w:tcPr>
          <w:p w:rsidR="00FB5C78" w:rsidRPr="00FB5C78" w:rsidRDefault="00FB5C78" w:rsidP="00FF5AB8">
            <w:pPr>
              <w:spacing w:after="120" w:line="276" w:lineRule="auto"/>
              <w:jc w:val="right"/>
              <w:rPr>
                <w:sz w:val="20"/>
                <w:szCs w:val="20"/>
                <w:lang w:val="en-US"/>
              </w:rPr>
            </w:pPr>
          </w:p>
        </w:tc>
      </w:tr>
      <w:tr w:rsidR="00FB5C78" w:rsidRPr="00FB5C78" w:rsidTr="00FF5AB8">
        <w:trPr>
          <w:trHeight w:hRule="exact" w:val="301"/>
          <w:jc w:val="center"/>
        </w:trPr>
        <w:tc>
          <w:tcPr>
            <w:tcW w:w="1151" w:type="dxa"/>
          </w:tcPr>
          <w:p w:rsidR="00FB5C78" w:rsidRPr="00FB5C78" w:rsidRDefault="00FB5C78" w:rsidP="00FF5AB8">
            <w:pPr>
              <w:spacing w:after="120" w:line="276" w:lineRule="auto"/>
              <w:jc w:val="both"/>
              <w:rPr>
                <w:sz w:val="20"/>
                <w:szCs w:val="20"/>
                <w:lang w:val="en-US"/>
              </w:rPr>
            </w:pPr>
            <w:r w:rsidRPr="00FB5C78">
              <w:rPr>
                <w:sz w:val="20"/>
                <w:szCs w:val="20"/>
                <w:lang w:val="en-US"/>
              </w:rPr>
              <w:t>Brazil</w:t>
            </w:r>
          </w:p>
        </w:tc>
        <w:tc>
          <w:tcPr>
            <w:tcW w:w="1151" w:type="dxa"/>
          </w:tcPr>
          <w:p w:rsidR="00FB5C78" w:rsidRPr="00FB5C78" w:rsidRDefault="00FB5C78" w:rsidP="00FF5AB8">
            <w:pPr>
              <w:spacing w:after="120" w:line="276" w:lineRule="auto"/>
              <w:jc w:val="right"/>
              <w:rPr>
                <w:sz w:val="20"/>
                <w:szCs w:val="20"/>
                <w:lang w:val="en-US"/>
              </w:rPr>
            </w:pPr>
            <w:r w:rsidRPr="00FB5C78">
              <w:rPr>
                <w:sz w:val="20"/>
                <w:szCs w:val="20"/>
                <w:lang w:val="en-US"/>
              </w:rPr>
              <w:t>0,8531</w:t>
            </w:r>
          </w:p>
        </w:tc>
        <w:tc>
          <w:tcPr>
            <w:tcW w:w="1151" w:type="dxa"/>
          </w:tcPr>
          <w:p w:rsidR="00FB5C78" w:rsidRPr="00FB5C78" w:rsidRDefault="00FB5C78" w:rsidP="00FF5AB8">
            <w:pPr>
              <w:spacing w:after="120" w:line="276" w:lineRule="auto"/>
              <w:jc w:val="right"/>
              <w:rPr>
                <w:sz w:val="20"/>
                <w:szCs w:val="20"/>
                <w:lang w:val="en-US"/>
              </w:rPr>
            </w:pPr>
            <w:r w:rsidRPr="00FB5C78">
              <w:rPr>
                <w:sz w:val="20"/>
                <w:szCs w:val="20"/>
                <w:lang w:val="en-US"/>
              </w:rPr>
              <w:t>1,0000</w:t>
            </w:r>
          </w:p>
        </w:tc>
        <w:tc>
          <w:tcPr>
            <w:tcW w:w="1151" w:type="dxa"/>
          </w:tcPr>
          <w:p w:rsidR="00FB5C78" w:rsidRPr="00FB5C78" w:rsidRDefault="00FB5C78" w:rsidP="00FF5AB8">
            <w:pPr>
              <w:spacing w:after="120" w:line="276" w:lineRule="auto"/>
              <w:jc w:val="right"/>
              <w:rPr>
                <w:sz w:val="20"/>
                <w:szCs w:val="20"/>
                <w:lang w:val="en-US"/>
              </w:rPr>
            </w:pPr>
          </w:p>
        </w:tc>
        <w:tc>
          <w:tcPr>
            <w:tcW w:w="1151" w:type="dxa"/>
          </w:tcPr>
          <w:p w:rsidR="00FB5C78" w:rsidRPr="00FB5C78" w:rsidRDefault="00FB5C78" w:rsidP="00FF5AB8">
            <w:pPr>
              <w:spacing w:after="120" w:line="276" w:lineRule="auto"/>
              <w:jc w:val="right"/>
              <w:rPr>
                <w:sz w:val="20"/>
                <w:szCs w:val="20"/>
                <w:lang w:val="en-US"/>
              </w:rPr>
            </w:pPr>
          </w:p>
        </w:tc>
        <w:tc>
          <w:tcPr>
            <w:tcW w:w="1151" w:type="dxa"/>
          </w:tcPr>
          <w:p w:rsidR="00FB5C78" w:rsidRPr="00FB5C78" w:rsidRDefault="00FB5C78" w:rsidP="00FF5AB8">
            <w:pPr>
              <w:spacing w:after="120" w:line="276" w:lineRule="auto"/>
              <w:jc w:val="right"/>
              <w:rPr>
                <w:sz w:val="20"/>
                <w:szCs w:val="20"/>
                <w:lang w:val="en-US"/>
              </w:rPr>
            </w:pPr>
          </w:p>
        </w:tc>
        <w:tc>
          <w:tcPr>
            <w:tcW w:w="1152" w:type="dxa"/>
          </w:tcPr>
          <w:p w:rsidR="00FB5C78" w:rsidRPr="00FB5C78" w:rsidRDefault="00FB5C78" w:rsidP="00FF5AB8">
            <w:pPr>
              <w:spacing w:after="120" w:line="276" w:lineRule="auto"/>
              <w:jc w:val="right"/>
              <w:rPr>
                <w:sz w:val="20"/>
                <w:szCs w:val="20"/>
                <w:lang w:val="en-US"/>
              </w:rPr>
            </w:pPr>
          </w:p>
        </w:tc>
      </w:tr>
      <w:tr w:rsidR="00FB5C78" w:rsidRPr="00FB5C78" w:rsidTr="00FF5AB8">
        <w:trPr>
          <w:trHeight w:hRule="exact" w:val="301"/>
          <w:jc w:val="center"/>
        </w:trPr>
        <w:tc>
          <w:tcPr>
            <w:tcW w:w="1151" w:type="dxa"/>
          </w:tcPr>
          <w:p w:rsidR="00FB5C78" w:rsidRPr="00FB5C78" w:rsidRDefault="00FB5C78" w:rsidP="00FF5AB8">
            <w:pPr>
              <w:spacing w:after="120" w:line="276" w:lineRule="auto"/>
              <w:jc w:val="both"/>
              <w:rPr>
                <w:sz w:val="20"/>
                <w:szCs w:val="20"/>
                <w:lang w:val="en-US"/>
              </w:rPr>
            </w:pPr>
            <w:r w:rsidRPr="00FB5C78">
              <w:rPr>
                <w:sz w:val="20"/>
                <w:szCs w:val="20"/>
                <w:lang w:val="en-US"/>
              </w:rPr>
              <w:t>Turkey</w:t>
            </w:r>
          </w:p>
        </w:tc>
        <w:tc>
          <w:tcPr>
            <w:tcW w:w="1151" w:type="dxa"/>
          </w:tcPr>
          <w:p w:rsidR="00FB5C78" w:rsidRPr="00FB5C78" w:rsidRDefault="00FB5C78" w:rsidP="00FF5AB8">
            <w:pPr>
              <w:spacing w:after="120" w:line="276" w:lineRule="auto"/>
              <w:jc w:val="right"/>
              <w:rPr>
                <w:sz w:val="20"/>
                <w:szCs w:val="20"/>
                <w:lang w:val="en-US"/>
              </w:rPr>
            </w:pPr>
            <w:r w:rsidRPr="00FB5C78">
              <w:rPr>
                <w:sz w:val="20"/>
                <w:szCs w:val="20"/>
                <w:lang w:val="en-US"/>
              </w:rPr>
              <w:t>0,8254</w:t>
            </w:r>
          </w:p>
        </w:tc>
        <w:tc>
          <w:tcPr>
            <w:tcW w:w="1151" w:type="dxa"/>
          </w:tcPr>
          <w:p w:rsidR="00FB5C78" w:rsidRPr="00FB5C78" w:rsidRDefault="00FB5C78" w:rsidP="00FF5AB8">
            <w:pPr>
              <w:spacing w:after="120" w:line="276" w:lineRule="auto"/>
              <w:jc w:val="right"/>
              <w:rPr>
                <w:sz w:val="20"/>
                <w:szCs w:val="20"/>
                <w:lang w:val="en-US"/>
              </w:rPr>
            </w:pPr>
            <w:r w:rsidRPr="00FB5C78">
              <w:rPr>
                <w:sz w:val="20"/>
                <w:szCs w:val="20"/>
                <w:lang w:val="en-US"/>
              </w:rPr>
              <w:t>0,8106</w:t>
            </w:r>
          </w:p>
        </w:tc>
        <w:tc>
          <w:tcPr>
            <w:tcW w:w="1151" w:type="dxa"/>
          </w:tcPr>
          <w:p w:rsidR="00FB5C78" w:rsidRPr="00FB5C78" w:rsidRDefault="00FB5C78" w:rsidP="00FF5AB8">
            <w:pPr>
              <w:spacing w:after="120" w:line="276" w:lineRule="auto"/>
              <w:jc w:val="right"/>
              <w:rPr>
                <w:sz w:val="20"/>
                <w:szCs w:val="20"/>
                <w:lang w:val="en-US"/>
              </w:rPr>
            </w:pPr>
            <w:r w:rsidRPr="00FB5C78">
              <w:rPr>
                <w:sz w:val="20"/>
                <w:szCs w:val="20"/>
                <w:lang w:val="en-US"/>
              </w:rPr>
              <w:t>1,0000</w:t>
            </w:r>
          </w:p>
        </w:tc>
        <w:tc>
          <w:tcPr>
            <w:tcW w:w="1151" w:type="dxa"/>
          </w:tcPr>
          <w:p w:rsidR="00FB5C78" w:rsidRPr="00FB5C78" w:rsidRDefault="00FB5C78" w:rsidP="00FF5AB8">
            <w:pPr>
              <w:spacing w:after="120" w:line="276" w:lineRule="auto"/>
              <w:jc w:val="right"/>
              <w:rPr>
                <w:sz w:val="20"/>
                <w:szCs w:val="20"/>
                <w:lang w:val="en-US"/>
              </w:rPr>
            </w:pPr>
          </w:p>
        </w:tc>
        <w:tc>
          <w:tcPr>
            <w:tcW w:w="1151" w:type="dxa"/>
          </w:tcPr>
          <w:p w:rsidR="00FB5C78" w:rsidRPr="00FB5C78" w:rsidRDefault="00FB5C78" w:rsidP="00FF5AB8">
            <w:pPr>
              <w:spacing w:after="120" w:line="276" w:lineRule="auto"/>
              <w:jc w:val="right"/>
              <w:rPr>
                <w:sz w:val="20"/>
                <w:szCs w:val="20"/>
                <w:lang w:val="en-US"/>
              </w:rPr>
            </w:pPr>
          </w:p>
        </w:tc>
        <w:tc>
          <w:tcPr>
            <w:tcW w:w="1152" w:type="dxa"/>
          </w:tcPr>
          <w:p w:rsidR="00FB5C78" w:rsidRPr="00FB5C78" w:rsidRDefault="00FB5C78" w:rsidP="00FF5AB8">
            <w:pPr>
              <w:spacing w:after="120" w:line="276" w:lineRule="auto"/>
              <w:jc w:val="right"/>
              <w:rPr>
                <w:sz w:val="20"/>
                <w:szCs w:val="20"/>
                <w:lang w:val="en-US"/>
              </w:rPr>
            </w:pPr>
          </w:p>
        </w:tc>
      </w:tr>
      <w:tr w:rsidR="00FB5C78" w:rsidRPr="00FB5C78" w:rsidTr="00FF5AB8">
        <w:trPr>
          <w:trHeight w:hRule="exact" w:val="301"/>
          <w:jc w:val="center"/>
        </w:trPr>
        <w:tc>
          <w:tcPr>
            <w:tcW w:w="1151" w:type="dxa"/>
          </w:tcPr>
          <w:p w:rsidR="00FB5C78" w:rsidRPr="00FB5C78" w:rsidRDefault="00FB5C78" w:rsidP="00FF5AB8">
            <w:pPr>
              <w:spacing w:after="120" w:line="276" w:lineRule="auto"/>
              <w:jc w:val="both"/>
              <w:rPr>
                <w:sz w:val="20"/>
                <w:szCs w:val="20"/>
                <w:lang w:val="en-US"/>
              </w:rPr>
            </w:pPr>
            <w:r w:rsidRPr="00FB5C78">
              <w:rPr>
                <w:sz w:val="20"/>
                <w:szCs w:val="20"/>
                <w:lang w:val="en-US"/>
              </w:rPr>
              <w:t>Korea</w:t>
            </w:r>
          </w:p>
        </w:tc>
        <w:tc>
          <w:tcPr>
            <w:tcW w:w="1151" w:type="dxa"/>
          </w:tcPr>
          <w:p w:rsidR="00FB5C78" w:rsidRPr="00FB5C78" w:rsidRDefault="00FB5C78" w:rsidP="00FF5AB8">
            <w:pPr>
              <w:spacing w:after="120" w:line="276" w:lineRule="auto"/>
              <w:jc w:val="right"/>
              <w:rPr>
                <w:sz w:val="20"/>
                <w:szCs w:val="20"/>
                <w:lang w:val="en-US"/>
              </w:rPr>
            </w:pPr>
            <w:r w:rsidRPr="00FB5C78">
              <w:rPr>
                <w:sz w:val="20"/>
                <w:szCs w:val="20"/>
                <w:lang w:val="en-US"/>
              </w:rPr>
              <w:t>0,7846</w:t>
            </w:r>
          </w:p>
        </w:tc>
        <w:tc>
          <w:tcPr>
            <w:tcW w:w="1151" w:type="dxa"/>
          </w:tcPr>
          <w:p w:rsidR="00FB5C78" w:rsidRPr="00FB5C78" w:rsidRDefault="00FB5C78" w:rsidP="00FF5AB8">
            <w:pPr>
              <w:spacing w:after="120" w:line="276" w:lineRule="auto"/>
              <w:jc w:val="right"/>
              <w:rPr>
                <w:sz w:val="20"/>
                <w:szCs w:val="20"/>
                <w:lang w:val="en-US"/>
              </w:rPr>
            </w:pPr>
            <w:r w:rsidRPr="00FB5C78">
              <w:rPr>
                <w:sz w:val="20"/>
                <w:szCs w:val="20"/>
                <w:lang w:val="en-US"/>
              </w:rPr>
              <w:t>0,6917</w:t>
            </w:r>
          </w:p>
          <w:p w:rsidR="00FB5C78" w:rsidRPr="00FB5C78" w:rsidRDefault="00FB5C78" w:rsidP="00FF5AB8">
            <w:pPr>
              <w:spacing w:after="120" w:line="276" w:lineRule="auto"/>
              <w:jc w:val="right"/>
              <w:rPr>
                <w:sz w:val="20"/>
                <w:szCs w:val="20"/>
                <w:lang w:val="en-US"/>
              </w:rPr>
            </w:pPr>
          </w:p>
          <w:p w:rsidR="00FB5C78" w:rsidRPr="00FB5C78" w:rsidRDefault="00FB5C78" w:rsidP="00FF5AB8">
            <w:pPr>
              <w:spacing w:after="120" w:line="276" w:lineRule="auto"/>
              <w:jc w:val="right"/>
              <w:rPr>
                <w:sz w:val="20"/>
                <w:szCs w:val="20"/>
                <w:lang w:val="en-US"/>
              </w:rPr>
            </w:pPr>
          </w:p>
          <w:p w:rsidR="00FB5C78" w:rsidRPr="00FB5C78" w:rsidRDefault="00FB5C78" w:rsidP="00FF5AB8">
            <w:pPr>
              <w:spacing w:after="120" w:line="276" w:lineRule="auto"/>
              <w:jc w:val="right"/>
              <w:rPr>
                <w:sz w:val="20"/>
                <w:szCs w:val="20"/>
                <w:lang w:val="en-US"/>
              </w:rPr>
            </w:pPr>
          </w:p>
        </w:tc>
        <w:tc>
          <w:tcPr>
            <w:tcW w:w="1151" w:type="dxa"/>
          </w:tcPr>
          <w:p w:rsidR="00FB5C78" w:rsidRPr="00FB5C78" w:rsidRDefault="00FB5C78" w:rsidP="00FF5AB8">
            <w:pPr>
              <w:spacing w:after="120" w:line="276" w:lineRule="auto"/>
              <w:jc w:val="right"/>
              <w:rPr>
                <w:sz w:val="20"/>
                <w:szCs w:val="20"/>
                <w:lang w:val="en-US"/>
              </w:rPr>
            </w:pPr>
            <w:r w:rsidRPr="00FB5C78">
              <w:rPr>
                <w:sz w:val="20"/>
                <w:szCs w:val="20"/>
                <w:lang w:val="en-US"/>
              </w:rPr>
              <w:t>0,7750</w:t>
            </w:r>
          </w:p>
        </w:tc>
        <w:tc>
          <w:tcPr>
            <w:tcW w:w="1151" w:type="dxa"/>
          </w:tcPr>
          <w:p w:rsidR="00FB5C78" w:rsidRPr="00FB5C78" w:rsidRDefault="00FB5C78" w:rsidP="00FF5AB8">
            <w:pPr>
              <w:spacing w:after="120" w:line="276" w:lineRule="auto"/>
              <w:jc w:val="right"/>
              <w:rPr>
                <w:sz w:val="20"/>
                <w:szCs w:val="20"/>
                <w:lang w:val="en-US"/>
              </w:rPr>
            </w:pPr>
            <w:r w:rsidRPr="00FB5C78">
              <w:rPr>
                <w:sz w:val="20"/>
                <w:szCs w:val="20"/>
                <w:lang w:val="en-US"/>
              </w:rPr>
              <w:t>1,0000</w:t>
            </w:r>
          </w:p>
        </w:tc>
        <w:tc>
          <w:tcPr>
            <w:tcW w:w="1151" w:type="dxa"/>
          </w:tcPr>
          <w:p w:rsidR="00FB5C78" w:rsidRPr="00FB5C78" w:rsidRDefault="00FB5C78" w:rsidP="00FF5AB8">
            <w:pPr>
              <w:spacing w:after="120" w:line="276" w:lineRule="auto"/>
              <w:jc w:val="right"/>
              <w:rPr>
                <w:sz w:val="20"/>
                <w:szCs w:val="20"/>
                <w:lang w:val="en-US"/>
              </w:rPr>
            </w:pPr>
          </w:p>
        </w:tc>
        <w:tc>
          <w:tcPr>
            <w:tcW w:w="1152" w:type="dxa"/>
          </w:tcPr>
          <w:p w:rsidR="00FB5C78" w:rsidRPr="00FB5C78" w:rsidRDefault="00FB5C78" w:rsidP="00FF5AB8">
            <w:pPr>
              <w:spacing w:after="120" w:line="276" w:lineRule="auto"/>
              <w:jc w:val="right"/>
              <w:rPr>
                <w:sz w:val="20"/>
                <w:szCs w:val="20"/>
                <w:lang w:val="en-US"/>
              </w:rPr>
            </w:pPr>
          </w:p>
        </w:tc>
      </w:tr>
      <w:tr w:rsidR="00FB5C78" w:rsidRPr="00FB5C78" w:rsidTr="00FF5AB8">
        <w:trPr>
          <w:trHeight w:hRule="exact" w:val="301"/>
          <w:jc w:val="center"/>
        </w:trPr>
        <w:tc>
          <w:tcPr>
            <w:tcW w:w="1151" w:type="dxa"/>
          </w:tcPr>
          <w:p w:rsidR="00FB5C78" w:rsidRPr="00FB5C78" w:rsidRDefault="00FB5C78" w:rsidP="00FF5AB8">
            <w:pPr>
              <w:spacing w:after="120" w:line="276" w:lineRule="auto"/>
              <w:jc w:val="both"/>
              <w:rPr>
                <w:sz w:val="20"/>
                <w:szCs w:val="20"/>
                <w:lang w:val="en-US"/>
              </w:rPr>
            </w:pPr>
            <w:r w:rsidRPr="00FB5C78">
              <w:rPr>
                <w:sz w:val="20"/>
                <w:szCs w:val="20"/>
                <w:lang w:val="en-US"/>
              </w:rPr>
              <w:t>Greece</w:t>
            </w:r>
          </w:p>
        </w:tc>
        <w:tc>
          <w:tcPr>
            <w:tcW w:w="1151" w:type="dxa"/>
          </w:tcPr>
          <w:p w:rsidR="00FB5C78" w:rsidRPr="00FB5C78" w:rsidRDefault="00FB5C78" w:rsidP="00FF5AB8">
            <w:pPr>
              <w:spacing w:after="120" w:line="276" w:lineRule="auto"/>
              <w:jc w:val="right"/>
              <w:rPr>
                <w:sz w:val="20"/>
                <w:szCs w:val="20"/>
                <w:lang w:val="en-US"/>
              </w:rPr>
            </w:pPr>
            <w:r w:rsidRPr="00FB5C78">
              <w:rPr>
                <w:sz w:val="20"/>
                <w:szCs w:val="20"/>
                <w:lang w:val="en-US"/>
              </w:rPr>
              <w:t>0,3639</w:t>
            </w:r>
          </w:p>
        </w:tc>
        <w:tc>
          <w:tcPr>
            <w:tcW w:w="1151" w:type="dxa"/>
          </w:tcPr>
          <w:p w:rsidR="00FB5C78" w:rsidRPr="00FB5C78" w:rsidRDefault="00FB5C78" w:rsidP="00FF5AB8">
            <w:pPr>
              <w:spacing w:after="120" w:line="276" w:lineRule="auto"/>
              <w:jc w:val="right"/>
              <w:rPr>
                <w:sz w:val="20"/>
                <w:szCs w:val="20"/>
                <w:lang w:val="en-US"/>
              </w:rPr>
            </w:pPr>
            <w:r w:rsidRPr="00FB5C78">
              <w:rPr>
                <w:sz w:val="20"/>
                <w:szCs w:val="20"/>
                <w:lang w:val="en-US"/>
              </w:rPr>
              <w:t>0,3026</w:t>
            </w:r>
          </w:p>
        </w:tc>
        <w:tc>
          <w:tcPr>
            <w:tcW w:w="1151" w:type="dxa"/>
          </w:tcPr>
          <w:p w:rsidR="00FB5C78" w:rsidRPr="00FB5C78" w:rsidRDefault="00FB5C78" w:rsidP="00FF5AB8">
            <w:pPr>
              <w:spacing w:after="120" w:line="276" w:lineRule="auto"/>
              <w:jc w:val="right"/>
              <w:rPr>
                <w:sz w:val="20"/>
                <w:szCs w:val="20"/>
                <w:lang w:val="en-US"/>
              </w:rPr>
            </w:pPr>
            <w:r w:rsidRPr="00FB5C78">
              <w:rPr>
                <w:sz w:val="20"/>
                <w:szCs w:val="20"/>
                <w:lang w:val="en-US"/>
              </w:rPr>
              <w:t>0,3044</w:t>
            </w:r>
          </w:p>
        </w:tc>
        <w:tc>
          <w:tcPr>
            <w:tcW w:w="1151" w:type="dxa"/>
          </w:tcPr>
          <w:p w:rsidR="00FB5C78" w:rsidRPr="00FB5C78" w:rsidRDefault="00FB5C78" w:rsidP="00FF5AB8">
            <w:pPr>
              <w:spacing w:after="120" w:line="276" w:lineRule="auto"/>
              <w:jc w:val="right"/>
              <w:rPr>
                <w:sz w:val="20"/>
                <w:szCs w:val="20"/>
                <w:lang w:val="en-US"/>
              </w:rPr>
            </w:pPr>
            <w:r w:rsidRPr="00FB5C78">
              <w:rPr>
                <w:sz w:val="20"/>
                <w:szCs w:val="20"/>
                <w:lang w:val="en-US"/>
              </w:rPr>
              <w:t>0,3801</w:t>
            </w:r>
          </w:p>
        </w:tc>
        <w:tc>
          <w:tcPr>
            <w:tcW w:w="1151" w:type="dxa"/>
          </w:tcPr>
          <w:p w:rsidR="00FB5C78" w:rsidRPr="00FB5C78" w:rsidRDefault="00FB5C78" w:rsidP="00FF5AB8">
            <w:pPr>
              <w:spacing w:after="120" w:line="276" w:lineRule="auto"/>
              <w:jc w:val="right"/>
              <w:rPr>
                <w:sz w:val="20"/>
                <w:szCs w:val="20"/>
                <w:lang w:val="en-US"/>
              </w:rPr>
            </w:pPr>
            <w:r w:rsidRPr="00FB5C78">
              <w:rPr>
                <w:sz w:val="20"/>
                <w:szCs w:val="20"/>
                <w:lang w:val="en-US"/>
              </w:rPr>
              <w:t>1,0000</w:t>
            </w:r>
          </w:p>
        </w:tc>
        <w:tc>
          <w:tcPr>
            <w:tcW w:w="1152" w:type="dxa"/>
          </w:tcPr>
          <w:p w:rsidR="00FB5C78" w:rsidRPr="00FB5C78" w:rsidRDefault="00FB5C78" w:rsidP="00FF5AB8">
            <w:pPr>
              <w:spacing w:after="120" w:line="276" w:lineRule="auto"/>
              <w:jc w:val="right"/>
              <w:rPr>
                <w:sz w:val="20"/>
                <w:szCs w:val="20"/>
                <w:lang w:val="en-US"/>
              </w:rPr>
            </w:pPr>
          </w:p>
        </w:tc>
      </w:tr>
      <w:tr w:rsidR="00FB5C78" w:rsidRPr="00FB5C78" w:rsidTr="00FF5AB8">
        <w:trPr>
          <w:trHeight w:hRule="exact" w:val="301"/>
          <w:jc w:val="center"/>
        </w:trPr>
        <w:tc>
          <w:tcPr>
            <w:tcW w:w="1151" w:type="dxa"/>
          </w:tcPr>
          <w:p w:rsidR="00FB5C78" w:rsidRPr="00FB5C78" w:rsidRDefault="00FB5C78" w:rsidP="00FF5AB8">
            <w:pPr>
              <w:spacing w:after="120" w:line="276" w:lineRule="auto"/>
              <w:jc w:val="both"/>
              <w:rPr>
                <w:sz w:val="20"/>
                <w:szCs w:val="20"/>
                <w:lang w:val="en-US"/>
              </w:rPr>
            </w:pPr>
            <w:r w:rsidRPr="00FB5C78">
              <w:rPr>
                <w:sz w:val="20"/>
                <w:szCs w:val="20"/>
                <w:lang w:val="en-US"/>
              </w:rPr>
              <w:t>Spain</w:t>
            </w:r>
          </w:p>
        </w:tc>
        <w:tc>
          <w:tcPr>
            <w:tcW w:w="1151" w:type="dxa"/>
          </w:tcPr>
          <w:p w:rsidR="00FB5C78" w:rsidRPr="00FB5C78" w:rsidRDefault="00FB5C78" w:rsidP="00FF5AB8">
            <w:pPr>
              <w:spacing w:after="120" w:line="276" w:lineRule="auto"/>
              <w:jc w:val="right"/>
              <w:rPr>
                <w:sz w:val="20"/>
                <w:szCs w:val="20"/>
                <w:lang w:val="en-US"/>
              </w:rPr>
            </w:pPr>
            <w:r w:rsidRPr="00FB5C78">
              <w:rPr>
                <w:sz w:val="20"/>
                <w:szCs w:val="20"/>
                <w:lang w:val="en-US"/>
              </w:rPr>
              <w:t>0,3040</w:t>
            </w:r>
          </w:p>
          <w:p w:rsidR="00FB5C78" w:rsidRPr="00FB5C78" w:rsidRDefault="00FB5C78" w:rsidP="00FF5AB8">
            <w:pPr>
              <w:spacing w:after="120" w:line="276" w:lineRule="auto"/>
              <w:jc w:val="right"/>
              <w:rPr>
                <w:sz w:val="20"/>
                <w:szCs w:val="20"/>
                <w:lang w:val="en-US"/>
              </w:rPr>
            </w:pPr>
          </w:p>
          <w:p w:rsidR="00FB5C78" w:rsidRPr="00FB5C78" w:rsidRDefault="00FB5C78" w:rsidP="00FF5AB8">
            <w:pPr>
              <w:spacing w:after="120" w:line="276" w:lineRule="auto"/>
              <w:jc w:val="right"/>
              <w:rPr>
                <w:sz w:val="20"/>
                <w:szCs w:val="20"/>
                <w:lang w:val="en-US"/>
              </w:rPr>
            </w:pPr>
          </w:p>
        </w:tc>
        <w:tc>
          <w:tcPr>
            <w:tcW w:w="1151" w:type="dxa"/>
          </w:tcPr>
          <w:p w:rsidR="00FB5C78" w:rsidRPr="00FB5C78" w:rsidRDefault="00FB5C78" w:rsidP="00FF5AB8">
            <w:pPr>
              <w:spacing w:after="120" w:line="276" w:lineRule="auto"/>
              <w:jc w:val="right"/>
              <w:rPr>
                <w:sz w:val="20"/>
                <w:szCs w:val="20"/>
                <w:lang w:val="en-US"/>
              </w:rPr>
            </w:pPr>
            <w:r w:rsidRPr="00FB5C78">
              <w:rPr>
                <w:sz w:val="20"/>
                <w:szCs w:val="20"/>
                <w:lang w:val="en-US"/>
              </w:rPr>
              <w:t>0,2844</w:t>
            </w:r>
          </w:p>
        </w:tc>
        <w:tc>
          <w:tcPr>
            <w:tcW w:w="1151" w:type="dxa"/>
          </w:tcPr>
          <w:p w:rsidR="00FB5C78" w:rsidRPr="00FB5C78" w:rsidRDefault="00FB5C78" w:rsidP="00FF5AB8">
            <w:pPr>
              <w:spacing w:after="120" w:line="276" w:lineRule="auto"/>
              <w:jc w:val="right"/>
              <w:rPr>
                <w:sz w:val="20"/>
                <w:szCs w:val="20"/>
                <w:lang w:val="en-US"/>
              </w:rPr>
            </w:pPr>
            <w:r w:rsidRPr="00FB5C78">
              <w:rPr>
                <w:sz w:val="20"/>
                <w:szCs w:val="20"/>
                <w:lang w:val="en-US"/>
              </w:rPr>
              <w:t>0,2734</w:t>
            </w:r>
          </w:p>
        </w:tc>
        <w:tc>
          <w:tcPr>
            <w:tcW w:w="1151" w:type="dxa"/>
          </w:tcPr>
          <w:p w:rsidR="00FB5C78" w:rsidRPr="00FB5C78" w:rsidRDefault="00FB5C78" w:rsidP="00FF5AB8">
            <w:pPr>
              <w:spacing w:after="120" w:line="276" w:lineRule="auto"/>
              <w:jc w:val="right"/>
              <w:rPr>
                <w:sz w:val="20"/>
                <w:szCs w:val="20"/>
                <w:lang w:val="en-US"/>
              </w:rPr>
            </w:pPr>
            <w:r w:rsidRPr="00FB5C78">
              <w:rPr>
                <w:sz w:val="20"/>
                <w:szCs w:val="20"/>
                <w:lang w:val="en-US"/>
              </w:rPr>
              <w:t>0,3294</w:t>
            </w:r>
          </w:p>
        </w:tc>
        <w:tc>
          <w:tcPr>
            <w:tcW w:w="1151" w:type="dxa"/>
          </w:tcPr>
          <w:p w:rsidR="00FB5C78" w:rsidRPr="00FB5C78" w:rsidRDefault="00FB5C78" w:rsidP="00FF5AB8">
            <w:pPr>
              <w:spacing w:after="120" w:line="276" w:lineRule="auto"/>
              <w:jc w:val="right"/>
              <w:rPr>
                <w:sz w:val="20"/>
                <w:szCs w:val="20"/>
                <w:lang w:val="en-US"/>
              </w:rPr>
            </w:pPr>
            <w:r w:rsidRPr="00FB5C78">
              <w:rPr>
                <w:sz w:val="20"/>
                <w:szCs w:val="20"/>
                <w:lang w:val="en-US"/>
              </w:rPr>
              <w:t>0,3554</w:t>
            </w:r>
          </w:p>
        </w:tc>
        <w:tc>
          <w:tcPr>
            <w:tcW w:w="1152" w:type="dxa"/>
          </w:tcPr>
          <w:p w:rsidR="00FB5C78" w:rsidRPr="00FB5C78" w:rsidRDefault="00FB5C78" w:rsidP="00FF5AB8">
            <w:pPr>
              <w:spacing w:after="120" w:line="276" w:lineRule="auto"/>
              <w:jc w:val="right"/>
              <w:rPr>
                <w:sz w:val="20"/>
                <w:szCs w:val="20"/>
                <w:lang w:val="en-US"/>
              </w:rPr>
            </w:pPr>
            <w:r w:rsidRPr="00FB5C78">
              <w:rPr>
                <w:sz w:val="20"/>
                <w:szCs w:val="20"/>
                <w:lang w:val="en-US"/>
              </w:rPr>
              <w:t>1,0000</w:t>
            </w:r>
          </w:p>
        </w:tc>
      </w:tr>
      <w:tr w:rsidR="00FB5C78" w:rsidRPr="00FB5C78" w:rsidTr="00FF5AB8">
        <w:trPr>
          <w:trHeight w:hRule="exact" w:val="113"/>
          <w:jc w:val="center"/>
        </w:trPr>
        <w:tc>
          <w:tcPr>
            <w:tcW w:w="1151" w:type="dxa"/>
            <w:tcBorders>
              <w:bottom w:val="single" w:sz="4" w:space="0" w:color="auto"/>
            </w:tcBorders>
          </w:tcPr>
          <w:p w:rsidR="00FB5C78" w:rsidRPr="00FB5C78" w:rsidRDefault="00FB5C78" w:rsidP="00FF5AB8">
            <w:pPr>
              <w:spacing w:line="276" w:lineRule="auto"/>
              <w:jc w:val="both"/>
              <w:rPr>
                <w:sz w:val="20"/>
                <w:szCs w:val="20"/>
                <w:lang w:val="en-US"/>
              </w:rPr>
            </w:pPr>
          </w:p>
        </w:tc>
        <w:tc>
          <w:tcPr>
            <w:tcW w:w="1151" w:type="dxa"/>
            <w:tcBorders>
              <w:bottom w:val="single" w:sz="4" w:space="0" w:color="auto"/>
            </w:tcBorders>
          </w:tcPr>
          <w:p w:rsidR="00FB5C78" w:rsidRPr="00FB5C78" w:rsidRDefault="00FB5C78" w:rsidP="00FF5AB8">
            <w:pPr>
              <w:spacing w:line="276" w:lineRule="auto"/>
              <w:jc w:val="both"/>
              <w:rPr>
                <w:sz w:val="20"/>
                <w:szCs w:val="20"/>
                <w:lang w:val="en-US"/>
              </w:rPr>
            </w:pPr>
          </w:p>
        </w:tc>
        <w:tc>
          <w:tcPr>
            <w:tcW w:w="1151" w:type="dxa"/>
            <w:tcBorders>
              <w:bottom w:val="single" w:sz="4" w:space="0" w:color="auto"/>
            </w:tcBorders>
          </w:tcPr>
          <w:p w:rsidR="00FB5C78" w:rsidRPr="00FB5C78" w:rsidRDefault="00FB5C78" w:rsidP="00FF5AB8">
            <w:pPr>
              <w:spacing w:line="276" w:lineRule="auto"/>
              <w:jc w:val="both"/>
              <w:rPr>
                <w:sz w:val="20"/>
                <w:szCs w:val="20"/>
                <w:lang w:val="en-US"/>
              </w:rPr>
            </w:pPr>
          </w:p>
        </w:tc>
        <w:tc>
          <w:tcPr>
            <w:tcW w:w="1151" w:type="dxa"/>
            <w:tcBorders>
              <w:bottom w:val="single" w:sz="4" w:space="0" w:color="auto"/>
            </w:tcBorders>
          </w:tcPr>
          <w:p w:rsidR="00FB5C78" w:rsidRPr="00FB5C78" w:rsidRDefault="00FB5C78" w:rsidP="00FF5AB8">
            <w:pPr>
              <w:spacing w:line="276" w:lineRule="auto"/>
              <w:jc w:val="both"/>
              <w:rPr>
                <w:sz w:val="20"/>
                <w:szCs w:val="20"/>
                <w:lang w:val="en-US"/>
              </w:rPr>
            </w:pPr>
          </w:p>
        </w:tc>
        <w:tc>
          <w:tcPr>
            <w:tcW w:w="1151" w:type="dxa"/>
            <w:tcBorders>
              <w:bottom w:val="single" w:sz="4" w:space="0" w:color="auto"/>
            </w:tcBorders>
          </w:tcPr>
          <w:p w:rsidR="00FB5C78" w:rsidRPr="00FB5C78" w:rsidRDefault="00FB5C78" w:rsidP="00FF5AB8">
            <w:pPr>
              <w:spacing w:line="276" w:lineRule="auto"/>
              <w:jc w:val="both"/>
              <w:rPr>
                <w:sz w:val="20"/>
                <w:szCs w:val="20"/>
                <w:lang w:val="en-US"/>
              </w:rPr>
            </w:pPr>
          </w:p>
        </w:tc>
        <w:tc>
          <w:tcPr>
            <w:tcW w:w="1151" w:type="dxa"/>
            <w:tcBorders>
              <w:bottom w:val="single" w:sz="4" w:space="0" w:color="auto"/>
            </w:tcBorders>
          </w:tcPr>
          <w:p w:rsidR="00FB5C78" w:rsidRPr="00FB5C78" w:rsidRDefault="00FB5C78" w:rsidP="00FF5AB8">
            <w:pPr>
              <w:spacing w:line="276" w:lineRule="auto"/>
              <w:jc w:val="both"/>
              <w:rPr>
                <w:sz w:val="20"/>
                <w:szCs w:val="20"/>
                <w:lang w:val="en-US"/>
              </w:rPr>
            </w:pPr>
          </w:p>
        </w:tc>
        <w:tc>
          <w:tcPr>
            <w:tcW w:w="1152" w:type="dxa"/>
            <w:tcBorders>
              <w:bottom w:val="single" w:sz="4" w:space="0" w:color="auto"/>
            </w:tcBorders>
          </w:tcPr>
          <w:p w:rsidR="00FB5C78" w:rsidRPr="00FB5C78" w:rsidRDefault="00FB5C78" w:rsidP="00FF5AB8">
            <w:pPr>
              <w:spacing w:line="276" w:lineRule="auto"/>
              <w:jc w:val="both"/>
              <w:rPr>
                <w:sz w:val="20"/>
                <w:szCs w:val="20"/>
                <w:lang w:val="en-US"/>
              </w:rPr>
            </w:pPr>
          </w:p>
        </w:tc>
      </w:tr>
    </w:tbl>
    <w:p w:rsidR="00FB5C78" w:rsidRPr="00FB5C78" w:rsidRDefault="00FB5C78" w:rsidP="00FB5C78">
      <w:pPr>
        <w:spacing w:after="120"/>
        <w:jc w:val="both"/>
        <w:rPr>
          <w:sz w:val="20"/>
          <w:szCs w:val="20"/>
          <w:lang w:val="en-US"/>
        </w:rPr>
      </w:pPr>
    </w:p>
    <w:p w:rsidR="00FB5C78" w:rsidRPr="00FB5C78" w:rsidRDefault="00FB5C78" w:rsidP="00FB5C78">
      <w:pPr>
        <w:jc w:val="center"/>
        <w:rPr>
          <w:sz w:val="20"/>
          <w:szCs w:val="20"/>
          <w:lang w:val="en-US"/>
        </w:rPr>
      </w:pPr>
      <w:r w:rsidRPr="00FB5C78">
        <w:rPr>
          <w:sz w:val="20"/>
          <w:szCs w:val="20"/>
          <w:lang w:val="en-US"/>
        </w:rPr>
        <w:t>Table 3</w:t>
      </w:r>
    </w:p>
    <w:p w:rsidR="00FB5C78" w:rsidRPr="00FB5C78" w:rsidRDefault="00FB5C78" w:rsidP="00FB5C78">
      <w:pPr>
        <w:jc w:val="center"/>
        <w:rPr>
          <w:sz w:val="20"/>
          <w:szCs w:val="20"/>
          <w:lang w:val="en-US"/>
        </w:rPr>
      </w:pPr>
      <w:r w:rsidRPr="00FB5C78">
        <w:rPr>
          <w:sz w:val="20"/>
          <w:szCs w:val="20"/>
          <w:lang w:val="en-US"/>
        </w:rPr>
        <w:t>Correlation Matrix of Monthly Changes in Sovereign Credit Default Swap Spreads of the Selected Countries Before and After Crisis</w:t>
      </w:r>
    </w:p>
    <w:p w:rsidR="00FB5C78" w:rsidRPr="00FB5C78" w:rsidRDefault="00FB5C78" w:rsidP="00FB5C78">
      <w:pPr>
        <w:spacing w:after="120"/>
        <w:jc w:val="both"/>
        <w:rPr>
          <w:sz w:val="20"/>
          <w:szCs w:val="20"/>
          <w:lang w:val="en-US"/>
        </w:rPr>
      </w:pPr>
    </w:p>
    <w:tbl>
      <w:tblPr>
        <w:tblW w:w="8727" w:type="dxa"/>
        <w:tblInd w:w="70" w:type="dxa"/>
        <w:tblCellMar>
          <w:left w:w="70" w:type="dxa"/>
          <w:right w:w="70" w:type="dxa"/>
        </w:tblCellMar>
        <w:tblLook w:val="04A0" w:firstRow="1" w:lastRow="0" w:firstColumn="1" w:lastColumn="0" w:noHBand="0" w:noVBand="1"/>
      </w:tblPr>
      <w:tblGrid>
        <w:gridCol w:w="842"/>
        <w:gridCol w:w="721"/>
        <w:gridCol w:w="690"/>
        <w:gridCol w:w="842"/>
        <w:gridCol w:w="776"/>
        <w:gridCol w:w="842"/>
        <w:gridCol w:w="775"/>
        <w:gridCol w:w="842"/>
        <w:gridCol w:w="776"/>
        <w:gridCol w:w="844"/>
        <w:gridCol w:w="777"/>
      </w:tblGrid>
      <w:tr w:rsidR="00FB5C78" w:rsidRPr="00FB5C78" w:rsidTr="00FB5C78">
        <w:trPr>
          <w:trHeight w:val="323"/>
        </w:trPr>
        <w:tc>
          <w:tcPr>
            <w:tcW w:w="844" w:type="dxa"/>
            <w:tcBorders>
              <w:top w:val="single" w:sz="8" w:space="0" w:color="auto"/>
              <w:left w:val="nil"/>
              <w:bottom w:val="single" w:sz="8" w:space="0" w:color="auto"/>
              <w:right w:val="nil"/>
            </w:tcBorders>
            <w:shd w:val="clear" w:color="000000" w:fill="FFFFFF"/>
            <w:hideMark/>
          </w:tcPr>
          <w:p w:rsidR="00FB5C78" w:rsidRPr="00FB5C78" w:rsidRDefault="00FB5C78" w:rsidP="00FF5AB8">
            <w:pPr>
              <w:jc w:val="both"/>
              <w:rPr>
                <w:bCs/>
                <w:sz w:val="20"/>
                <w:szCs w:val="20"/>
              </w:rPr>
            </w:pPr>
            <w:r w:rsidRPr="00FB5C78">
              <w:rPr>
                <w:bCs/>
                <w:sz w:val="20"/>
                <w:szCs w:val="20"/>
                <w:lang w:val="en-US"/>
              </w:rPr>
              <w:t> </w:t>
            </w:r>
          </w:p>
        </w:tc>
        <w:tc>
          <w:tcPr>
            <w:tcW w:w="1400" w:type="dxa"/>
            <w:gridSpan w:val="2"/>
            <w:tcBorders>
              <w:top w:val="single" w:sz="8" w:space="0" w:color="auto"/>
              <w:left w:val="nil"/>
              <w:bottom w:val="single" w:sz="8" w:space="0" w:color="auto"/>
              <w:right w:val="nil"/>
            </w:tcBorders>
            <w:shd w:val="clear" w:color="000000" w:fill="FFFFFF"/>
            <w:hideMark/>
          </w:tcPr>
          <w:p w:rsidR="00FB5C78" w:rsidRPr="00FB5C78" w:rsidRDefault="00FB5C78" w:rsidP="00FF5AB8">
            <w:pPr>
              <w:jc w:val="center"/>
              <w:rPr>
                <w:bCs/>
                <w:sz w:val="20"/>
                <w:szCs w:val="20"/>
              </w:rPr>
            </w:pPr>
            <w:r w:rsidRPr="00FB5C78">
              <w:rPr>
                <w:bCs/>
                <w:sz w:val="20"/>
                <w:szCs w:val="20"/>
                <w:lang w:val="en-US"/>
              </w:rPr>
              <w:t>Brazil</w:t>
            </w:r>
          </w:p>
        </w:tc>
        <w:tc>
          <w:tcPr>
            <w:tcW w:w="1621" w:type="dxa"/>
            <w:gridSpan w:val="2"/>
            <w:tcBorders>
              <w:top w:val="single" w:sz="8" w:space="0" w:color="auto"/>
              <w:left w:val="nil"/>
              <w:bottom w:val="single" w:sz="8" w:space="0" w:color="auto"/>
              <w:right w:val="nil"/>
            </w:tcBorders>
            <w:shd w:val="clear" w:color="000000" w:fill="FFFFFF"/>
            <w:hideMark/>
          </w:tcPr>
          <w:p w:rsidR="00FB5C78" w:rsidRPr="00FB5C78" w:rsidRDefault="00FB5C78" w:rsidP="00FF5AB8">
            <w:pPr>
              <w:jc w:val="center"/>
              <w:rPr>
                <w:bCs/>
                <w:sz w:val="20"/>
                <w:szCs w:val="20"/>
              </w:rPr>
            </w:pPr>
            <w:r w:rsidRPr="00FB5C78">
              <w:rPr>
                <w:bCs/>
                <w:sz w:val="20"/>
                <w:szCs w:val="20"/>
                <w:lang w:val="en-US"/>
              </w:rPr>
              <w:t>Turkey</w:t>
            </w:r>
          </w:p>
        </w:tc>
        <w:tc>
          <w:tcPr>
            <w:tcW w:w="1620" w:type="dxa"/>
            <w:gridSpan w:val="2"/>
            <w:tcBorders>
              <w:top w:val="single" w:sz="8" w:space="0" w:color="auto"/>
              <w:left w:val="nil"/>
              <w:bottom w:val="single" w:sz="8" w:space="0" w:color="auto"/>
              <w:right w:val="nil"/>
            </w:tcBorders>
            <w:shd w:val="clear" w:color="000000" w:fill="FFFFFF"/>
            <w:hideMark/>
          </w:tcPr>
          <w:p w:rsidR="00FB5C78" w:rsidRPr="00FB5C78" w:rsidRDefault="00FB5C78" w:rsidP="00FF5AB8">
            <w:pPr>
              <w:jc w:val="center"/>
              <w:rPr>
                <w:bCs/>
                <w:sz w:val="20"/>
                <w:szCs w:val="20"/>
              </w:rPr>
            </w:pPr>
            <w:r w:rsidRPr="00FB5C78">
              <w:rPr>
                <w:bCs/>
                <w:sz w:val="20"/>
                <w:szCs w:val="20"/>
                <w:lang w:val="en-US"/>
              </w:rPr>
              <w:t>Korea</w:t>
            </w:r>
          </w:p>
        </w:tc>
        <w:tc>
          <w:tcPr>
            <w:tcW w:w="1621" w:type="dxa"/>
            <w:gridSpan w:val="2"/>
            <w:tcBorders>
              <w:top w:val="single" w:sz="8" w:space="0" w:color="auto"/>
              <w:left w:val="nil"/>
              <w:bottom w:val="single" w:sz="8" w:space="0" w:color="auto"/>
              <w:right w:val="nil"/>
            </w:tcBorders>
            <w:shd w:val="clear" w:color="000000" w:fill="FFFFFF"/>
            <w:hideMark/>
          </w:tcPr>
          <w:p w:rsidR="00FB5C78" w:rsidRPr="00FB5C78" w:rsidRDefault="00FB5C78" w:rsidP="00FF5AB8">
            <w:pPr>
              <w:jc w:val="center"/>
              <w:rPr>
                <w:bCs/>
                <w:sz w:val="20"/>
                <w:szCs w:val="20"/>
              </w:rPr>
            </w:pPr>
            <w:r w:rsidRPr="00FB5C78">
              <w:rPr>
                <w:bCs/>
                <w:sz w:val="20"/>
                <w:szCs w:val="20"/>
                <w:lang w:val="en-US"/>
              </w:rPr>
              <w:t>Greece</w:t>
            </w:r>
          </w:p>
        </w:tc>
        <w:tc>
          <w:tcPr>
            <w:tcW w:w="1621" w:type="dxa"/>
            <w:gridSpan w:val="2"/>
            <w:tcBorders>
              <w:top w:val="single" w:sz="8" w:space="0" w:color="auto"/>
              <w:left w:val="nil"/>
              <w:bottom w:val="single" w:sz="8" w:space="0" w:color="auto"/>
              <w:right w:val="nil"/>
            </w:tcBorders>
            <w:shd w:val="clear" w:color="000000" w:fill="FFFFFF"/>
            <w:hideMark/>
          </w:tcPr>
          <w:p w:rsidR="00FB5C78" w:rsidRPr="00FB5C78" w:rsidRDefault="00FB5C78" w:rsidP="00FF5AB8">
            <w:pPr>
              <w:jc w:val="center"/>
              <w:rPr>
                <w:bCs/>
                <w:sz w:val="20"/>
                <w:szCs w:val="20"/>
              </w:rPr>
            </w:pPr>
            <w:proofErr w:type="spellStart"/>
            <w:r w:rsidRPr="00FB5C78">
              <w:rPr>
                <w:bCs/>
                <w:sz w:val="20"/>
                <w:szCs w:val="20"/>
              </w:rPr>
              <w:t>Spain</w:t>
            </w:r>
            <w:proofErr w:type="spellEnd"/>
          </w:p>
        </w:tc>
      </w:tr>
      <w:tr w:rsidR="00FB5C78" w:rsidRPr="00FB5C78" w:rsidTr="00FB5C78">
        <w:trPr>
          <w:trHeight w:val="615"/>
        </w:trPr>
        <w:tc>
          <w:tcPr>
            <w:tcW w:w="844" w:type="dxa"/>
            <w:tcBorders>
              <w:top w:val="nil"/>
              <w:left w:val="nil"/>
              <w:bottom w:val="single" w:sz="8" w:space="0" w:color="auto"/>
              <w:right w:val="nil"/>
            </w:tcBorders>
            <w:shd w:val="clear" w:color="000000" w:fill="FFFFFF"/>
            <w:hideMark/>
          </w:tcPr>
          <w:p w:rsidR="00FB5C78" w:rsidRPr="00FB5C78" w:rsidRDefault="00FB5C78" w:rsidP="00FF5AB8">
            <w:pPr>
              <w:jc w:val="both"/>
              <w:rPr>
                <w:bCs/>
                <w:sz w:val="20"/>
                <w:szCs w:val="20"/>
              </w:rPr>
            </w:pPr>
            <w:r w:rsidRPr="00FB5C78">
              <w:rPr>
                <w:bCs/>
                <w:sz w:val="20"/>
                <w:szCs w:val="20"/>
              </w:rPr>
              <w:t> </w:t>
            </w:r>
          </w:p>
        </w:tc>
        <w:tc>
          <w:tcPr>
            <w:tcW w:w="721" w:type="dxa"/>
            <w:tcBorders>
              <w:top w:val="nil"/>
              <w:left w:val="dotted" w:sz="4" w:space="0" w:color="auto"/>
              <w:bottom w:val="single" w:sz="8" w:space="0" w:color="auto"/>
              <w:right w:val="dotted" w:sz="4" w:space="0" w:color="auto"/>
            </w:tcBorders>
            <w:shd w:val="clear" w:color="000000" w:fill="FFFFFF"/>
            <w:vAlign w:val="bottom"/>
            <w:hideMark/>
          </w:tcPr>
          <w:p w:rsidR="00FB5C78" w:rsidRPr="00FB5C78" w:rsidRDefault="00FB5C78" w:rsidP="00FF5AB8">
            <w:pPr>
              <w:jc w:val="center"/>
              <w:rPr>
                <w:bCs/>
                <w:sz w:val="20"/>
                <w:szCs w:val="20"/>
              </w:rPr>
            </w:pPr>
            <w:proofErr w:type="spellStart"/>
            <w:r w:rsidRPr="00FB5C78">
              <w:rPr>
                <w:bCs/>
                <w:sz w:val="20"/>
                <w:szCs w:val="20"/>
              </w:rPr>
              <w:t>before</w:t>
            </w:r>
            <w:proofErr w:type="spellEnd"/>
            <w:r w:rsidRPr="00FB5C78">
              <w:rPr>
                <w:bCs/>
                <w:sz w:val="20"/>
                <w:szCs w:val="20"/>
              </w:rPr>
              <w:t xml:space="preserve"> </w:t>
            </w:r>
            <w:proofErr w:type="spellStart"/>
            <w:r w:rsidRPr="00FB5C78">
              <w:rPr>
                <w:bCs/>
                <w:sz w:val="20"/>
                <w:szCs w:val="20"/>
              </w:rPr>
              <w:t>crisis</w:t>
            </w:r>
            <w:proofErr w:type="spellEnd"/>
          </w:p>
        </w:tc>
        <w:tc>
          <w:tcPr>
            <w:tcW w:w="679" w:type="dxa"/>
            <w:tcBorders>
              <w:top w:val="nil"/>
              <w:left w:val="nil"/>
              <w:bottom w:val="single" w:sz="8" w:space="0" w:color="auto"/>
              <w:right w:val="dotted" w:sz="4" w:space="0" w:color="auto"/>
            </w:tcBorders>
            <w:shd w:val="clear" w:color="000000" w:fill="FFFFFF"/>
            <w:vAlign w:val="bottom"/>
            <w:hideMark/>
          </w:tcPr>
          <w:p w:rsidR="00FB5C78" w:rsidRPr="00FB5C78" w:rsidRDefault="00FB5C78" w:rsidP="00FF5AB8">
            <w:pPr>
              <w:jc w:val="center"/>
              <w:rPr>
                <w:bCs/>
                <w:sz w:val="20"/>
                <w:szCs w:val="20"/>
              </w:rPr>
            </w:pPr>
            <w:proofErr w:type="spellStart"/>
            <w:r w:rsidRPr="00FB5C78">
              <w:rPr>
                <w:bCs/>
                <w:sz w:val="20"/>
                <w:szCs w:val="20"/>
              </w:rPr>
              <w:t>after</w:t>
            </w:r>
            <w:proofErr w:type="spellEnd"/>
            <w:r w:rsidRPr="00FB5C78">
              <w:rPr>
                <w:bCs/>
                <w:sz w:val="20"/>
                <w:szCs w:val="20"/>
              </w:rPr>
              <w:t xml:space="preserve"> </w:t>
            </w:r>
            <w:proofErr w:type="spellStart"/>
            <w:r w:rsidRPr="00FB5C78">
              <w:rPr>
                <w:bCs/>
                <w:sz w:val="20"/>
                <w:szCs w:val="20"/>
              </w:rPr>
              <w:t>crisis</w:t>
            </w:r>
            <w:proofErr w:type="spellEnd"/>
          </w:p>
        </w:tc>
        <w:tc>
          <w:tcPr>
            <w:tcW w:w="844" w:type="dxa"/>
            <w:tcBorders>
              <w:top w:val="nil"/>
              <w:left w:val="nil"/>
              <w:bottom w:val="single" w:sz="8" w:space="0" w:color="auto"/>
              <w:right w:val="dotted" w:sz="4" w:space="0" w:color="auto"/>
            </w:tcBorders>
            <w:shd w:val="clear" w:color="000000" w:fill="FFFFFF"/>
            <w:vAlign w:val="bottom"/>
            <w:hideMark/>
          </w:tcPr>
          <w:p w:rsidR="00FB5C78" w:rsidRPr="00FB5C78" w:rsidRDefault="00FB5C78" w:rsidP="00FF5AB8">
            <w:pPr>
              <w:jc w:val="center"/>
              <w:rPr>
                <w:bCs/>
                <w:sz w:val="20"/>
                <w:szCs w:val="20"/>
              </w:rPr>
            </w:pPr>
            <w:proofErr w:type="spellStart"/>
            <w:r w:rsidRPr="00FB5C78">
              <w:rPr>
                <w:bCs/>
                <w:sz w:val="20"/>
                <w:szCs w:val="20"/>
              </w:rPr>
              <w:t>before</w:t>
            </w:r>
            <w:proofErr w:type="spellEnd"/>
            <w:r w:rsidRPr="00FB5C78">
              <w:rPr>
                <w:bCs/>
                <w:sz w:val="20"/>
                <w:szCs w:val="20"/>
              </w:rPr>
              <w:t xml:space="preserve"> </w:t>
            </w:r>
            <w:proofErr w:type="spellStart"/>
            <w:r w:rsidRPr="00FB5C78">
              <w:rPr>
                <w:bCs/>
                <w:sz w:val="20"/>
                <w:szCs w:val="20"/>
              </w:rPr>
              <w:t>crisis</w:t>
            </w:r>
            <w:proofErr w:type="spellEnd"/>
          </w:p>
        </w:tc>
        <w:tc>
          <w:tcPr>
            <w:tcW w:w="777" w:type="dxa"/>
            <w:tcBorders>
              <w:top w:val="nil"/>
              <w:left w:val="nil"/>
              <w:bottom w:val="single" w:sz="8" w:space="0" w:color="auto"/>
              <w:right w:val="dotted" w:sz="4" w:space="0" w:color="auto"/>
            </w:tcBorders>
            <w:shd w:val="clear" w:color="000000" w:fill="FFFFFF"/>
            <w:vAlign w:val="bottom"/>
            <w:hideMark/>
          </w:tcPr>
          <w:p w:rsidR="00FB5C78" w:rsidRPr="00FB5C78" w:rsidRDefault="00FB5C78" w:rsidP="00FF5AB8">
            <w:pPr>
              <w:jc w:val="center"/>
              <w:rPr>
                <w:bCs/>
                <w:sz w:val="20"/>
                <w:szCs w:val="20"/>
              </w:rPr>
            </w:pPr>
            <w:proofErr w:type="spellStart"/>
            <w:r w:rsidRPr="00FB5C78">
              <w:rPr>
                <w:bCs/>
                <w:sz w:val="20"/>
                <w:szCs w:val="20"/>
              </w:rPr>
              <w:t>after</w:t>
            </w:r>
            <w:proofErr w:type="spellEnd"/>
            <w:r w:rsidRPr="00FB5C78">
              <w:rPr>
                <w:bCs/>
                <w:sz w:val="20"/>
                <w:szCs w:val="20"/>
              </w:rPr>
              <w:t xml:space="preserve"> </w:t>
            </w:r>
            <w:proofErr w:type="spellStart"/>
            <w:r w:rsidRPr="00FB5C78">
              <w:rPr>
                <w:bCs/>
                <w:sz w:val="20"/>
                <w:szCs w:val="20"/>
              </w:rPr>
              <w:t>crisis</w:t>
            </w:r>
            <w:proofErr w:type="spellEnd"/>
          </w:p>
        </w:tc>
        <w:tc>
          <w:tcPr>
            <w:tcW w:w="844" w:type="dxa"/>
            <w:tcBorders>
              <w:top w:val="nil"/>
              <w:left w:val="nil"/>
              <w:bottom w:val="single" w:sz="8" w:space="0" w:color="auto"/>
              <w:right w:val="dotted" w:sz="4" w:space="0" w:color="auto"/>
            </w:tcBorders>
            <w:shd w:val="clear" w:color="000000" w:fill="FFFFFF"/>
            <w:vAlign w:val="bottom"/>
            <w:hideMark/>
          </w:tcPr>
          <w:p w:rsidR="00FB5C78" w:rsidRPr="00FB5C78" w:rsidRDefault="00FB5C78" w:rsidP="00FF5AB8">
            <w:pPr>
              <w:jc w:val="center"/>
              <w:rPr>
                <w:bCs/>
                <w:sz w:val="20"/>
                <w:szCs w:val="20"/>
              </w:rPr>
            </w:pPr>
            <w:proofErr w:type="spellStart"/>
            <w:r w:rsidRPr="00FB5C78">
              <w:rPr>
                <w:bCs/>
                <w:sz w:val="20"/>
                <w:szCs w:val="20"/>
              </w:rPr>
              <w:t>before</w:t>
            </w:r>
            <w:proofErr w:type="spellEnd"/>
            <w:r w:rsidRPr="00FB5C78">
              <w:rPr>
                <w:bCs/>
                <w:sz w:val="20"/>
                <w:szCs w:val="20"/>
              </w:rPr>
              <w:t xml:space="preserve"> </w:t>
            </w:r>
            <w:proofErr w:type="spellStart"/>
            <w:r w:rsidRPr="00FB5C78">
              <w:rPr>
                <w:bCs/>
                <w:sz w:val="20"/>
                <w:szCs w:val="20"/>
              </w:rPr>
              <w:t>crisis</w:t>
            </w:r>
            <w:proofErr w:type="spellEnd"/>
          </w:p>
        </w:tc>
        <w:tc>
          <w:tcPr>
            <w:tcW w:w="776" w:type="dxa"/>
            <w:tcBorders>
              <w:top w:val="nil"/>
              <w:left w:val="nil"/>
              <w:bottom w:val="single" w:sz="8" w:space="0" w:color="auto"/>
              <w:right w:val="dotted" w:sz="4" w:space="0" w:color="auto"/>
            </w:tcBorders>
            <w:shd w:val="clear" w:color="000000" w:fill="FFFFFF"/>
            <w:vAlign w:val="bottom"/>
            <w:hideMark/>
          </w:tcPr>
          <w:p w:rsidR="00FB5C78" w:rsidRPr="00FB5C78" w:rsidRDefault="00FB5C78" w:rsidP="00FF5AB8">
            <w:pPr>
              <w:jc w:val="center"/>
              <w:rPr>
                <w:bCs/>
                <w:sz w:val="20"/>
                <w:szCs w:val="20"/>
              </w:rPr>
            </w:pPr>
            <w:proofErr w:type="spellStart"/>
            <w:r w:rsidRPr="00FB5C78">
              <w:rPr>
                <w:bCs/>
                <w:sz w:val="20"/>
                <w:szCs w:val="20"/>
              </w:rPr>
              <w:t>after</w:t>
            </w:r>
            <w:proofErr w:type="spellEnd"/>
            <w:r w:rsidRPr="00FB5C78">
              <w:rPr>
                <w:bCs/>
                <w:sz w:val="20"/>
                <w:szCs w:val="20"/>
              </w:rPr>
              <w:t xml:space="preserve"> </w:t>
            </w:r>
            <w:proofErr w:type="spellStart"/>
            <w:r w:rsidRPr="00FB5C78">
              <w:rPr>
                <w:bCs/>
                <w:sz w:val="20"/>
                <w:szCs w:val="20"/>
              </w:rPr>
              <w:t>crisis</w:t>
            </w:r>
            <w:proofErr w:type="spellEnd"/>
          </w:p>
        </w:tc>
        <w:tc>
          <w:tcPr>
            <w:tcW w:w="844" w:type="dxa"/>
            <w:tcBorders>
              <w:top w:val="nil"/>
              <w:left w:val="nil"/>
              <w:bottom w:val="single" w:sz="8" w:space="0" w:color="auto"/>
              <w:right w:val="dotted" w:sz="4" w:space="0" w:color="auto"/>
            </w:tcBorders>
            <w:shd w:val="clear" w:color="000000" w:fill="FFFFFF"/>
            <w:vAlign w:val="bottom"/>
            <w:hideMark/>
          </w:tcPr>
          <w:p w:rsidR="00FB5C78" w:rsidRPr="00FB5C78" w:rsidRDefault="00FB5C78" w:rsidP="00FF5AB8">
            <w:pPr>
              <w:jc w:val="center"/>
              <w:rPr>
                <w:bCs/>
                <w:sz w:val="20"/>
                <w:szCs w:val="20"/>
              </w:rPr>
            </w:pPr>
            <w:proofErr w:type="spellStart"/>
            <w:r w:rsidRPr="00FB5C78">
              <w:rPr>
                <w:bCs/>
                <w:sz w:val="20"/>
                <w:szCs w:val="20"/>
              </w:rPr>
              <w:t>before</w:t>
            </w:r>
            <w:proofErr w:type="spellEnd"/>
            <w:r w:rsidRPr="00FB5C78">
              <w:rPr>
                <w:bCs/>
                <w:sz w:val="20"/>
                <w:szCs w:val="20"/>
              </w:rPr>
              <w:t xml:space="preserve"> </w:t>
            </w:r>
            <w:proofErr w:type="spellStart"/>
            <w:r w:rsidRPr="00FB5C78">
              <w:rPr>
                <w:bCs/>
                <w:sz w:val="20"/>
                <w:szCs w:val="20"/>
              </w:rPr>
              <w:t>crisis</w:t>
            </w:r>
            <w:proofErr w:type="spellEnd"/>
          </w:p>
        </w:tc>
        <w:tc>
          <w:tcPr>
            <w:tcW w:w="777" w:type="dxa"/>
            <w:tcBorders>
              <w:top w:val="nil"/>
              <w:left w:val="nil"/>
              <w:bottom w:val="single" w:sz="8" w:space="0" w:color="auto"/>
              <w:right w:val="dotted" w:sz="4" w:space="0" w:color="auto"/>
            </w:tcBorders>
            <w:shd w:val="clear" w:color="000000" w:fill="FFFFFF"/>
            <w:vAlign w:val="bottom"/>
            <w:hideMark/>
          </w:tcPr>
          <w:p w:rsidR="00FB5C78" w:rsidRPr="00FB5C78" w:rsidRDefault="00FB5C78" w:rsidP="00FF5AB8">
            <w:pPr>
              <w:jc w:val="center"/>
              <w:rPr>
                <w:bCs/>
                <w:sz w:val="20"/>
                <w:szCs w:val="20"/>
              </w:rPr>
            </w:pPr>
            <w:proofErr w:type="spellStart"/>
            <w:r w:rsidRPr="00FB5C78">
              <w:rPr>
                <w:bCs/>
                <w:sz w:val="20"/>
                <w:szCs w:val="20"/>
              </w:rPr>
              <w:t>after</w:t>
            </w:r>
            <w:proofErr w:type="spellEnd"/>
            <w:r w:rsidRPr="00FB5C78">
              <w:rPr>
                <w:bCs/>
                <w:sz w:val="20"/>
                <w:szCs w:val="20"/>
              </w:rPr>
              <w:t xml:space="preserve"> </w:t>
            </w:r>
            <w:proofErr w:type="spellStart"/>
            <w:r w:rsidRPr="00FB5C78">
              <w:rPr>
                <w:bCs/>
                <w:sz w:val="20"/>
                <w:szCs w:val="20"/>
              </w:rPr>
              <w:t>crisis</w:t>
            </w:r>
            <w:proofErr w:type="spellEnd"/>
          </w:p>
        </w:tc>
        <w:tc>
          <w:tcPr>
            <w:tcW w:w="844" w:type="dxa"/>
            <w:tcBorders>
              <w:top w:val="nil"/>
              <w:left w:val="nil"/>
              <w:bottom w:val="single" w:sz="8" w:space="0" w:color="auto"/>
              <w:right w:val="dotted" w:sz="4" w:space="0" w:color="auto"/>
            </w:tcBorders>
            <w:shd w:val="clear" w:color="000000" w:fill="FFFFFF"/>
            <w:vAlign w:val="bottom"/>
            <w:hideMark/>
          </w:tcPr>
          <w:p w:rsidR="00FB5C78" w:rsidRPr="00FB5C78" w:rsidRDefault="00FB5C78" w:rsidP="00FF5AB8">
            <w:pPr>
              <w:jc w:val="center"/>
              <w:rPr>
                <w:bCs/>
                <w:sz w:val="20"/>
                <w:szCs w:val="20"/>
              </w:rPr>
            </w:pPr>
            <w:proofErr w:type="spellStart"/>
            <w:r w:rsidRPr="00FB5C78">
              <w:rPr>
                <w:bCs/>
                <w:sz w:val="20"/>
                <w:szCs w:val="20"/>
              </w:rPr>
              <w:t>before</w:t>
            </w:r>
            <w:proofErr w:type="spellEnd"/>
            <w:r w:rsidRPr="00FB5C78">
              <w:rPr>
                <w:bCs/>
                <w:sz w:val="20"/>
                <w:szCs w:val="20"/>
              </w:rPr>
              <w:t xml:space="preserve"> </w:t>
            </w:r>
            <w:proofErr w:type="spellStart"/>
            <w:r w:rsidRPr="00FB5C78">
              <w:rPr>
                <w:bCs/>
                <w:sz w:val="20"/>
                <w:szCs w:val="20"/>
              </w:rPr>
              <w:t>crisis</w:t>
            </w:r>
            <w:proofErr w:type="spellEnd"/>
          </w:p>
        </w:tc>
        <w:tc>
          <w:tcPr>
            <w:tcW w:w="777" w:type="dxa"/>
            <w:tcBorders>
              <w:top w:val="nil"/>
              <w:left w:val="nil"/>
              <w:bottom w:val="single" w:sz="8" w:space="0" w:color="auto"/>
              <w:right w:val="dotted" w:sz="4" w:space="0" w:color="auto"/>
            </w:tcBorders>
            <w:shd w:val="clear" w:color="000000" w:fill="FFFFFF"/>
            <w:vAlign w:val="bottom"/>
            <w:hideMark/>
          </w:tcPr>
          <w:p w:rsidR="00FB5C78" w:rsidRPr="00FB5C78" w:rsidRDefault="00FB5C78" w:rsidP="00FF5AB8">
            <w:pPr>
              <w:jc w:val="center"/>
              <w:rPr>
                <w:bCs/>
                <w:sz w:val="20"/>
                <w:szCs w:val="20"/>
              </w:rPr>
            </w:pPr>
            <w:proofErr w:type="spellStart"/>
            <w:r w:rsidRPr="00FB5C78">
              <w:rPr>
                <w:bCs/>
                <w:sz w:val="20"/>
                <w:szCs w:val="20"/>
              </w:rPr>
              <w:t>after</w:t>
            </w:r>
            <w:proofErr w:type="spellEnd"/>
            <w:r w:rsidRPr="00FB5C78">
              <w:rPr>
                <w:bCs/>
                <w:sz w:val="20"/>
                <w:szCs w:val="20"/>
              </w:rPr>
              <w:t xml:space="preserve"> </w:t>
            </w:r>
            <w:proofErr w:type="spellStart"/>
            <w:r w:rsidRPr="00FB5C78">
              <w:rPr>
                <w:bCs/>
                <w:sz w:val="20"/>
                <w:szCs w:val="20"/>
              </w:rPr>
              <w:t>crisis</w:t>
            </w:r>
            <w:proofErr w:type="spellEnd"/>
          </w:p>
        </w:tc>
      </w:tr>
      <w:tr w:rsidR="00FB5C78" w:rsidRPr="00FB5C78" w:rsidTr="00FB5C78">
        <w:trPr>
          <w:trHeight w:hRule="exact" w:val="307"/>
        </w:trPr>
        <w:tc>
          <w:tcPr>
            <w:tcW w:w="844" w:type="dxa"/>
            <w:tcBorders>
              <w:top w:val="nil"/>
              <w:left w:val="nil"/>
              <w:bottom w:val="nil"/>
              <w:right w:val="nil"/>
            </w:tcBorders>
            <w:shd w:val="clear" w:color="000000" w:fill="FFFFFF"/>
            <w:hideMark/>
          </w:tcPr>
          <w:p w:rsidR="00FB5C78" w:rsidRPr="00FB5C78" w:rsidRDefault="00FB5C78" w:rsidP="00FF5AB8">
            <w:pPr>
              <w:jc w:val="both"/>
              <w:rPr>
                <w:bCs/>
                <w:sz w:val="20"/>
                <w:szCs w:val="20"/>
              </w:rPr>
            </w:pPr>
            <w:r w:rsidRPr="00FB5C78">
              <w:rPr>
                <w:bCs/>
                <w:sz w:val="20"/>
                <w:szCs w:val="20"/>
                <w:lang w:val="en-US"/>
              </w:rPr>
              <w:t>Russia</w:t>
            </w:r>
          </w:p>
        </w:tc>
        <w:tc>
          <w:tcPr>
            <w:tcW w:w="721" w:type="dxa"/>
            <w:tcBorders>
              <w:top w:val="nil"/>
              <w:left w:val="dotted" w:sz="4" w:space="0" w:color="auto"/>
              <w:bottom w:val="nil"/>
              <w:right w:val="dotted" w:sz="4" w:space="0" w:color="auto"/>
            </w:tcBorders>
            <w:shd w:val="clear" w:color="000000" w:fill="FFFFFF"/>
            <w:hideMark/>
          </w:tcPr>
          <w:p w:rsidR="00FB5C78" w:rsidRPr="00FB5C78" w:rsidRDefault="00FB5C78" w:rsidP="00FF5AB8">
            <w:pPr>
              <w:jc w:val="center"/>
              <w:rPr>
                <w:sz w:val="20"/>
                <w:szCs w:val="20"/>
              </w:rPr>
            </w:pPr>
            <w:r w:rsidRPr="00FB5C78">
              <w:rPr>
                <w:sz w:val="20"/>
                <w:szCs w:val="20"/>
              </w:rPr>
              <w:t>0,8148</w:t>
            </w:r>
          </w:p>
        </w:tc>
        <w:tc>
          <w:tcPr>
            <w:tcW w:w="679" w:type="dxa"/>
            <w:tcBorders>
              <w:top w:val="nil"/>
              <w:left w:val="nil"/>
              <w:bottom w:val="nil"/>
              <w:right w:val="dotted" w:sz="4" w:space="0" w:color="auto"/>
            </w:tcBorders>
            <w:shd w:val="clear" w:color="000000" w:fill="FFFFFF"/>
            <w:hideMark/>
          </w:tcPr>
          <w:p w:rsidR="00FB5C78" w:rsidRPr="00FB5C78" w:rsidRDefault="00FB5C78" w:rsidP="00FF5AB8">
            <w:pPr>
              <w:jc w:val="center"/>
              <w:rPr>
                <w:sz w:val="20"/>
                <w:szCs w:val="20"/>
              </w:rPr>
            </w:pPr>
            <w:r w:rsidRPr="00FB5C78">
              <w:rPr>
                <w:sz w:val="20"/>
                <w:szCs w:val="20"/>
              </w:rPr>
              <w:t>0,8723</w:t>
            </w:r>
          </w:p>
        </w:tc>
        <w:tc>
          <w:tcPr>
            <w:tcW w:w="844" w:type="dxa"/>
            <w:tcBorders>
              <w:top w:val="nil"/>
              <w:left w:val="nil"/>
              <w:bottom w:val="nil"/>
              <w:right w:val="dotted" w:sz="4" w:space="0" w:color="auto"/>
            </w:tcBorders>
            <w:shd w:val="clear" w:color="000000" w:fill="FFFFFF"/>
            <w:hideMark/>
          </w:tcPr>
          <w:p w:rsidR="00FB5C78" w:rsidRPr="00FB5C78" w:rsidRDefault="00FB5C78" w:rsidP="00FF5AB8">
            <w:pPr>
              <w:jc w:val="center"/>
              <w:rPr>
                <w:sz w:val="20"/>
                <w:szCs w:val="20"/>
              </w:rPr>
            </w:pPr>
            <w:r w:rsidRPr="00FB5C78">
              <w:rPr>
                <w:sz w:val="20"/>
                <w:szCs w:val="20"/>
              </w:rPr>
              <w:t>0,6498</w:t>
            </w:r>
          </w:p>
        </w:tc>
        <w:tc>
          <w:tcPr>
            <w:tcW w:w="777" w:type="dxa"/>
            <w:tcBorders>
              <w:top w:val="nil"/>
              <w:left w:val="nil"/>
              <w:bottom w:val="nil"/>
              <w:right w:val="dotted" w:sz="4" w:space="0" w:color="auto"/>
            </w:tcBorders>
            <w:shd w:val="clear" w:color="000000" w:fill="FFFFFF"/>
            <w:hideMark/>
          </w:tcPr>
          <w:p w:rsidR="00FB5C78" w:rsidRPr="00FB5C78" w:rsidRDefault="00FB5C78" w:rsidP="00FF5AB8">
            <w:pPr>
              <w:jc w:val="center"/>
              <w:rPr>
                <w:sz w:val="20"/>
                <w:szCs w:val="20"/>
              </w:rPr>
            </w:pPr>
            <w:r w:rsidRPr="00FB5C78">
              <w:rPr>
                <w:sz w:val="20"/>
                <w:szCs w:val="20"/>
              </w:rPr>
              <w:t>0,8217</w:t>
            </w:r>
          </w:p>
        </w:tc>
        <w:tc>
          <w:tcPr>
            <w:tcW w:w="844" w:type="dxa"/>
            <w:tcBorders>
              <w:top w:val="nil"/>
              <w:left w:val="nil"/>
              <w:bottom w:val="nil"/>
              <w:right w:val="dotted" w:sz="4" w:space="0" w:color="auto"/>
            </w:tcBorders>
            <w:shd w:val="clear" w:color="000000" w:fill="FFFFFF"/>
            <w:hideMark/>
          </w:tcPr>
          <w:p w:rsidR="00FB5C78" w:rsidRPr="00FB5C78" w:rsidRDefault="00FB5C78" w:rsidP="00FF5AB8">
            <w:pPr>
              <w:jc w:val="center"/>
              <w:rPr>
                <w:sz w:val="20"/>
                <w:szCs w:val="20"/>
              </w:rPr>
            </w:pPr>
            <w:r w:rsidRPr="00FB5C78">
              <w:rPr>
                <w:sz w:val="20"/>
                <w:szCs w:val="20"/>
              </w:rPr>
              <w:t>0,7073</w:t>
            </w:r>
          </w:p>
        </w:tc>
        <w:tc>
          <w:tcPr>
            <w:tcW w:w="776" w:type="dxa"/>
            <w:tcBorders>
              <w:top w:val="nil"/>
              <w:left w:val="nil"/>
              <w:bottom w:val="nil"/>
              <w:right w:val="dotted" w:sz="4" w:space="0" w:color="auto"/>
            </w:tcBorders>
            <w:shd w:val="clear" w:color="000000" w:fill="FFFFFF"/>
            <w:hideMark/>
          </w:tcPr>
          <w:p w:rsidR="00FB5C78" w:rsidRPr="00FB5C78" w:rsidRDefault="00FB5C78" w:rsidP="00FF5AB8">
            <w:pPr>
              <w:jc w:val="center"/>
              <w:rPr>
                <w:sz w:val="20"/>
                <w:szCs w:val="20"/>
              </w:rPr>
            </w:pPr>
            <w:r w:rsidRPr="00FB5C78">
              <w:rPr>
                <w:sz w:val="20"/>
                <w:szCs w:val="20"/>
              </w:rPr>
              <w:t>0,8817</w:t>
            </w:r>
          </w:p>
        </w:tc>
        <w:tc>
          <w:tcPr>
            <w:tcW w:w="844" w:type="dxa"/>
            <w:tcBorders>
              <w:top w:val="nil"/>
              <w:left w:val="nil"/>
              <w:bottom w:val="nil"/>
              <w:right w:val="dotted" w:sz="4" w:space="0" w:color="auto"/>
            </w:tcBorders>
            <w:shd w:val="clear" w:color="000000" w:fill="FFFFFF"/>
            <w:hideMark/>
          </w:tcPr>
          <w:p w:rsidR="00FB5C78" w:rsidRPr="00FB5C78" w:rsidRDefault="00FB5C78" w:rsidP="00FF5AB8">
            <w:pPr>
              <w:jc w:val="center"/>
              <w:rPr>
                <w:sz w:val="20"/>
                <w:szCs w:val="20"/>
              </w:rPr>
            </w:pPr>
            <w:r w:rsidRPr="00FB5C78">
              <w:rPr>
                <w:sz w:val="20"/>
                <w:szCs w:val="20"/>
              </w:rPr>
              <w:t>0,3428</w:t>
            </w:r>
          </w:p>
        </w:tc>
        <w:tc>
          <w:tcPr>
            <w:tcW w:w="777" w:type="dxa"/>
            <w:tcBorders>
              <w:top w:val="nil"/>
              <w:left w:val="nil"/>
              <w:bottom w:val="nil"/>
              <w:right w:val="dotted" w:sz="4" w:space="0" w:color="auto"/>
            </w:tcBorders>
            <w:shd w:val="clear" w:color="000000" w:fill="FFFFFF"/>
            <w:hideMark/>
          </w:tcPr>
          <w:p w:rsidR="00FB5C78" w:rsidRPr="00FB5C78" w:rsidRDefault="00FB5C78" w:rsidP="00FF5AB8">
            <w:pPr>
              <w:jc w:val="center"/>
              <w:rPr>
                <w:sz w:val="20"/>
                <w:szCs w:val="20"/>
              </w:rPr>
            </w:pPr>
            <w:r w:rsidRPr="00FB5C78">
              <w:rPr>
                <w:sz w:val="20"/>
                <w:szCs w:val="20"/>
              </w:rPr>
              <w:t>0,3821</w:t>
            </w:r>
          </w:p>
        </w:tc>
        <w:tc>
          <w:tcPr>
            <w:tcW w:w="844" w:type="dxa"/>
            <w:tcBorders>
              <w:top w:val="nil"/>
              <w:left w:val="nil"/>
              <w:bottom w:val="nil"/>
              <w:right w:val="dotted" w:sz="4" w:space="0" w:color="auto"/>
            </w:tcBorders>
            <w:shd w:val="clear" w:color="000000" w:fill="FFFFFF"/>
            <w:hideMark/>
          </w:tcPr>
          <w:p w:rsidR="00FB5C78" w:rsidRPr="00FB5C78" w:rsidRDefault="00FB5C78" w:rsidP="00FF5AB8">
            <w:pPr>
              <w:jc w:val="center"/>
              <w:rPr>
                <w:sz w:val="20"/>
                <w:szCs w:val="20"/>
              </w:rPr>
            </w:pPr>
            <w:r w:rsidRPr="00FB5C78">
              <w:rPr>
                <w:sz w:val="20"/>
                <w:szCs w:val="20"/>
              </w:rPr>
              <w:t>0,2091</w:t>
            </w:r>
          </w:p>
        </w:tc>
        <w:tc>
          <w:tcPr>
            <w:tcW w:w="777" w:type="dxa"/>
            <w:tcBorders>
              <w:top w:val="nil"/>
              <w:left w:val="nil"/>
              <w:bottom w:val="nil"/>
              <w:right w:val="dotted" w:sz="4" w:space="0" w:color="auto"/>
            </w:tcBorders>
            <w:shd w:val="clear" w:color="000000" w:fill="FFFFFF"/>
            <w:hideMark/>
          </w:tcPr>
          <w:p w:rsidR="00FB5C78" w:rsidRPr="00FB5C78" w:rsidRDefault="00FB5C78" w:rsidP="00FF5AB8">
            <w:pPr>
              <w:jc w:val="center"/>
              <w:rPr>
                <w:sz w:val="20"/>
                <w:szCs w:val="20"/>
              </w:rPr>
            </w:pPr>
            <w:r w:rsidRPr="00FB5C78">
              <w:rPr>
                <w:sz w:val="20"/>
                <w:szCs w:val="20"/>
              </w:rPr>
              <w:t>0,5932</w:t>
            </w:r>
          </w:p>
        </w:tc>
      </w:tr>
      <w:tr w:rsidR="00FB5C78" w:rsidRPr="00FB5C78" w:rsidTr="00FB5C78">
        <w:trPr>
          <w:trHeight w:val="307"/>
        </w:trPr>
        <w:tc>
          <w:tcPr>
            <w:tcW w:w="844" w:type="dxa"/>
            <w:tcBorders>
              <w:top w:val="nil"/>
              <w:left w:val="nil"/>
              <w:bottom w:val="nil"/>
              <w:right w:val="nil"/>
            </w:tcBorders>
            <w:shd w:val="clear" w:color="000000" w:fill="FFFFFF"/>
            <w:hideMark/>
          </w:tcPr>
          <w:p w:rsidR="00FB5C78" w:rsidRPr="00FB5C78" w:rsidRDefault="00FB5C78" w:rsidP="00FF5AB8">
            <w:pPr>
              <w:jc w:val="both"/>
              <w:rPr>
                <w:bCs/>
                <w:sz w:val="20"/>
                <w:szCs w:val="20"/>
              </w:rPr>
            </w:pPr>
            <w:r w:rsidRPr="00FB5C78">
              <w:rPr>
                <w:bCs/>
                <w:sz w:val="20"/>
                <w:szCs w:val="20"/>
                <w:lang w:val="en-US"/>
              </w:rPr>
              <w:t>Brazil</w:t>
            </w:r>
          </w:p>
        </w:tc>
        <w:tc>
          <w:tcPr>
            <w:tcW w:w="721" w:type="dxa"/>
            <w:tcBorders>
              <w:top w:val="nil"/>
              <w:left w:val="dotted" w:sz="4" w:space="0" w:color="auto"/>
              <w:bottom w:val="nil"/>
              <w:right w:val="dotted" w:sz="4" w:space="0" w:color="auto"/>
            </w:tcBorders>
            <w:shd w:val="clear" w:color="000000" w:fill="FFFFFF"/>
            <w:hideMark/>
          </w:tcPr>
          <w:p w:rsidR="00FB5C78" w:rsidRPr="00FB5C78" w:rsidRDefault="00FB5C78" w:rsidP="00FF5AB8">
            <w:pPr>
              <w:jc w:val="center"/>
              <w:rPr>
                <w:sz w:val="20"/>
                <w:szCs w:val="20"/>
              </w:rPr>
            </w:pPr>
          </w:p>
        </w:tc>
        <w:tc>
          <w:tcPr>
            <w:tcW w:w="679" w:type="dxa"/>
            <w:tcBorders>
              <w:top w:val="nil"/>
              <w:left w:val="nil"/>
              <w:bottom w:val="nil"/>
              <w:right w:val="dotted" w:sz="4" w:space="0" w:color="auto"/>
            </w:tcBorders>
            <w:shd w:val="clear" w:color="000000" w:fill="FFFFFF"/>
            <w:hideMark/>
          </w:tcPr>
          <w:p w:rsidR="00FB5C78" w:rsidRPr="00FB5C78" w:rsidRDefault="00FB5C78" w:rsidP="00FF5AB8">
            <w:pPr>
              <w:jc w:val="center"/>
              <w:rPr>
                <w:sz w:val="20"/>
                <w:szCs w:val="20"/>
              </w:rPr>
            </w:pPr>
          </w:p>
        </w:tc>
        <w:tc>
          <w:tcPr>
            <w:tcW w:w="844" w:type="dxa"/>
            <w:tcBorders>
              <w:top w:val="nil"/>
              <w:left w:val="nil"/>
              <w:bottom w:val="nil"/>
              <w:right w:val="dotted" w:sz="4" w:space="0" w:color="auto"/>
            </w:tcBorders>
            <w:shd w:val="clear" w:color="000000" w:fill="FFFFFF"/>
            <w:hideMark/>
          </w:tcPr>
          <w:p w:rsidR="00FB5C78" w:rsidRPr="00FB5C78" w:rsidRDefault="00FB5C78" w:rsidP="00FF5AB8">
            <w:pPr>
              <w:jc w:val="center"/>
              <w:rPr>
                <w:sz w:val="20"/>
                <w:szCs w:val="20"/>
              </w:rPr>
            </w:pPr>
            <w:r w:rsidRPr="00FB5C78">
              <w:rPr>
                <w:sz w:val="20"/>
                <w:szCs w:val="20"/>
              </w:rPr>
              <w:t>0,8125</w:t>
            </w:r>
          </w:p>
        </w:tc>
        <w:tc>
          <w:tcPr>
            <w:tcW w:w="777" w:type="dxa"/>
            <w:tcBorders>
              <w:top w:val="nil"/>
              <w:left w:val="nil"/>
              <w:bottom w:val="nil"/>
              <w:right w:val="dotted" w:sz="4" w:space="0" w:color="auto"/>
            </w:tcBorders>
            <w:shd w:val="clear" w:color="000000" w:fill="FFFFFF"/>
            <w:hideMark/>
          </w:tcPr>
          <w:p w:rsidR="00FB5C78" w:rsidRPr="00FB5C78" w:rsidRDefault="00FB5C78" w:rsidP="00FF5AB8">
            <w:pPr>
              <w:jc w:val="center"/>
              <w:rPr>
                <w:sz w:val="20"/>
                <w:szCs w:val="20"/>
              </w:rPr>
            </w:pPr>
            <w:r w:rsidRPr="00FB5C78">
              <w:rPr>
                <w:sz w:val="20"/>
                <w:szCs w:val="20"/>
              </w:rPr>
              <w:t>0,8437</w:t>
            </w:r>
          </w:p>
        </w:tc>
        <w:tc>
          <w:tcPr>
            <w:tcW w:w="844" w:type="dxa"/>
            <w:tcBorders>
              <w:top w:val="nil"/>
              <w:left w:val="nil"/>
              <w:bottom w:val="nil"/>
              <w:right w:val="dotted" w:sz="4" w:space="0" w:color="auto"/>
            </w:tcBorders>
            <w:shd w:val="clear" w:color="000000" w:fill="FFFFFF"/>
            <w:hideMark/>
          </w:tcPr>
          <w:p w:rsidR="00FB5C78" w:rsidRPr="00FB5C78" w:rsidRDefault="00FB5C78" w:rsidP="00FF5AB8">
            <w:pPr>
              <w:jc w:val="center"/>
              <w:rPr>
                <w:sz w:val="20"/>
                <w:szCs w:val="20"/>
              </w:rPr>
            </w:pPr>
            <w:r w:rsidRPr="00FB5C78">
              <w:rPr>
                <w:sz w:val="20"/>
                <w:szCs w:val="20"/>
              </w:rPr>
              <w:t>0,6928</w:t>
            </w:r>
          </w:p>
        </w:tc>
        <w:tc>
          <w:tcPr>
            <w:tcW w:w="776" w:type="dxa"/>
            <w:tcBorders>
              <w:top w:val="nil"/>
              <w:left w:val="nil"/>
              <w:bottom w:val="nil"/>
              <w:right w:val="dotted" w:sz="4" w:space="0" w:color="auto"/>
            </w:tcBorders>
            <w:shd w:val="clear" w:color="000000" w:fill="FFFFFF"/>
            <w:hideMark/>
          </w:tcPr>
          <w:p w:rsidR="00FB5C78" w:rsidRPr="00FB5C78" w:rsidRDefault="00FB5C78" w:rsidP="00FF5AB8">
            <w:pPr>
              <w:jc w:val="center"/>
              <w:rPr>
                <w:sz w:val="20"/>
                <w:szCs w:val="20"/>
              </w:rPr>
            </w:pPr>
            <w:r w:rsidRPr="00FB5C78">
              <w:rPr>
                <w:sz w:val="20"/>
                <w:szCs w:val="20"/>
              </w:rPr>
              <w:t>0,8740</w:t>
            </w:r>
          </w:p>
        </w:tc>
        <w:tc>
          <w:tcPr>
            <w:tcW w:w="844" w:type="dxa"/>
            <w:tcBorders>
              <w:top w:val="nil"/>
              <w:left w:val="nil"/>
              <w:bottom w:val="nil"/>
              <w:right w:val="dotted" w:sz="4" w:space="0" w:color="auto"/>
            </w:tcBorders>
            <w:shd w:val="clear" w:color="000000" w:fill="FFFFFF"/>
            <w:hideMark/>
          </w:tcPr>
          <w:p w:rsidR="00FB5C78" w:rsidRPr="00FB5C78" w:rsidRDefault="00FB5C78" w:rsidP="00FF5AB8">
            <w:pPr>
              <w:jc w:val="center"/>
              <w:rPr>
                <w:sz w:val="20"/>
                <w:szCs w:val="20"/>
              </w:rPr>
            </w:pPr>
            <w:r w:rsidRPr="00FB5C78">
              <w:rPr>
                <w:sz w:val="20"/>
                <w:szCs w:val="20"/>
              </w:rPr>
              <w:t>0,4461</w:t>
            </w:r>
          </w:p>
        </w:tc>
        <w:tc>
          <w:tcPr>
            <w:tcW w:w="777" w:type="dxa"/>
            <w:tcBorders>
              <w:top w:val="nil"/>
              <w:left w:val="nil"/>
              <w:bottom w:val="nil"/>
              <w:right w:val="dotted" w:sz="4" w:space="0" w:color="auto"/>
            </w:tcBorders>
            <w:shd w:val="clear" w:color="000000" w:fill="FFFFFF"/>
            <w:hideMark/>
          </w:tcPr>
          <w:p w:rsidR="00FB5C78" w:rsidRPr="00FB5C78" w:rsidRDefault="00FB5C78" w:rsidP="00FF5AB8">
            <w:pPr>
              <w:jc w:val="center"/>
              <w:rPr>
                <w:sz w:val="20"/>
                <w:szCs w:val="20"/>
              </w:rPr>
            </w:pPr>
            <w:r w:rsidRPr="00FB5C78">
              <w:rPr>
                <w:sz w:val="20"/>
                <w:szCs w:val="20"/>
              </w:rPr>
              <w:t>0,4297</w:t>
            </w:r>
          </w:p>
        </w:tc>
        <w:tc>
          <w:tcPr>
            <w:tcW w:w="844" w:type="dxa"/>
            <w:tcBorders>
              <w:top w:val="nil"/>
              <w:left w:val="nil"/>
              <w:bottom w:val="nil"/>
              <w:right w:val="dotted" w:sz="4" w:space="0" w:color="auto"/>
            </w:tcBorders>
            <w:shd w:val="clear" w:color="000000" w:fill="FFFFFF"/>
            <w:noWrap/>
            <w:vAlign w:val="bottom"/>
            <w:hideMark/>
          </w:tcPr>
          <w:p w:rsidR="00FB5C78" w:rsidRPr="00FB5C78" w:rsidRDefault="00FB5C78" w:rsidP="00FF5AB8">
            <w:pPr>
              <w:jc w:val="center"/>
              <w:rPr>
                <w:sz w:val="20"/>
                <w:szCs w:val="20"/>
              </w:rPr>
            </w:pPr>
            <w:r w:rsidRPr="00FB5C78">
              <w:rPr>
                <w:sz w:val="20"/>
                <w:szCs w:val="20"/>
              </w:rPr>
              <w:t>0,2971</w:t>
            </w:r>
          </w:p>
        </w:tc>
        <w:tc>
          <w:tcPr>
            <w:tcW w:w="777" w:type="dxa"/>
            <w:tcBorders>
              <w:top w:val="nil"/>
              <w:left w:val="nil"/>
              <w:bottom w:val="nil"/>
              <w:right w:val="dotted" w:sz="4" w:space="0" w:color="auto"/>
            </w:tcBorders>
            <w:shd w:val="clear" w:color="000000" w:fill="FFFFFF"/>
            <w:noWrap/>
            <w:vAlign w:val="bottom"/>
            <w:hideMark/>
          </w:tcPr>
          <w:p w:rsidR="00FB5C78" w:rsidRPr="00FB5C78" w:rsidRDefault="00FB5C78" w:rsidP="00FF5AB8">
            <w:pPr>
              <w:jc w:val="center"/>
              <w:rPr>
                <w:sz w:val="20"/>
                <w:szCs w:val="20"/>
              </w:rPr>
            </w:pPr>
            <w:r w:rsidRPr="00FB5C78">
              <w:rPr>
                <w:sz w:val="20"/>
                <w:szCs w:val="20"/>
              </w:rPr>
              <w:t>0,6834</w:t>
            </w:r>
          </w:p>
        </w:tc>
      </w:tr>
      <w:tr w:rsidR="00FB5C78" w:rsidRPr="00FB5C78" w:rsidTr="00FB5C78">
        <w:trPr>
          <w:trHeight w:val="307"/>
        </w:trPr>
        <w:tc>
          <w:tcPr>
            <w:tcW w:w="844" w:type="dxa"/>
            <w:tcBorders>
              <w:top w:val="nil"/>
              <w:left w:val="nil"/>
              <w:bottom w:val="nil"/>
              <w:right w:val="nil"/>
            </w:tcBorders>
            <w:shd w:val="clear" w:color="000000" w:fill="FFFFFF"/>
            <w:hideMark/>
          </w:tcPr>
          <w:p w:rsidR="00FB5C78" w:rsidRPr="00FB5C78" w:rsidRDefault="00FB5C78" w:rsidP="00FF5AB8">
            <w:pPr>
              <w:jc w:val="both"/>
              <w:rPr>
                <w:bCs/>
                <w:sz w:val="20"/>
                <w:szCs w:val="20"/>
              </w:rPr>
            </w:pPr>
            <w:r w:rsidRPr="00FB5C78">
              <w:rPr>
                <w:bCs/>
                <w:sz w:val="20"/>
                <w:szCs w:val="20"/>
                <w:lang w:val="en-US"/>
              </w:rPr>
              <w:t>Turkey</w:t>
            </w:r>
          </w:p>
        </w:tc>
        <w:tc>
          <w:tcPr>
            <w:tcW w:w="721" w:type="dxa"/>
            <w:tcBorders>
              <w:top w:val="nil"/>
              <w:left w:val="dotted" w:sz="4" w:space="0" w:color="auto"/>
              <w:bottom w:val="nil"/>
              <w:right w:val="dotted" w:sz="4" w:space="0" w:color="auto"/>
            </w:tcBorders>
            <w:shd w:val="clear" w:color="000000" w:fill="FFFFFF"/>
            <w:hideMark/>
          </w:tcPr>
          <w:p w:rsidR="00FB5C78" w:rsidRPr="00FB5C78" w:rsidRDefault="00FB5C78" w:rsidP="00FF5AB8">
            <w:pPr>
              <w:jc w:val="center"/>
              <w:rPr>
                <w:sz w:val="20"/>
                <w:szCs w:val="20"/>
              </w:rPr>
            </w:pPr>
          </w:p>
        </w:tc>
        <w:tc>
          <w:tcPr>
            <w:tcW w:w="679" w:type="dxa"/>
            <w:tcBorders>
              <w:top w:val="nil"/>
              <w:left w:val="nil"/>
              <w:bottom w:val="nil"/>
              <w:right w:val="dotted" w:sz="4" w:space="0" w:color="auto"/>
            </w:tcBorders>
            <w:shd w:val="clear" w:color="000000" w:fill="FFFFFF"/>
            <w:hideMark/>
          </w:tcPr>
          <w:p w:rsidR="00FB5C78" w:rsidRPr="00FB5C78" w:rsidRDefault="00FB5C78" w:rsidP="00FF5AB8">
            <w:pPr>
              <w:jc w:val="center"/>
              <w:rPr>
                <w:sz w:val="20"/>
                <w:szCs w:val="20"/>
              </w:rPr>
            </w:pPr>
          </w:p>
        </w:tc>
        <w:tc>
          <w:tcPr>
            <w:tcW w:w="844" w:type="dxa"/>
            <w:tcBorders>
              <w:top w:val="nil"/>
              <w:left w:val="nil"/>
              <w:bottom w:val="nil"/>
              <w:right w:val="dotted" w:sz="4" w:space="0" w:color="auto"/>
            </w:tcBorders>
            <w:shd w:val="clear" w:color="000000" w:fill="FFFFFF"/>
            <w:hideMark/>
          </w:tcPr>
          <w:p w:rsidR="00FB5C78" w:rsidRPr="00FB5C78" w:rsidRDefault="00FB5C78" w:rsidP="00FF5AB8">
            <w:pPr>
              <w:jc w:val="center"/>
              <w:rPr>
                <w:sz w:val="20"/>
                <w:szCs w:val="20"/>
              </w:rPr>
            </w:pPr>
          </w:p>
        </w:tc>
        <w:tc>
          <w:tcPr>
            <w:tcW w:w="777" w:type="dxa"/>
            <w:tcBorders>
              <w:top w:val="nil"/>
              <w:left w:val="nil"/>
              <w:bottom w:val="nil"/>
              <w:right w:val="dotted" w:sz="4" w:space="0" w:color="auto"/>
            </w:tcBorders>
            <w:shd w:val="clear" w:color="000000" w:fill="FFFFFF"/>
            <w:hideMark/>
          </w:tcPr>
          <w:p w:rsidR="00FB5C78" w:rsidRPr="00FB5C78" w:rsidRDefault="00FB5C78" w:rsidP="00FF5AB8">
            <w:pPr>
              <w:jc w:val="center"/>
              <w:rPr>
                <w:sz w:val="20"/>
                <w:szCs w:val="20"/>
              </w:rPr>
            </w:pPr>
          </w:p>
        </w:tc>
        <w:tc>
          <w:tcPr>
            <w:tcW w:w="844" w:type="dxa"/>
            <w:tcBorders>
              <w:top w:val="nil"/>
              <w:left w:val="nil"/>
              <w:bottom w:val="nil"/>
              <w:right w:val="dotted" w:sz="4" w:space="0" w:color="auto"/>
            </w:tcBorders>
            <w:shd w:val="clear" w:color="000000" w:fill="FFFFFF"/>
            <w:hideMark/>
          </w:tcPr>
          <w:p w:rsidR="00FB5C78" w:rsidRPr="00FB5C78" w:rsidRDefault="00FB5C78" w:rsidP="00FF5AB8">
            <w:pPr>
              <w:jc w:val="center"/>
              <w:rPr>
                <w:sz w:val="20"/>
                <w:szCs w:val="20"/>
              </w:rPr>
            </w:pPr>
            <w:r w:rsidRPr="00FB5C78">
              <w:rPr>
                <w:sz w:val="20"/>
                <w:szCs w:val="20"/>
              </w:rPr>
              <w:t>0,5824</w:t>
            </w:r>
          </w:p>
        </w:tc>
        <w:tc>
          <w:tcPr>
            <w:tcW w:w="776" w:type="dxa"/>
            <w:tcBorders>
              <w:top w:val="nil"/>
              <w:left w:val="nil"/>
              <w:bottom w:val="nil"/>
              <w:right w:val="dotted" w:sz="4" w:space="0" w:color="auto"/>
            </w:tcBorders>
            <w:shd w:val="clear" w:color="000000" w:fill="FFFFFF"/>
            <w:hideMark/>
          </w:tcPr>
          <w:p w:rsidR="00FB5C78" w:rsidRPr="00FB5C78" w:rsidRDefault="00FB5C78" w:rsidP="00FF5AB8">
            <w:pPr>
              <w:jc w:val="center"/>
              <w:rPr>
                <w:sz w:val="20"/>
                <w:szCs w:val="20"/>
              </w:rPr>
            </w:pPr>
            <w:r w:rsidRPr="00FB5C78">
              <w:rPr>
                <w:sz w:val="20"/>
                <w:szCs w:val="20"/>
              </w:rPr>
              <w:t>0,8694</w:t>
            </w:r>
          </w:p>
        </w:tc>
        <w:tc>
          <w:tcPr>
            <w:tcW w:w="844" w:type="dxa"/>
            <w:tcBorders>
              <w:top w:val="nil"/>
              <w:left w:val="nil"/>
              <w:bottom w:val="nil"/>
              <w:right w:val="dotted" w:sz="4" w:space="0" w:color="auto"/>
            </w:tcBorders>
            <w:shd w:val="clear" w:color="000000" w:fill="FFFFFF"/>
            <w:hideMark/>
          </w:tcPr>
          <w:p w:rsidR="00FB5C78" w:rsidRPr="00FB5C78" w:rsidRDefault="00FB5C78" w:rsidP="00FF5AB8">
            <w:pPr>
              <w:jc w:val="center"/>
              <w:rPr>
                <w:sz w:val="20"/>
                <w:szCs w:val="20"/>
              </w:rPr>
            </w:pPr>
            <w:r w:rsidRPr="00FB5C78">
              <w:rPr>
                <w:sz w:val="20"/>
                <w:szCs w:val="20"/>
              </w:rPr>
              <w:t>0,2944</w:t>
            </w:r>
          </w:p>
        </w:tc>
        <w:tc>
          <w:tcPr>
            <w:tcW w:w="777" w:type="dxa"/>
            <w:tcBorders>
              <w:top w:val="nil"/>
              <w:left w:val="nil"/>
              <w:bottom w:val="nil"/>
              <w:right w:val="dotted" w:sz="4" w:space="0" w:color="auto"/>
            </w:tcBorders>
            <w:shd w:val="clear" w:color="000000" w:fill="FFFFFF"/>
            <w:hideMark/>
          </w:tcPr>
          <w:p w:rsidR="00FB5C78" w:rsidRPr="00FB5C78" w:rsidRDefault="00FB5C78" w:rsidP="00FF5AB8">
            <w:pPr>
              <w:jc w:val="center"/>
              <w:rPr>
                <w:sz w:val="20"/>
                <w:szCs w:val="20"/>
              </w:rPr>
            </w:pPr>
            <w:r w:rsidRPr="00FB5C78">
              <w:rPr>
                <w:sz w:val="20"/>
                <w:szCs w:val="20"/>
              </w:rPr>
              <w:t>0,3000</w:t>
            </w:r>
          </w:p>
        </w:tc>
        <w:tc>
          <w:tcPr>
            <w:tcW w:w="844" w:type="dxa"/>
            <w:tcBorders>
              <w:top w:val="nil"/>
              <w:left w:val="nil"/>
              <w:bottom w:val="nil"/>
              <w:right w:val="dotted" w:sz="4" w:space="0" w:color="auto"/>
            </w:tcBorders>
            <w:shd w:val="clear" w:color="000000" w:fill="FFFFFF"/>
            <w:noWrap/>
            <w:vAlign w:val="bottom"/>
            <w:hideMark/>
          </w:tcPr>
          <w:p w:rsidR="00FB5C78" w:rsidRPr="00FB5C78" w:rsidRDefault="00FB5C78" w:rsidP="00FF5AB8">
            <w:pPr>
              <w:jc w:val="center"/>
              <w:rPr>
                <w:sz w:val="20"/>
                <w:szCs w:val="20"/>
              </w:rPr>
            </w:pPr>
            <w:r w:rsidRPr="00FB5C78">
              <w:rPr>
                <w:sz w:val="20"/>
                <w:szCs w:val="20"/>
              </w:rPr>
              <w:t>0,1534</w:t>
            </w:r>
          </w:p>
        </w:tc>
        <w:tc>
          <w:tcPr>
            <w:tcW w:w="777" w:type="dxa"/>
            <w:tcBorders>
              <w:top w:val="nil"/>
              <w:left w:val="nil"/>
              <w:bottom w:val="nil"/>
              <w:right w:val="dotted" w:sz="4" w:space="0" w:color="auto"/>
            </w:tcBorders>
            <w:shd w:val="clear" w:color="000000" w:fill="FFFFFF"/>
            <w:noWrap/>
            <w:vAlign w:val="bottom"/>
            <w:hideMark/>
          </w:tcPr>
          <w:p w:rsidR="00FB5C78" w:rsidRPr="00FB5C78" w:rsidRDefault="00FB5C78" w:rsidP="00FF5AB8">
            <w:pPr>
              <w:jc w:val="center"/>
              <w:rPr>
                <w:sz w:val="20"/>
                <w:szCs w:val="20"/>
              </w:rPr>
            </w:pPr>
            <w:r w:rsidRPr="00FB5C78">
              <w:rPr>
                <w:sz w:val="20"/>
                <w:szCs w:val="20"/>
              </w:rPr>
              <w:t>0,5403</w:t>
            </w:r>
          </w:p>
        </w:tc>
      </w:tr>
      <w:tr w:rsidR="00FB5C78" w:rsidRPr="00FB5C78" w:rsidTr="00FB5C78">
        <w:trPr>
          <w:trHeight w:val="307"/>
        </w:trPr>
        <w:tc>
          <w:tcPr>
            <w:tcW w:w="844" w:type="dxa"/>
            <w:tcBorders>
              <w:top w:val="nil"/>
              <w:left w:val="nil"/>
              <w:bottom w:val="nil"/>
              <w:right w:val="nil"/>
            </w:tcBorders>
            <w:shd w:val="clear" w:color="000000" w:fill="FFFFFF"/>
            <w:hideMark/>
          </w:tcPr>
          <w:p w:rsidR="00FB5C78" w:rsidRPr="00FB5C78" w:rsidRDefault="00FB5C78" w:rsidP="00FF5AB8">
            <w:pPr>
              <w:rPr>
                <w:bCs/>
                <w:sz w:val="20"/>
                <w:szCs w:val="20"/>
              </w:rPr>
            </w:pPr>
            <w:r w:rsidRPr="00FB5C78">
              <w:rPr>
                <w:bCs/>
                <w:sz w:val="20"/>
                <w:szCs w:val="20"/>
                <w:lang w:val="en-US"/>
              </w:rPr>
              <w:t>Korea</w:t>
            </w:r>
          </w:p>
        </w:tc>
        <w:tc>
          <w:tcPr>
            <w:tcW w:w="721" w:type="dxa"/>
            <w:tcBorders>
              <w:top w:val="nil"/>
              <w:left w:val="dotted" w:sz="4" w:space="0" w:color="auto"/>
              <w:bottom w:val="nil"/>
              <w:right w:val="dotted" w:sz="4" w:space="0" w:color="auto"/>
            </w:tcBorders>
            <w:shd w:val="clear" w:color="000000" w:fill="FFFFFF"/>
            <w:hideMark/>
          </w:tcPr>
          <w:p w:rsidR="00FB5C78" w:rsidRPr="00FB5C78" w:rsidRDefault="00FB5C78" w:rsidP="00FF5AB8">
            <w:pPr>
              <w:jc w:val="center"/>
              <w:rPr>
                <w:sz w:val="20"/>
                <w:szCs w:val="20"/>
              </w:rPr>
            </w:pPr>
          </w:p>
        </w:tc>
        <w:tc>
          <w:tcPr>
            <w:tcW w:w="679" w:type="dxa"/>
            <w:tcBorders>
              <w:top w:val="nil"/>
              <w:left w:val="nil"/>
              <w:bottom w:val="nil"/>
              <w:right w:val="dotted" w:sz="4" w:space="0" w:color="auto"/>
            </w:tcBorders>
            <w:shd w:val="clear" w:color="000000" w:fill="FFFFFF"/>
            <w:hideMark/>
          </w:tcPr>
          <w:p w:rsidR="00FB5C78" w:rsidRPr="00FB5C78" w:rsidRDefault="00FB5C78" w:rsidP="00FF5AB8">
            <w:pPr>
              <w:jc w:val="center"/>
              <w:rPr>
                <w:sz w:val="20"/>
                <w:szCs w:val="20"/>
              </w:rPr>
            </w:pPr>
          </w:p>
        </w:tc>
        <w:tc>
          <w:tcPr>
            <w:tcW w:w="844" w:type="dxa"/>
            <w:tcBorders>
              <w:top w:val="nil"/>
              <w:left w:val="nil"/>
              <w:bottom w:val="nil"/>
              <w:right w:val="dotted" w:sz="4" w:space="0" w:color="auto"/>
            </w:tcBorders>
            <w:shd w:val="clear" w:color="000000" w:fill="FFFFFF"/>
            <w:hideMark/>
          </w:tcPr>
          <w:p w:rsidR="00FB5C78" w:rsidRPr="00FB5C78" w:rsidRDefault="00FB5C78" w:rsidP="00FF5AB8">
            <w:pPr>
              <w:jc w:val="center"/>
              <w:rPr>
                <w:sz w:val="20"/>
                <w:szCs w:val="20"/>
              </w:rPr>
            </w:pPr>
          </w:p>
        </w:tc>
        <w:tc>
          <w:tcPr>
            <w:tcW w:w="777" w:type="dxa"/>
            <w:tcBorders>
              <w:top w:val="nil"/>
              <w:left w:val="nil"/>
              <w:bottom w:val="nil"/>
              <w:right w:val="dotted" w:sz="4" w:space="0" w:color="auto"/>
            </w:tcBorders>
            <w:shd w:val="clear" w:color="000000" w:fill="FFFFFF"/>
            <w:hideMark/>
          </w:tcPr>
          <w:p w:rsidR="00FB5C78" w:rsidRPr="00FB5C78" w:rsidRDefault="00FB5C78" w:rsidP="00FF5AB8">
            <w:pPr>
              <w:jc w:val="center"/>
              <w:rPr>
                <w:sz w:val="20"/>
                <w:szCs w:val="20"/>
              </w:rPr>
            </w:pPr>
          </w:p>
        </w:tc>
        <w:tc>
          <w:tcPr>
            <w:tcW w:w="844" w:type="dxa"/>
            <w:tcBorders>
              <w:top w:val="nil"/>
              <w:left w:val="nil"/>
              <w:bottom w:val="nil"/>
              <w:right w:val="dotted" w:sz="4" w:space="0" w:color="auto"/>
            </w:tcBorders>
            <w:shd w:val="clear" w:color="000000" w:fill="FFFFFF"/>
            <w:hideMark/>
          </w:tcPr>
          <w:p w:rsidR="00FB5C78" w:rsidRPr="00FB5C78" w:rsidRDefault="00FB5C78" w:rsidP="00FF5AB8">
            <w:pPr>
              <w:jc w:val="center"/>
              <w:rPr>
                <w:sz w:val="20"/>
                <w:szCs w:val="20"/>
              </w:rPr>
            </w:pPr>
          </w:p>
        </w:tc>
        <w:tc>
          <w:tcPr>
            <w:tcW w:w="776" w:type="dxa"/>
            <w:tcBorders>
              <w:top w:val="nil"/>
              <w:left w:val="nil"/>
              <w:bottom w:val="nil"/>
              <w:right w:val="dotted" w:sz="4" w:space="0" w:color="auto"/>
            </w:tcBorders>
            <w:shd w:val="clear" w:color="000000" w:fill="FFFFFF"/>
            <w:hideMark/>
          </w:tcPr>
          <w:p w:rsidR="00FB5C78" w:rsidRPr="00FB5C78" w:rsidRDefault="00FB5C78" w:rsidP="00FF5AB8">
            <w:pPr>
              <w:jc w:val="center"/>
              <w:rPr>
                <w:sz w:val="20"/>
                <w:szCs w:val="20"/>
              </w:rPr>
            </w:pPr>
          </w:p>
        </w:tc>
        <w:tc>
          <w:tcPr>
            <w:tcW w:w="844" w:type="dxa"/>
            <w:tcBorders>
              <w:top w:val="nil"/>
              <w:left w:val="nil"/>
              <w:bottom w:val="nil"/>
              <w:right w:val="dotted" w:sz="4" w:space="0" w:color="auto"/>
            </w:tcBorders>
            <w:shd w:val="clear" w:color="000000" w:fill="FFFFFF"/>
            <w:hideMark/>
          </w:tcPr>
          <w:p w:rsidR="00FB5C78" w:rsidRPr="00FB5C78" w:rsidRDefault="00FB5C78" w:rsidP="00FF5AB8">
            <w:pPr>
              <w:jc w:val="center"/>
              <w:rPr>
                <w:sz w:val="20"/>
                <w:szCs w:val="20"/>
              </w:rPr>
            </w:pPr>
            <w:r w:rsidRPr="00FB5C78">
              <w:rPr>
                <w:sz w:val="20"/>
                <w:szCs w:val="20"/>
              </w:rPr>
              <w:t>0,3706</w:t>
            </w:r>
          </w:p>
        </w:tc>
        <w:tc>
          <w:tcPr>
            <w:tcW w:w="777" w:type="dxa"/>
            <w:tcBorders>
              <w:top w:val="nil"/>
              <w:left w:val="nil"/>
              <w:bottom w:val="nil"/>
              <w:right w:val="dotted" w:sz="4" w:space="0" w:color="auto"/>
            </w:tcBorders>
            <w:shd w:val="clear" w:color="000000" w:fill="FFFFFF"/>
            <w:hideMark/>
          </w:tcPr>
          <w:p w:rsidR="00FB5C78" w:rsidRPr="00FB5C78" w:rsidRDefault="00FB5C78" w:rsidP="00FF5AB8">
            <w:pPr>
              <w:jc w:val="center"/>
              <w:rPr>
                <w:sz w:val="20"/>
                <w:szCs w:val="20"/>
              </w:rPr>
            </w:pPr>
            <w:r w:rsidRPr="00FB5C78">
              <w:rPr>
                <w:sz w:val="20"/>
                <w:szCs w:val="20"/>
              </w:rPr>
              <w:t>0,4391</w:t>
            </w:r>
          </w:p>
        </w:tc>
        <w:tc>
          <w:tcPr>
            <w:tcW w:w="844" w:type="dxa"/>
            <w:tcBorders>
              <w:top w:val="nil"/>
              <w:left w:val="nil"/>
              <w:bottom w:val="nil"/>
              <w:right w:val="dotted" w:sz="4" w:space="0" w:color="auto"/>
            </w:tcBorders>
            <w:shd w:val="clear" w:color="000000" w:fill="FFFFFF"/>
            <w:noWrap/>
            <w:vAlign w:val="bottom"/>
            <w:hideMark/>
          </w:tcPr>
          <w:p w:rsidR="00FB5C78" w:rsidRPr="00FB5C78" w:rsidRDefault="00FB5C78" w:rsidP="00FF5AB8">
            <w:pPr>
              <w:jc w:val="center"/>
              <w:rPr>
                <w:sz w:val="20"/>
                <w:szCs w:val="20"/>
              </w:rPr>
            </w:pPr>
            <w:r w:rsidRPr="00FB5C78">
              <w:rPr>
                <w:sz w:val="20"/>
                <w:szCs w:val="20"/>
              </w:rPr>
              <w:t>0,2200</w:t>
            </w:r>
          </w:p>
        </w:tc>
        <w:tc>
          <w:tcPr>
            <w:tcW w:w="777" w:type="dxa"/>
            <w:tcBorders>
              <w:top w:val="nil"/>
              <w:left w:val="nil"/>
              <w:bottom w:val="nil"/>
              <w:right w:val="dotted" w:sz="4" w:space="0" w:color="auto"/>
            </w:tcBorders>
            <w:shd w:val="clear" w:color="000000" w:fill="FFFFFF"/>
            <w:noWrap/>
            <w:vAlign w:val="bottom"/>
            <w:hideMark/>
          </w:tcPr>
          <w:p w:rsidR="00FB5C78" w:rsidRPr="00FB5C78" w:rsidRDefault="00FB5C78" w:rsidP="00FF5AB8">
            <w:pPr>
              <w:jc w:val="center"/>
              <w:rPr>
                <w:sz w:val="20"/>
                <w:szCs w:val="20"/>
              </w:rPr>
            </w:pPr>
            <w:r w:rsidRPr="00FB5C78">
              <w:rPr>
                <w:sz w:val="20"/>
                <w:szCs w:val="20"/>
              </w:rPr>
              <w:t>0,6316</w:t>
            </w:r>
          </w:p>
        </w:tc>
      </w:tr>
      <w:tr w:rsidR="00FB5C78" w:rsidRPr="00FB5C78" w:rsidTr="00FB5C78">
        <w:trPr>
          <w:trHeight w:val="323"/>
        </w:trPr>
        <w:tc>
          <w:tcPr>
            <w:tcW w:w="844" w:type="dxa"/>
            <w:tcBorders>
              <w:top w:val="nil"/>
              <w:left w:val="nil"/>
              <w:bottom w:val="single" w:sz="8" w:space="0" w:color="auto"/>
              <w:right w:val="nil"/>
            </w:tcBorders>
            <w:shd w:val="clear" w:color="000000" w:fill="FFFFFF"/>
            <w:hideMark/>
          </w:tcPr>
          <w:p w:rsidR="00FB5C78" w:rsidRPr="00FB5C78" w:rsidRDefault="00FB5C78" w:rsidP="00FF5AB8">
            <w:pPr>
              <w:jc w:val="both"/>
              <w:rPr>
                <w:bCs/>
                <w:sz w:val="20"/>
                <w:szCs w:val="20"/>
              </w:rPr>
            </w:pPr>
            <w:r w:rsidRPr="00FB5C78">
              <w:rPr>
                <w:bCs/>
                <w:sz w:val="20"/>
                <w:szCs w:val="20"/>
                <w:lang w:val="en-US"/>
              </w:rPr>
              <w:t>Greece</w:t>
            </w:r>
          </w:p>
        </w:tc>
        <w:tc>
          <w:tcPr>
            <w:tcW w:w="721" w:type="dxa"/>
            <w:tcBorders>
              <w:top w:val="nil"/>
              <w:left w:val="dotted" w:sz="4" w:space="0" w:color="auto"/>
              <w:bottom w:val="single" w:sz="8" w:space="0" w:color="auto"/>
              <w:right w:val="dotted" w:sz="4" w:space="0" w:color="auto"/>
            </w:tcBorders>
            <w:shd w:val="clear" w:color="000000" w:fill="FFFFFF"/>
            <w:hideMark/>
          </w:tcPr>
          <w:p w:rsidR="00FB5C78" w:rsidRPr="00FB5C78" w:rsidRDefault="00FB5C78" w:rsidP="00FF5AB8">
            <w:pPr>
              <w:jc w:val="center"/>
              <w:rPr>
                <w:sz w:val="20"/>
                <w:szCs w:val="20"/>
              </w:rPr>
            </w:pPr>
          </w:p>
        </w:tc>
        <w:tc>
          <w:tcPr>
            <w:tcW w:w="679" w:type="dxa"/>
            <w:tcBorders>
              <w:top w:val="nil"/>
              <w:left w:val="nil"/>
              <w:bottom w:val="single" w:sz="8" w:space="0" w:color="auto"/>
              <w:right w:val="dotted" w:sz="4" w:space="0" w:color="auto"/>
            </w:tcBorders>
            <w:shd w:val="clear" w:color="000000" w:fill="FFFFFF"/>
            <w:hideMark/>
          </w:tcPr>
          <w:p w:rsidR="00FB5C78" w:rsidRPr="00FB5C78" w:rsidRDefault="00FB5C78" w:rsidP="00FF5AB8">
            <w:pPr>
              <w:jc w:val="center"/>
              <w:rPr>
                <w:sz w:val="20"/>
                <w:szCs w:val="20"/>
              </w:rPr>
            </w:pPr>
          </w:p>
        </w:tc>
        <w:tc>
          <w:tcPr>
            <w:tcW w:w="844" w:type="dxa"/>
            <w:tcBorders>
              <w:top w:val="nil"/>
              <w:left w:val="nil"/>
              <w:bottom w:val="single" w:sz="8" w:space="0" w:color="auto"/>
              <w:right w:val="dotted" w:sz="4" w:space="0" w:color="auto"/>
            </w:tcBorders>
            <w:shd w:val="clear" w:color="000000" w:fill="FFFFFF"/>
            <w:hideMark/>
          </w:tcPr>
          <w:p w:rsidR="00FB5C78" w:rsidRPr="00FB5C78" w:rsidRDefault="00FB5C78" w:rsidP="00FF5AB8">
            <w:pPr>
              <w:jc w:val="center"/>
              <w:rPr>
                <w:sz w:val="20"/>
                <w:szCs w:val="20"/>
              </w:rPr>
            </w:pPr>
          </w:p>
        </w:tc>
        <w:tc>
          <w:tcPr>
            <w:tcW w:w="777" w:type="dxa"/>
            <w:tcBorders>
              <w:top w:val="nil"/>
              <w:left w:val="nil"/>
              <w:bottom w:val="single" w:sz="8" w:space="0" w:color="auto"/>
              <w:right w:val="dotted" w:sz="4" w:space="0" w:color="auto"/>
            </w:tcBorders>
            <w:shd w:val="clear" w:color="000000" w:fill="FFFFFF"/>
            <w:hideMark/>
          </w:tcPr>
          <w:p w:rsidR="00FB5C78" w:rsidRPr="00FB5C78" w:rsidRDefault="00FB5C78" w:rsidP="00FF5AB8">
            <w:pPr>
              <w:jc w:val="center"/>
              <w:rPr>
                <w:sz w:val="20"/>
                <w:szCs w:val="20"/>
              </w:rPr>
            </w:pPr>
          </w:p>
        </w:tc>
        <w:tc>
          <w:tcPr>
            <w:tcW w:w="844" w:type="dxa"/>
            <w:tcBorders>
              <w:top w:val="nil"/>
              <w:left w:val="nil"/>
              <w:bottom w:val="single" w:sz="8" w:space="0" w:color="auto"/>
              <w:right w:val="dotted" w:sz="4" w:space="0" w:color="auto"/>
            </w:tcBorders>
            <w:shd w:val="clear" w:color="000000" w:fill="FFFFFF"/>
            <w:hideMark/>
          </w:tcPr>
          <w:p w:rsidR="00FB5C78" w:rsidRPr="00FB5C78" w:rsidRDefault="00FB5C78" w:rsidP="00FF5AB8">
            <w:pPr>
              <w:jc w:val="center"/>
              <w:rPr>
                <w:sz w:val="20"/>
                <w:szCs w:val="20"/>
              </w:rPr>
            </w:pPr>
          </w:p>
        </w:tc>
        <w:tc>
          <w:tcPr>
            <w:tcW w:w="776" w:type="dxa"/>
            <w:tcBorders>
              <w:top w:val="nil"/>
              <w:left w:val="nil"/>
              <w:bottom w:val="single" w:sz="8" w:space="0" w:color="auto"/>
              <w:right w:val="dotted" w:sz="4" w:space="0" w:color="auto"/>
            </w:tcBorders>
            <w:shd w:val="clear" w:color="000000" w:fill="FFFFFF"/>
            <w:hideMark/>
          </w:tcPr>
          <w:p w:rsidR="00FB5C78" w:rsidRPr="00FB5C78" w:rsidRDefault="00FB5C78" w:rsidP="00FF5AB8">
            <w:pPr>
              <w:jc w:val="center"/>
              <w:rPr>
                <w:sz w:val="20"/>
                <w:szCs w:val="20"/>
              </w:rPr>
            </w:pPr>
          </w:p>
        </w:tc>
        <w:tc>
          <w:tcPr>
            <w:tcW w:w="844" w:type="dxa"/>
            <w:tcBorders>
              <w:top w:val="nil"/>
              <w:left w:val="nil"/>
              <w:bottom w:val="single" w:sz="8" w:space="0" w:color="auto"/>
              <w:right w:val="dotted" w:sz="4" w:space="0" w:color="auto"/>
            </w:tcBorders>
            <w:shd w:val="clear" w:color="000000" w:fill="FFFFFF"/>
            <w:hideMark/>
          </w:tcPr>
          <w:p w:rsidR="00FB5C78" w:rsidRPr="00FB5C78" w:rsidRDefault="00FB5C78" w:rsidP="00FF5AB8">
            <w:pPr>
              <w:jc w:val="center"/>
              <w:rPr>
                <w:sz w:val="20"/>
                <w:szCs w:val="20"/>
              </w:rPr>
            </w:pPr>
          </w:p>
        </w:tc>
        <w:tc>
          <w:tcPr>
            <w:tcW w:w="777" w:type="dxa"/>
            <w:tcBorders>
              <w:top w:val="nil"/>
              <w:left w:val="nil"/>
              <w:bottom w:val="single" w:sz="8" w:space="0" w:color="auto"/>
              <w:right w:val="dotted" w:sz="4" w:space="0" w:color="auto"/>
            </w:tcBorders>
            <w:shd w:val="clear" w:color="000000" w:fill="FFFFFF"/>
            <w:hideMark/>
          </w:tcPr>
          <w:p w:rsidR="00FB5C78" w:rsidRPr="00FB5C78" w:rsidRDefault="00FB5C78" w:rsidP="00FF5AB8">
            <w:pPr>
              <w:jc w:val="center"/>
              <w:rPr>
                <w:sz w:val="20"/>
                <w:szCs w:val="20"/>
              </w:rPr>
            </w:pPr>
          </w:p>
        </w:tc>
        <w:tc>
          <w:tcPr>
            <w:tcW w:w="844" w:type="dxa"/>
            <w:tcBorders>
              <w:top w:val="nil"/>
              <w:left w:val="nil"/>
              <w:bottom w:val="single" w:sz="8" w:space="0" w:color="auto"/>
              <w:right w:val="dotted" w:sz="4" w:space="0" w:color="auto"/>
            </w:tcBorders>
            <w:shd w:val="clear" w:color="000000" w:fill="FFFFFF"/>
            <w:noWrap/>
            <w:vAlign w:val="bottom"/>
            <w:hideMark/>
          </w:tcPr>
          <w:p w:rsidR="00FB5C78" w:rsidRPr="00FB5C78" w:rsidRDefault="00FB5C78" w:rsidP="00FF5AB8">
            <w:pPr>
              <w:jc w:val="center"/>
              <w:rPr>
                <w:sz w:val="20"/>
                <w:szCs w:val="20"/>
              </w:rPr>
            </w:pPr>
            <w:r w:rsidRPr="00FB5C78">
              <w:rPr>
                <w:sz w:val="20"/>
                <w:szCs w:val="20"/>
              </w:rPr>
              <w:t>0,3596</w:t>
            </w:r>
          </w:p>
        </w:tc>
        <w:tc>
          <w:tcPr>
            <w:tcW w:w="777" w:type="dxa"/>
            <w:tcBorders>
              <w:top w:val="nil"/>
              <w:left w:val="nil"/>
              <w:bottom w:val="single" w:sz="8" w:space="0" w:color="auto"/>
              <w:right w:val="dotted" w:sz="4" w:space="0" w:color="auto"/>
            </w:tcBorders>
            <w:shd w:val="clear" w:color="000000" w:fill="FFFFFF"/>
            <w:noWrap/>
            <w:vAlign w:val="bottom"/>
            <w:hideMark/>
          </w:tcPr>
          <w:p w:rsidR="00FB5C78" w:rsidRPr="00FB5C78" w:rsidRDefault="00FB5C78" w:rsidP="00FF5AB8">
            <w:pPr>
              <w:jc w:val="center"/>
              <w:rPr>
                <w:sz w:val="20"/>
                <w:szCs w:val="20"/>
              </w:rPr>
            </w:pPr>
            <w:r w:rsidRPr="00FB5C78">
              <w:rPr>
                <w:sz w:val="20"/>
                <w:szCs w:val="20"/>
              </w:rPr>
              <w:t>0,5900</w:t>
            </w:r>
          </w:p>
        </w:tc>
      </w:tr>
    </w:tbl>
    <w:p w:rsidR="00FB5C78" w:rsidRPr="00FB5C78" w:rsidRDefault="00FB5C78" w:rsidP="00FB5C78">
      <w:pPr>
        <w:spacing w:after="120"/>
        <w:jc w:val="both"/>
        <w:rPr>
          <w:sz w:val="20"/>
          <w:szCs w:val="20"/>
          <w:lang w:val="en-US"/>
        </w:rPr>
      </w:pPr>
    </w:p>
    <w:p w:rsidR="00FB5C78" w:rsidRPr="00FB5C78" w:rsidRDefault="00FB5C78" w:rsidP="00FB5C78">
      <w:pPr>
        <w:jc w:val="center"/>
        <w:rPr>
          <w:sz w:val="20"/>
          <w:szCs w:val="20"/>
          <w:lang w:val="en-US"/>
        </w:rPr>
      </w:pPr>
      <w:r w:rsidRPr="00FB5C78">
        <w:rPr>
          <w:sz w:val="20"/>
          <w:szCs w:val="20"/>
          <w:lang w:val="en-US"/>
        </w:rPr>
        <w:t>Table 4</w:t>
      </w:r>
    </w:p>
    <w:p w:rsidR="00FB5C78" w:rsidRPr="00FB5C78" w:rsidRDefault="00FB5C78" w:rsidP="00FB5C78">
      <w:pPr>
        <w:jc w:val="center"/>
        <w:rPr>
          <w:sz w:val="20"/>
          <w:szCs w:val="20"/>
          <w:lang w:val="en-US"/>
        </w:rPr>
      </w:pPr>
      <w:r w:rsidRPr="00FB5C78">
        <w:rPr>
          <w:sz w:val="20"/>
          <w:szCs w:val="20"/>
          <w:lang w:val="en-US"/>
        </w:rPr>
        <w:t xml:space="preserve">Principal Component Analysis Results of the Correlation Matrix of Monthly </w:t>
      </w:r>
      <w:proofErr w:type="spellStart"/>
      <w:r w:rsidRPr="00FB5C78">
        <w:rPr>
          <w:sz w:val="20"/>
          <w:szCs w:val="20"/>
          <w:lang w:val="en-US"/>
        </w:rPr>
        <w:t>cds</w:t>
      </w:r>
      <w:proofErr w:type="spellEnd"/>
      <w:r w:rsidRPr="00FB5C78">
        <w:rPr>
          <w:sz w:val="20"/>
          <w:szCs w:val="20"/>
          <w:lang w:val="en-US"/>
        </w:rPr>
        <w:t xml:space="preserve"> spread changes</w:t>
      </w:r>
    </w:p>
    <w:tbl>
      <w:tblPr>
        <w:tblStyle w:val="TabloKlavuzu"/>
        <w:tblW w:w="0" w:type="auto"/>
        <w:jc w:val="center"/>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9"/>
        <w:gridCol w:w="1284"/>
        <w:gridCol w:w="1414"/>
      </w:tblGrid>
      <w:tr w:rsidR="00FB5C78" w:rsidRPr="00FB5C78" w:rsidTr="00FF5AB8">
        <w:trPr>
          <w:jc w:val="center"/>
        </w:trPr>
        <w:tc>
          <w:tcPr>
            <w:tcW w:w="1419" w:type="dxa"/>
            <w:tcBorders>
              <w:top w:val="single" w:sz="4" w:space="0" w:color="auto"/>
              <w:bottom w:val="single" w:sz="4" w:space="0" w:color="auto"/>
            </w:tcBorders>
          </w:tcPr>
          <w:p w:rsidR="00FB5C78" w:rsidRPr="00FB5C78" w:rsidRDefault="00FB5C78" w:rsidP="00FF5AB8">
            <w:pPr>
              <w:spacing w:line="276" w:lineRule="auto"/>
              <w:jc w:val="both"/>
              <w:rPr>
                <w:sz w:val="20"/>
                <w:szCs w:val="20"/>
                <w:lang w:val="en-US"/>
              </w:rPr>
            </w:pPr>
            <w:r w:rsidRPr="00FB5C78">
              <w:rPr>
                <w:sz w:val="20"/>
                <w:szCs w:val="20"/>
                <w:lang w:val="en-US"/>
              </w:rPr>
              <w:t>Principal</w:t>
            </w:r>
          </w:p>
          <w:p w:rsidR="00FB5C78" w:rsidRPr="00FB5C78" w:rsidRDefault="00FB5C78" w:rsidP="00FF5AB8">
            <w:pPr>
              <w:spacing w:line="276" w:lineRule="auto"/>
              <w:jc w:val="both"/>
              <w:rPr>
                <w:sz w:val="20"/>
                <w:szCs w:val="20"/>
                <w:lang w:val="en-US"/>
              </w:rPr>
            </w:pPr>
            <w:r w:rsidRPr="00FB5C78">
              <w:rPr>
                <w:sz w:val="20"/>
                <w:szCs w:val="20"/>
                <w:lang w:val="en-US"/>
              </w:rPr>
              <w:t>Component</w:t>
            </w:r>
          </w:p>
        </w:tc>
        <w:tc>
          <w:tcPr>
            <w:tcW w:w="1284" w:type="dxa"/>
            <w:tcBorders>
              <w:top w:val="single" w:sz="4" w:space="0" w:color="auto"/>
              <w:bottom w:val="single" w:sz="4" w:space="0" w:color="auto"/>
            </w:tcBorders>
          </w:tcPr>
          <w:p w:rsidR="00FB5C78" w:rsidRPr="00FB5C78" w:rsidRDefault="00FB5C78" w:rsidP="00FF5AB8">
            <w:pPr>
              <w:spacing w:line="276" w:lineRule="auto"/>
              <w:jc w:val="right"/>
              <w:rPr>
                <w:sz w:val="20"/>
                <w:szCs w:val="20"/>
                <w:lang w:val="en-US"/>
              </w:rPr>
            </w:pPr>
            <w:r w:rsidRPr="00FB5C78">
              <w:rPr>
                <w:sz w:val="20"/>
                <w:szCs w:val="20"/>
                <w:lang w:val="en-US"/>
              </w:rPr>
              <w:t>Percent</w:t>
            </w:r>
          </w:p>
          <w:p w:rsidR="00FB5C78" w:rsidRPr="00FB5C78" w:rsidRDefault="00FB5C78" w:rsidP="00FF5AB8">
            <w:pPr>
              <w:spacing w:line="276" w:lineRule="auto"/>
              <w:jc w:val="right"/>
              <w:rPr>
                <w:sz w:val="20"/>
                <w:szCs w:val="20"/>
                <w:lang w:val="en-US"/>
              </w:rPr>
            </w:pPr>
            <w:r w:rsidRPr="00FB5C78">
              <w:rPr>
                <w:sz w:val="20"/>
                <w:szCs w:val="20"/>
                <w:lang w:val="en-US"/>
              </w:rPr>
              <w:t>Explained</w:t>
            </w:r>
          </w:p>
        </w:tc>
        <w:tc>
          <w:tcPr>
            <w:tcW w:w="1414" w:type="dxa"/>
            <w:tcBorders>
              <w:top w:val="single" w:sz="4" w:space="0" w:color="auto"/>
              <w:bottom w:val="single" w:sz="4" w:space="0" w:color="auto"/>
            </w:tcBorders>
          </w:tcPr>
          <w:p w:rsidR="00FB5C78" w:rsidRPr="00FB5C78" w:rsidRDefault="00FB5C78" w:rsidP="00FF5AB8">
            <w:pPr>
              <w:spacing w:line="276" w:lineRule="auto"/>
              <w:jc w:val="right"/>
              <w:rPr>
                <w:sz w:val="20"/>
                <w:szCs w:val="20"/>
                <w:lang w:val="en-US"/>
              </w:rPr>
            </w:pPr>
            <w:r w:rsidRPr="00FB5C78">
              <w:rPr>
                <w:sz w:val="20"/>
                <w:szCs w:val="20"/>
                <w:lang w:val="en-US"/>
              </w:rPr>
              <w:t>Total</w:t>
            </w:r>
          </w:p>
        </w:tc>
      </w:tr>
      <w:tr w:rsidR="00FB5C78" w:rsidRPr="00FB5C78" w:rsidTr="00FF5AB8">
        <w:trPr>
          <w:jc w:val="center"/>
        </w:trPr>
        <w:tc>
          <w:tcPr>
            <w:tcW w:w="1419" w:type="dxa"/>
            <w:tcBorders>
              <w:top w:val="single" w:sz="4" w:space="0" w:color="auto"/>
            </w:tcBorders>
          </w:tcPr>
          <w:p w:rsidR="00FB5C78" w:rsidRPr="00FB5C78" w:rsidRDefault="00FB5C78" w:rsidP="00FF5AB8">
            <w:pPr>
              <w:spacing w:line="276" w:lineRule="auto"/>
              <w:jc w:val="both"/>
              <w:rPr>
                <w:sz w:val="20"/>
                <w:szCs w:val="20"/>
                <w:lang w:val="en-US"/>
              </w:rPr>
            </w:pPr>
            <w:r w:rsidRPr="00FB5C78">
              <w:rPr>
                <w:sz w:val="20"/>
                <w:szCs w:val="20"/>
                <w:lang w:val="en-US"/>
              </w:rPr>
              <w:t>First</w:t>
            </w:r>
          </w:p>
        </w:tc>
        <w:tc>
          <w:tcPr>
            <w:tcW w:w="1284" w:type="dxa"/>
            <w:tcBorders>
              <w:top w:val="single" w:sz="4" w:space="0" w:color="auto"/>
            </w:tcBorders>
          </w:tcPr>
          <w:p w:rsidR="00FB5C78" w:rsidRPr="00FB5C78" w:rsidRDefault="00FB5C78" w:rsidP="00FF5AB8">
            <w:pPr>
              <w:spacing w:line="276" w:lineRule="auto"/>
              <w:jc w:val="right"/>
              <w:rPr>
                <w:sz w:val="20"/>
                <w:szCs w:val="20"/>
                <w:lang w:val="en-US"/>
              </w:rPr>
            </w:pPr>
            <w:r w:rsidRPr="00FB5C78">
              <w:rPr>
                <w:sz w:val="20"/>
                <w:szCs w:val="20"/>
                <w:lang w:val="en-US"/>
              </w:rPr>
              <w:t>0,6192</w:t>
            </w:r>
          </w:p>
        </w:tc>
        <w:tc>
          <w:tcPr>
            <w:tcW w:w="1414" w:type="dxa"/>
            <w:tcBorders>
              <w:top w:val="single" w:sz="4" w:space="0" w:color="auto"/>
            </w:tcBorders>
          </w:tcPr>
          <w:p w:rsidR="00FB5C78" w:rsidRPr="00FB5C78" w:rsidRDefault="00FB5C78" w:rsidP="00FF5AB8">
            <w:pPr>
              <w:spacing w:line="276" w:lineRule="auto"/>
              <w:jc w:val="right"/>
              <w:rPr>
                <w:sz w:val="20"/>
                <w:szCs w:val="20"/>
                <w:lang w:val="en-US"/>
              </w:rPr>
            </w:pPr>
            <w:r w:rsidRPr="00FB5C78">
              <w:rPr>
                <w:sz w:val="20"/>
                <w:szCs w:val="20"/>
                <w:lang w:val="en-US"/>
              </w:rPr>
              <w:t>0,6192</w:t>
            </w:r>
          </w:p>
        </w:tc>
      </w:tr>
      <w:tr w:rsidR="00FB5C78" w:rsidRPr="00FB5C78" w:rsidTr="00FF5AB8">
        <w:trPr>
          <w:jc w:val="center"/>
        </w:trPr>
        <w:tc>
          <w:tcPr>
            <w:tcW w:w="1419" w:type="dxa"/>
          </w:tcPr>
          <w:p w:rsidR="00FB5C78" w:rsidRPr="00FB5C78" w:rsidRDefault="00FB5C78" w:rsidP="00FF5AB8">
            <w:pPr>
              <w:spacing w:line="276" w:lineRule="auto"/>
              <w:jc w:val="both"/>
              <w:rPr>
                <w:sz w:val="20"/>
                <w:szCs w:val="20"/>
                <w:lang w:val="en-US"/>
              </w:rPr>
            </w:pPr>
            <w:r w:rsidRPr="00FB5C78">
              <w:rPr>
                <w:sz w:val="20"/>
                <w:szCs w:val="20"/>
                <w:lang w:val="en-US"/>
              </w:rPr>
              <w:t>Second</w:t>
            </w:r>
          </w:p>
        </w:tc>
        <w:tc>
          <w:tcPr>
            <w:tcW w:w="1284" w:type="dxa"/>
          </w:tcPr>
          <w:p w:rsidR="00FB5C78" w:rsidRPr="00FB5C78" w:rsidRDefault="00FB5C78" w:rsidP="00FF5AB8">
            <w:pPr>
              <w:spacing w:line="276" w:lineRule="auto"/>
              <w:jc w:val="right"/>
              <w:rPr>
                <w:sz w:val="20"/>
                <w:szCs w:val="20"/>
                <w:lang w:val="en-US"/>
              </w:rPr>
            </w:pPr>
            <w:r w:rsidRPr="00FB5C78">
              <w:rPr>
                <w:sz w:val="20"/>
                <w:szCs w:val="20"/>
                <w:lang w:val="en-US"/>
              </w:rPr>
              <w:t>0,1707</w:t>
            </w:r>
          </w:p>
        </w:tc>
        <w:tc>
          <w:tcPr>
            <w:tcW w:w="1414" w:type="dxa"/>
          </w:tcPr>
          <w:p w:rsidR="00FB5C78" w:rsidRPr="00FB5C78" w:rsidRDefault="00FB5C78" w:rsidP="00FF5AB8">
            <w:pPr>
              <w:spacing w:line="276" w:lineRule="auto"/>
              <w:jc w:val="right"/>
              <w:rPr>
                <w:sz w:val="20"/>
                <w:szCs w:val="20"/>
                <w:lang w:val="en-US"/>
              </w:rPr>
            </w:pPr>
            <w:r w:rsidRPr="00FB5C78">
              <w:rPr>
                <w:sz w:val="20"/>
                <w:szCs w:val="20"/>
                <w:lang w:val="en-US"/>
              </w:rPr>
              <w:t>0,7899</w:t>
            </w:r>
          </w:p>
        </w:tc>
      </w:tr>
      <w:tr w:rsidR="00FB5C78" w:rsidRPr="00FB5C78" w:rsidTr="00FF5AB8">
        <w:trPr>
          <w:jc w:val="center"/>
        </w:trPr>
        <w:tc>
          <w:tcPr>
            <w:tcW w:w="1419" w:type="dxa"/>
          </w:tcPr>
          <w:p w:rsidR="00FB5C78" w:rsidRPr="00FB5C78" w:rsidRDefault="00FB5C78" w:rsidP="00FF5AB8">
            <w:pPr>
              <w:spacing w:line="276" w:lineRule="auto"/>
              <w:jc w:val="both"/>
              <w:rPr>
                <w:sz w:val="20"/>
                <w:szCs w:val="20"/>
                <w:lang w:val="en-US"/>
              </w:rPr>
            </w:pPr>
            <w:r w:rsidRPr="00FB5C78">
              <w:rPr>
                <w:sz w:val="20"/>
                <w:szCs w:val="20"/>
                <w:lang w:val="en-US"/>
              </w:rPr>
              <w:t>Third</w:t>
            </w:r>
          </w:p>
        </w:tc>
        <w:tc>
          <w:tcPr>
            <w:tcW w:w="1284" w:type="dxa"/>
          </w:tcPr>
          <w:p w:rsidR="00FB5C78" w:rsidRPr="00FB5C78" w:rsidRDefault="00FB5C78" w:rsidP="00FF5AB8">
            <w:pPr>
              <w:spacing w:line="276" w:lineRule="auto"/>
              <w:jc w:val="right"/>
              <w:rPr>
                <w:sz w:val="20"/>
                <w:szCs w:val="20"/>
                <w:lang w:val="en-US"/>
              </w:rPr>
            </w:pPr>
            <w:r w:rsidRPr="00FB5C78">
              <w:rPr>
                <w:sz w:val="20"/>
                <w:szCs w:val="20"/>
                <w:lang w:val="en-US"/>
              </w:rPr>
              <w:t>0,1074</w:t>
            </w:r>
          </w:p>
        </w:tc>
        <w:tc>
          <w:tcPr>
            <w:tcW w:w="1414" w:type="dxa"/>
          </w:tcPr>
          <w:p w:rsidR="00FB5C78" w:rsidRPr="00FB5C78" w:rsidRDefault="00FB5C78" w:rsidP="00FF5AB8">
            <w:pPr>
              <w:spacing w:line="276" w:lineRule="auto"/>
              <w:jc w:val="right"/>
              <w:rPr>
                <w:sz w:val="20"/>
                <w:szCs w:val="20"/>
                <w:lang w:val="en-US"/>
              </w:rPr>
            </w:pPr>
            <w:r w:rsidRPr="00FB5C78">
              <w:rPr>
                <w:sz w:val="20"/>
                <w:szCs w:val="20"/>
                <w:lang w:val="en-US"/>
              </w:rPr>
              <w:t>0,8972</w:t>
            </w:r>
          </w:p>
        </w:tc>
      </w:tr>
      <w:tr w:rsidR="00FB5C78" w:rsidRPr="00FB5C78" w:rsidTr="00FF5AB8">
        <w:trPr>
          <w:jc w:val="center"/>
        </w:trPr>
        <w:tc>
          <w:tcPr>
            <w:tcW w:w="1419" w:type="dxa"/>
          </w:tcPr>
          <w:p w:rsidR="00FB5C78" w:rsidRPr="00FB5C78" w:rsidRDefault="00FB5C78" w:rsidP="00FF5AB8">
            <w:pPr>
              <w:spacing w:line="276" w:lineRule="auto"/>
              <w:jc w:val="both"/>
              <w:rPr>
                <w:sz w:val="20"/>
                <w:szCs w:val="20"/>
                <w:lang w:val="en-US"/>
              </w:rPr>
            </w:pPr>
            <w:r w:rsidRPr="00FB5C78">
              <w:rPr>
                <w:sz w:val="20"/>
                <w:szCs w:val="20"/>
                <w:lang w:val="en-US"/>
              </w:rPr>
              <w:t>Fourth</w:t>
            </w:r>
          </w:p>
        </w:tc>
        <w:tc>
          <w:tcPr>
            <w:tcW w:w="1284" w:type="dxa"/>
          </w:tcPr>
          <w:p w:rsidR="00FB5C78" w:rsidRPr="00FB5C78" w:rsidRDefault="00FB5C78" w:rsidP="00FF5AB8">
            <w:pPr>
              <w:spacing w:line="276" w:lineRule="auto"/>
              <w:jc w:val="right"/>
              <w:rPr>
                <w:sz w:val="20"/>
                <w:szCs w:val="20"/>
                <w:lang w:val="en-US"/>
              </w:rPr>
            </w:pPr>
            <w:r w:rsidRPr="00FB5C78">
              <w:rPr>
                <w:sz w:val="20"/>
                <w:szCs w:val="20"/>
                <w:lang w:val="en-US"/>
              </w:rPr>
              <w:t>0,0515</w:t>
            </w:r>
          </w:p>
        </w:tc>
        <w:tc>
          <w:tcPr>
            <w:tcW w:w="1414" w:type="dxa"/>
          </w:tcPr>
          <w:p w:rsidR="00FB5C78" w:rsidRPr="00FB5C78" w:rsidRDefault="00FB5C78" w:rsidP="00FF5AB8">
            <w:pPr>
              <w:spacing w:line="276" w:lineRule="auto"/>
              <w:jc w:val="right"/>
              <w:rPr>
                <w:sz w:val="20"/>
                <w:szCs w:val="20"/>
                <w:lang w:val="en-US"/>
              </w:rPr>
            </w:pPr>
            <w:r w:rsidRPr="00FB5C78">
              <w:rPr>
                <w:sz w:val="20"/>
                <w:szCs w:val="20"/>
                <w:lang w:val="en-US"/>
              </w:rPr>
              <w:t>0,9788</w:t>
            </w:r>
          </w:p>
        </w:tc>
      </w:tr>
      <w:tr w:rsidR="00FB5C78" w:rsidRPr="00FB5C78" w:rsidTr="00FF5AB8">
        <w:trPr>
          <w:jc w:val="center"/>
        </w:trPr>
        <w:tc>
          <w:tcPr>
            <w:tcW w:w="1419" w:type="dxa"/>
            <w:tcBorders>
              <w:bottom w:val="single" w:sz="4" w:space="0" w:color="auto"/>
            </w:tcBorders>
          </w:tcPr>
          <w:p w:rsidR="00FB5C78" w:rsidRPr="00FB5C78" w:rsidRDefault="00FB5C78" w:rsidP="00FF5AB8">
            <w:pPr>
              <w:spacing w:line="276" w:lineRule="auto"/>
              <w:jc w:val="both"/>
              <w:rPr>
                <w:sz w:val="20"/>
                <w:szCs w:val="20"/>
                <w:lang w:val="en-US"/>
              </w:rPr>
            </w:pPr>
            <w:r w:rsidRPr="00FB5C78">
              <w:rPr>
                <w:sz w:val="20"/>
                <w:szCs w:val="20"/>
                <w:lang w:val="en-US"/>
              </w:rPr>
              <w:t>Fifth</w:t>
            </w:r>
          </w:p>
        </w:tc>
        <w:tc>
          <w:tcPr>
            <w:tcW w:w="1284" w:type="dxa"/>
            <w:tcBorders>
              <w:bottom w:val="single" w:sz="4" w:space="0" w:color="auto"/>
            </w:tcBorders>
          </w:tcPr>
          <w:p w:rsidR="00FB5C78" w:rsidRPr="00FB5C78" w:rsidRDefault="00FB5C78" w:rsidP="00FF5AB8">
            <w:pPr>
              <w:spacing w:line="276" w:lineRule="auto"/>
              <w:jc w:val="right"/>
              <w:rPr>
                <w:sz w:val="20"/>
                <w:szCs w:val="20"/>
                <w:lang w:val="en-US"/>
              </w:rPr>
            </w:pPr>
            <w:r w:rsidRPr="00FB5C78">
              <w:rPr>
                <w:sz w:val="20"/>
                <w:szCs w:val="20"/>
                <w:lang w:val="en-US"/>
              </w:rPr>
              <w:t>0,0212</w:t>
            </w:r>
          </w:p>
        </w:tc>
        <w:tc>
          <w:tcPr>
            <w:tcW w:w="1414" w:type="dxa"/>
            <w:tcBorders>
              <w:bottom w:val="single" w:sz="4" w:space="0" w:color="auto"/>
            </w:tcBorders>
          </w:tcPr>
          <w:p w:rsidR="00FB5C78" w:rsidRPr="00FB5C78" w:rsidRDefault="00FB5C78" w:rsidP="00FF5AB8">
            <w:pPr>
              <w:spacing w:line="276" w:lineRule="auto"/>
              <w:jc w:val="right"/>
              <w:rPr>
                <w:sz w:val="20"/>
                <w:szCs w:val="20"/>
                <w:lang w:val="en-US"/>
              </w:rPr>
            </w:pPr>
            <w:r w:rsidRPr="00FB5C78">
              <w:rPr>
                <w:sz w:val="20"/>
                <w:szCs w:val="20"/>
                <w:lang w:val="en-US"/>
              </w:rPr>
              <w:t>1,0000</w:t>
            </w:r>
          </w:p>
        </w:tc>
      </w:tr>
    </w:tbl>
    <w:p w:rsidR="00FB5C78" w:rsidRPr="00FB5C78" w:rsidRDefault="00FB5C78" w:rsidP="00FB5C78">
      <w:pPr>
        <w:spacing w:after="120"/>
        <w:jc w:val="both"/>
        <w:rPr>
          <w:sz w:val="20"/>
          <w:szCs w:val="20"/>
          <w:lang w:val="en-US"/>
        </w:rPr>
      </w:pPr>
    </w:p>
    <w:p w:rsidR="00FB5C78" w:rsidRPr="00FB5C78" w:rsidRDefault="00FB5C78" w:rsidP="00FB5C78">
      <w:pPr>
        <w:jc w:val="center"/>
        <w:rPr>
          <w:sz w:val="20"/>
          <w:szCs w:val="20"/>
          <w:lang w:val="en-US"/>
        </w:rPr>
      </w:pPr>
      <w:r w:rsidRPr="00FB5C78">
        <w:rPr>
          <w:sz w:val="20"/>
          <w:szCs w:val="20"/>
          <w:lang w:val="en-US"/>
        </w:rPr>
        <w:t>Table 5</w:t>
      </w:r>
    </w:p>
    <w:p w:rsidR="00FB5C78" w:rsidRDefault="00FB5C78" w:rsidP="00FB5C78">
      <w:pPr>
        <w:tabs>
          <w:tab w:val="left" w:pos="199"/>
          <w:tab w:val="center" w:pos="4393"/>
        </w:tabs>
        <w:rPr>
          <w:sz w:val="20"/>
          <w:szCs w:val="20"/>
          <w:lang w:val="en-US"/>
        </w:rPr>
      </w:pPr>
      <w:r>
        <w:rPr>
          <w:sz w:val="20"/>
          <w:szCs w:val="20"/>
          <w:lang w:val="en-US"/>
        </w:rPr>
        <w:tab/>
      </w:r>
      <w:r>
        <w:rPr>
          <w:sz w:val="20"/>
          <w:szCs w:val="20"/>
          <w:lang w:val="en-US"/>
        </w:rPr>
        <w:tab/>
      </w:r>
      <w:r w:rsidRPr="00FB5C78">
        <w:rPr>
          <w:sz w:val="20"/>
          <w:szCs w:val="20"/>
          <w:lang w:val="en-US"/>
        </w:rPr>
        <w:t xml:space="preserve">Correlation Between the Monthly Changes of the Variables and </w:t>
      </w:r>
      <w:proofErr w:type="spellStart"/>
      <w:r w:rsidRPr="00FB5C78">
        <w:rPr>
          <w:sz w:val="20"/>
          <w:szCs w:val="20"/>
          <w:lang w:val="en-US"/>
        </w:rPr>
        <w:t>cds</w:t>
      </w:r>
      <w:proofErr w:type="spellEnd"/>
      <w:r w:rsidRPr="00FB5C78">
        <w:rPr>
          <w:sz w:val="20"/>
          <w:szCs w:val="20"/>
          <w:lang w:val="en-US"/>
        </w:rPr>
        <w:t xml:space="preserve"> Spreads</w:t>
      </w:r>
    </w:p>
    <w:p w:rsidR="00FB5C78" w:rsidRPr="00FB5C78" w:rsidRDefault="00FB5C78" w:rsidP="00FB5C78">
      <w:pPr>
        <w:tabs>
          <w:tab w:val="left" w:pos="199"/>
          <w:tab w:val="center" w:pos="4393"/>
        </w:tabs>
        <w:rPr>
          <w:sz w:val="20"/>
          <w:szCs w:val="20"/>
          <w:lang w:val="en-US"/>
        </w:rPr>
      </w:pPr>
    </w:p>
    <w:tbl>
      <w:tblPr>
        <w:tblStyle w:val="AkGlgeleme"/>
        <w:tblW w:w="8002" w:type="dxa"/>
        <w:jc w:val="center"/>
        <w:tblLook w:val="04A0" w:firstRow="1" w:lastRow="0" w:firstColumn="1" w:lastColumn="0" w:noHBand="0" w:noVBand="1"/>
      </w:tblPr>
      <w:tblGrid>
        <w:gridCol w:w="2495"/>
        <w:gridCol w:w="766"/>
        <w:gridCol w:w="766"/>
        <w:gridCol w:w="794"/>
        <w:gridCol w:w="766"/>
        <w:gridCol w:w="783"/>
        <w:gridCol w:w="766"/>
        <w:gridCol w:w="866"/>
      </w:tblGrid>
      <w:tr w:rsidR="00FB5C78" w:rsidRPr="00FB5C78" w:rsidTr="00FB5C78">
        <w:trPr>
          <w:cnfStyle w:val="100000000000" w:firstRow="1" w:lastRow="0" w:firstColumn="0" w:lastColumn="0" w:oddVBand="0" w:evenVBand="0" w:oddHBand="0" w:evenHBand="0" w:firstRowFirstColumn="0" w:firstRowLastColumn="0" w:lastRowFirstColumn="0" w:lastRowLastColumn="0"/>
          <w:trHeight w:val="277"/>
          <w:jc w:val="center"/>
        </w:trPr>
        <w:tc>
          <w:tcPr>
            <w:cnfStyle w:val="001000000000" w:firstRow="0" w:lastRow="0" w:firstColumn="1" w:lastColumn="0" w:oddVBand="0" w:evenVBand="0" w:oddHBand="0" w:evenHBand="0" w:firstRowFirstColumn="0" w:firstRowLastColumn="0" w:lastRowFirstColumn="0" w:lastRowLastColumn="0"/>
            <w:tcW w:w="2715" w:type="dxa"/>
            <w:shd w:val="clear" w:color="auto" w:fill="auto"/>
          </w:tcPr>
          <w:p w:rsidR="00FB5C78" w:rsidRPr="00FB5C78" w:rsidRDefault="00FB5C78" w:rsidP="00FF5AB8">
            <w:pPr>
              <w:spacing w:line="276" w:lineRule="auto"/>
              <w:jc w:val="both"/>
              <w:rPr>
                <w:b w:val="0"/>
                <w:sz w:val="20"/>
                <w:szCs w:val="20"/>
                <w:lang w:val="en-US"/>
              </w:rPr>
            </w:pPr>
          </w:p>
        </w:tc>
        <w:tc>
          <w:tcPr>
            <w:tcW w:w="748" w:type="dxa"/>
            <w:shd w:val="clear" w:color="auto" w:fill="auto"/>
          </w:tcPr>
          <w:p w:rsidR="00FB5C78" w:rsidRPr="00FB5C78" w:rsidRDefault="00FB5C78" w:rsidP="00FF5AB8">
            <w:pPr>
              <w:spacing w:line="276" w:lineRule="auto"/>
              <w:jc w:val="right"/>
              <w:cnfStyle w:val="100000000000" w:firstRow="1" w:lastRow="0" w:firstColumn="0" w:lastColumn="0" w:oddVBand="0" w:evenVBand="0" w:oddHBand="0" w:evenHBand="0" w:firstRowFirstColumn="0" w:firstRowLastColumn="0" w:lastRowFirstColumn="0" w:lastRowLastColumn="0"/>
              <w:rPr>
                <w:b w:val="0"/>
                <w:sz w:val="20"/>
                <w:szCs w:val="20"/>
                <w:lang w:val="en-US"/>
              </w:rPr>
            </w:pPr>
            <w:r w:rsidRPr="00FB5C78">
              <w:rPr>
                <w:b w:val="0"/>
                <w:sz w:val="20"/>
                <w:szCs w:val="20"/>
                <w:lang w:val="en-US"/>
              </w:rPr>
              <w:t>Russia</w:t>
            </w:r>
          </w:p>
        </w:tc>
        <w:tc>
          <w:tcPr>
            <w:tcW w:w="749" w:type="dxa"/>
            <w:shd w:val="clear" w:color="auto" w:fill="auto"/>
          </w:tcPr>
          <w:p w:rsidR="00FB5C78" w:rsidRPr="00FB5C78" w:rsidRDefault="00FB5C78" w:rsidP="00FF5AB8">
            <w:pPr>
              <w:spacing w:line="276" w:lineRule="auto"/>
              <w:jc w:val="right"/>
              <w:cnfStyle w:val="100000000000" w:firstRow="1" w:lastRow="0" w:firstColumn="0" w:lastColumn="0" w:oddVBand="0" w:evenVBand="0" w:oddHBand="0" w:evenHBand="0" w:firstRowFirstColumn="0" w:firstRowLastColumn="0" w:lastRowFirstColumn="0" w:lastRowLastColumn="0"/>
              <w:rPr>
                <w:b w:val="0"/>
                <w:sz w:val="20"/>
                <w:szCs w:val="20"/>
                <w:lang w:val="en-US"/>
              </w:rPr>
            </w:pPr>
            <w:r w:rsidRPr="00FB5C78">
              <w:rPr>
                <w:b w:val="0"/>
                <w:sz w:val="20"/>
                <w:szCs w:val="20"/>
                <w:lang w:val="en-US"/>
              </w:rPr>
              <w:t>Brazil</w:t>
            </w:r>
          </w:p>
        </w:tc>
        <w:tc>
          <w:tcPr>
            <w:tcW w:w="748" w:type="dxa"/>
            <w:shd w:val="clear" w:color="auto" w:fill="auto"/>
          </w:tcPr>
          <w:p w:rsidR="00FB5C78" w:rsidRPr="00FB5C78" w:rsidRDefault="00FB5C78" w:rsidP="00FF5AB8">
            <w:pPr>
              <w:spacing w:line="276" w:lineRule="auto"/>
              <w:jc w:val="right"/>
              <w:cnfStyle w:val="100000000000" w:firstRow="1" w:lastRow="0" w:firstColumn="0" w:lastColumn="0" w:oddVBand="0" w:evenVBand="0" w:oddHBand="0" w:evenHBand="0" w:firstRowFirstColumn="0" w:firstRowLastColumn="0" w:lastRowFirstColumn="0" w:lastRowLastColumn="0"/>
              <w:rPr>
                <w:b w:val="0"/>
                <w:sz w:val="20"/>
                <w:szCs w:val="20"/>
                <w:lang w:val="en-US"/>
              </w:rPr>
            </w:pPr>
            <w:r w:rsidRPr="00FB5C78">
              <w:rPr>
                <w:b w:val="0"/>
                <w:sz w:val="20"/>
                <w:szCs w:val="20"/>
                <w:lang w:val="en-US"/>
              </w:rPr>
              <w:t>Turkey</w:t>
            </w:r>
          </w:p>
        </w:tc>
        <w:tc>
          <w:tcPr>
            <w:tcW w:w="749" w:type="dxa"/>
            <w:shd w:val="clear" w:color="auto" w:fill="auto"/>
          </w:tcPr>
          <w:p w:rsidR="00FB5C78" w:rsidRPr="00FB5C78" w:rsidRDefault="00FB5C78" w:rsidP="00FF5AB8">
            <w:pPr>
              <w:spacing w:line="276" w:lineRule="auto"/>
              <w:jc w:val="right"/>
              <w:cnfStyle w:val="100000000000" w:firstRow="1" w:lastRow="0" w:firstColumn="0" w:lastColumn="0" w:oddVBand="0" w:evenVBand="0" w:oddHBand="0" w:evenHBand="0" w:firstRowFirstColumn="0" w:firstRowLastColumn="0" w:lastRowFirstColumn="0" w:lastRowLastColumn="0"/>
              <w:rPr>
                <w:b w:val="0"/>
                <w:sz w:val="20"/>
                <w:szCs w:val="20"/>
                <w:lang w:val="en-US"/>
              </w:rPr>
            </w:pPr>
            <w:r w:rsidRPr="00FB5C78">
              <w:rPr>
                <w:b w:val="0"/>
                <w:sz w:val="20"/>
                <w:szCs w:val="20"/>
                <w:lang w:val="en-US"/>
              </w:rPr>
              <w:t>Korea</w:t>
            </w:r>
          </w:p>
        </w:tc>
        <w:tc>
          <w:tcPr>
            <w:tcW w:w="748" w:type="dxa"/>
            <w:shd w:val="clear" w:color="auto" w:fill="auto"/>
          </w:tcPr>
          <w:p w:rsidR="00FB5C78" w:rsidRPr="00FB5C78" w:rsidRDefault="00FB5C78" w:rsidP="00FF5AB8">
            <w:pPr>
              <w:spacing w:line="276" w:lineRule="auto"/>
              <w:jc w:val="right"/>
              <w:cnfStyle w:val="100000000000" w:firstRow="1" w:lastRow="0" w:firstColumn="0" w:lastColumn="0" w:oddVBand="0" w:evenVBand="0" w:oddHBand="0" w:evenHBand="0" w:firstRowFirstColumn="0" w:firstRowLastColumn="0" w:lastRowFirstColumn="0" w:lastRowLastColumn="0"/>
              <w:rPr>
                <w:b w:val="0"/>
                <w:sz w:val="20"/>
                <w:szCs w:val="20"/>
                <w:lang w:val="en-US"/>
              </w:rPr>
            </w:pPr>
            <w:r w:rsidRPr="00FB5C78">
              <w:rPr>
                <w:b w:val="0"/>
                <w:sz w:val="20"/>
                <w:szCs w:val="20"/>
                <w:lang w:val="en-US"/>
              </w:rPr>
              <w:t>Greece</w:t>
            </w:r>
          </w:p>
        </w:tc>
        <w:tc>
          <w:tcPr>
            <w:tcW w:w="749" w:type="dxa"/>
            <w:shd w:val="clear" w:color="auto" w:fill="auto"/>
          </w:tcPr>
          <w:p w:rsidR="00FB5C78" w:rsidRPr="00FB5C78" w:rsidRDefault="00FB5C78" w:rsidP="00FF5AB8">
            <w:pPr>
              <w:spacing w:line="276" w:lineRule="auto"/>
              <w:jc w:val="right"/>
              <w:cnfStyle w:val="100000000000" w:firstRow="1" w:lastRow="0" w:firstColumn="0" w:lastColumn="0" w:oddVBand="0" w:evenVBand="0" w:oddHBand="0" w:evenHBand="0" w:firstRowFirstColumn="0" w:firstRowLastColumn="0" w:lastRowFirstColumn="0" w:lastRowLastColumn="0"/>
              <w:rPr>
                <w:b w:val="0"/>
                <w:sz w:val="20"/>
                <w:szCs w:val="20"/>
                <w:lang w:val="en-US"/>
              </w:rPr>
            </w:pPr>
            <w:r w:rsidRPr="00FB5C78">
              <w:rPr>
                <w:b w:val="0"/>
                <w:sz w:val="20"/>
                <w:szCs w:val="20"/>
                <w:lang w:val="en-US"/>
              </w:rPr>
              <w:t>Spain</w:t>
            </w:r>
          </w:p>
        </w:tc>
        <w:tc>
          <w:tcPr>
            <w:tcW w:w="796" w:type="dxa"/>
            <w:shd w:val="clear" w:color="auto" w:fill="auto"/>
          </w:tcPr>
          <w:p w:rsidR="00FB5C78" w:rsidRPr="00FB5C78" w:rsidRDefault="00FB5C78" w:rsidP="00FF5AB8">
            <w:pPr>
              <w:spacing w:line="276" w:lineRule="auto"/>
              <w:jc w:val="right"/>
              <w:cnfStyle w:val="100000000000" w:firstRow="1" w:lastRow="0" w:firstColumn="0" w:lastColumn="0" w:oddVBand="0" w:evenVBand="0" w:oddHBand="0" w:evenHBand="0" w:firstRowFirstColumn="0" w:firstRowLastColumn="0" w:lastRowFirstColumn="0" w:lastRowLastColumn="0"/>
              <w:rPr>
                <w:b w:val="0"/>
                <w:sz w:val="20"/>
                <w:szCs w:val="20"/>
                <w:lang w:val="en-US"/>
              </w:rPr>
            </w:pPr>
            <w:r w:rsidRPr="00FB5C78">
              <w:rPr>
                <w:b w:val="0"/>
                <w:sz w:val="20"/>
                <w:szCs w:val="20"/>
                <w:lang w:val="en-US"/>
              </w:rPr>
              <w:t>General</w:t>
            </w:r>
          </w:p>
        </w:tc>
      </w:tr>
      <w:tr w:rsidR="00FB5C78" w:rsidRPr="00FB5C78" w:rsidTr="00FB5C78">
        <w:trPr>
          <w:cnfStyle w:val="000000100000" w:firstRow="0" w:lastRow="0" w:firstColumn="0" w:lastColumn="0" w:oddVBand="0" w:evenVBand="0" w:oddHBand="1" w:evenHBand="0" w:firstRowFirstColumn="0" w:firstRowLastColumn="0" w:lastRowFirstColumn="0" w:lastRowLastColumn="0"/>
          <w:trHeight w:val="277"/>
          <w:jc w:val="center"/>
        </w:trPr>
        <w:tc>
          <w:tcPr>
            <w:cnfStyle w:val="001000000000" w:firstRow="0" w:lastRow="0" w:firstColumn="1" w:lastColumn="0" w:oddVBand="0" w:evenVBand="0" w:oddHBand="0" w:evenHBand="0" w:firstRowFirstColumn="0" w:firstRowLastColumn="0" w:lastRowFirstColumn="0" w:lastRowLastColumn="0"/>
            <w:tcW w:w="2715" w:type="dxa"/>
            <w:shd w:val="clear" w:color="auto" w:fill="auto"/>
          </w:tcPr>
          <w:p w:rsidR="00FB5C78" w:rsidRPr="00FB5C78" w:rsidRDefault="00FB5C78" w:rsidP="00FF5AB8">
            <w:pPr>
              <w:spacing w:line="276" w:lineRule="auto"/>
              <w:jc w:val="both"/>
              <w:rPr>
                <w:b w:val="0"/>
                <w:sz w:val="20"/>
                <w:szCs w:val="20"/>
                <w:lang w:val="en-US"/>
              </w:rPr>
            </w:pPr>
            <w:r w:rsidRPr="00FB5C78">
              <w:rPr>
                <w:b w:val="0"/>
                <w:sz w:val="20"/>
                <w:szCs w:val="20"/>
                <w:lang w:val="en-US"/>
              </w:rPr>
              <w:t>FX Rate</w:t>
            </w:r>
          </w:p>
        </w:tc>
        <w:tc>
          <w:tcPr>
            <w:tcW w:w="748" w:type="dxa"/>
            <w:shd w:val="clear" w:color="auto" w:fill="auto"/>
          </w:tcPr>
          <w:p w:rsidR="00FB5C78" w:rsidRPr="00FB5C78" w:rsidRDefault="00FB5C78" w:rsidP="00FF5AB8">
            <w:pPr>
              <w:spacing w:line="276" w:lineRule="auto"/>
              <w:jc w:val="right"/>
              <w:cnfStyle w:val="000000100000" w:firstRow="0" w:lastRow="0" w:firstColumn="0" w:lastColumn="0" w:oddVBand="0" w:evenVBand="0" w:oddHBand="1" w:evenHBand="0" w:firstRowFirstColumn="0" w:firstRowLastColumn="0" w:lastRowFirstColumn="0" w:lastRowLastColumn="0"/>
              <w:rPr>
                <w:sz w:val="20"/>
                <w:szCs w:val="20"/>
                <w:lang w:val="en-US"/>
              </w:rPr>
            </w:pPr>
            <w:r w:rsidRPr="00FB5C78">
              <w:rPr>
                <w:sz w:val="20"/>
                <w:szCs w:val="20"/>
                <w:lang w:val="en-US"/>
              </w:rPr>
              <w:t>0,3789</w:t>
            </w:r>
          </w:p>
        </w:tc>
        <w:tc>
          <w:tcPr>
            <w:tcW w:w="749" w:type="dxa"/>
            <w:shd w:val="clear" w:color="auto" w:fill="auto"/>
          </w:tcPr>
          <w:p w:rsidR="00FB5C78" w:rsidRPr="00FB5C78" w:rsidRDefault="00FB5C78" w:rsidP="00FF5AB8">
            <w:pPr>
              <w:spacing w:line="276" w:lineRule="auto"/>
              <w:jc w:val="right"/>
              <w:cnfStyle w:val="000000100000" w:firstRow="0" w:lastRow="0" w:firstColumn="0" w:lastColumn="0" w:oddVBand="0" w:evenVBand="0" w:oddHBand="1" w:evenHBand="0" w:firstRowFirstColumn="0" w:firstRowLastColumn="0" w:lastRowFirstColumn="0" w:lastRowLastColumn="0"/>
              <w:rPr>
                <w:sz w:val="20"/>
                <w:szCs w:val="20"/>
                <w:lang w:val="en-US"/>
              </w:rPr>
            </w:pPr>
            <w:r w:rsidRPr="00FB5C78">
              <w:rPr>
                <w:sz w:val="20"/>
                <w:szCs w:val="20"/>
                <w:lang w:val="en-US"/>
              </w:rPr>
              <w:t>0,6526</w:t>
            </w:r>
          </w:p>
        </w:tc>
        <w:tc>
          <w:tcPr>
            <w:tcW w:w="748" w:type="dxa"/>
            <w:shd w:val="clear" w:color="auto" w:fill="auto"/>
          </w:tcPr>
          <w:p w:rsidR="00FB5C78" w:rsidRPr="00FB5C78" w:rsidRDefault="00FB5C78" w:rsidP="00FF5AB8">
            <w:pPr>
              <w:spacing w:line="276" w:lineRule="auto"/>
              <w:jc w:val="right"/>
              <w:cnfStyle w:val="000000100000" w:firstRow="0" w:lastRow="0" w:firstColumn="0" w:lastColumn="0" w:oddVBand="0" w:evenVBand="0" w:oddHBand="1" w:evenHBand="0" w:firstRowFirstColumn="0" w:firstRowLastColumn="0" w:lastRowFirstColumn="0" w:lastRowLastColumn="0"/>
              <w:rPr>
                <w:sz w:val="20"/>
                <w:szCs w:val="20"/>
                <w:lang w:val="en-US"/>
              </w:rPr>
            </w:pPr>
            <w:r w:rsidRPr="00FB5C78">
              <w:rPr>
                <w:sz w:val="20"/>
                <w:szCs w:val="20"/>
                <w:lang w:val="en-US"/>
              </w:rPr>
              <w:t>0,7760</w:t>
            </w:r>
          </w:p>
        </w:tc>
        <w:tc>
          <w:tcPr>
            <w:tcW w:w="749" w:type="dxa"/>
            <w:shd w:val="clear" w:color="auto" w:fill="auto"/>
          </w:tcPr>
          <w:p w:rsidR="00FB5C78" w:rsidRPr="00FB5C78" w:rsidRDefault="00FB5C78" w:rsidP="00FF5AB8">
            <w:pPr>
              <w:spacing w:line="276" w:lineRule="auto"/>
              <w:jc w:val="right"/>
              <w:cnfStyle w:val="000000100000" w:firstRow="0" w:lastRow="0" w:firstColumn="0" w:lastColumn="0" w:oddVBand="0" w:evenVBand="0" w:oddHBand="1" w:evenHBand="0" w:firstRowFirstColumn="0" w:firstRowLastColumn="0" w:lastRowFirstColumn="0" w:lastRowLastColumn="0"/>
              <w:rPr>
                <w:sz w:val="20"/>
                <w:szCs w:val="20"/>
                <w:lang w:val="en-US"/>
              </w:rPr>
            </w:pPr>
            <w:r w:rsidRPr="00FB5C78">
              <w:rPr>
                <w:sz w:val="20"/>
                <w:szCs w:val="20"/>
                <w:lang w:val="en-US"/>
              </w:rPr>
              <w:t>0,6057</w:t>
            </w:r>
          </w:p>
        </w:tc>
        <w:tc>
          <w:tcPr>
            <w:tcW w:w="748" w:type="dxa"/>
            <w:shd w:val="clear" w:color="auto" w:fill="auto"/>
          </w:tcPr>
          <w:p w:rsidR="00FB5C78" w:rsidRPr="00FB5C78" w:rsidRDefault="00FB5C78" w:rsidP="00FF5AB8">
            <w:pPr>
              <w:spacing w:line="276" w:lineRule="auto"/>
              <w:jc w:val="right"/>
              <w:cnfStyle w:val="000000100000" w:firstRow="0" w:lastRow="0" w:firstColumn="0" w:lastColumn="0" w:oddVBand="0" w:evenVBand="0" w:oddHBand="1" w:evenHBand="0" w:firstRowFirstColumn="0" w:firstRowLastColumn="0" w:lastRowFirstColumn="0" w:lastRowLastColumn="0"/>
              <w:rPr>
                <w:sz w:val="20"/>
                <w:szCs w:val="20"/>
                <w:lang w:val="en-US"/>
              </w:rPr>
            </w:pPr>
            <w:r w:rsidRPr="00FB5C78">
              <w:rPr>
                <w:sz w:val="20"/>
                <w:szCs w:val="20"/>
                <w:lang w:val="en-US"/>
              </w:rPr>
              <w:t>0,3267</w:t>
            </w:r>
          </w:p>
        </w:tc>
        <w:tc>
          <w:tcPr>
            <w:tcW w:w="749" w:type="dxa"/>
            <w:shd w:val="clear" w:color="auto" w:fill="auto"/>
          </w:tcPr>
          <w:p w:rsidR="00FB5C78" w:rsidRPr="00FB5C78" w:rsidRDefault="00FB5C78" w:rsidP="00FF5AB8">
            <w:pPr>
              <w:spacing w:line="276" w:lineRule="auto"/>
              <w:jc w:val="right"/>
              <w:cnfStyle w:val="000000100000" w:firstRow="0" w:lastRow="0" w:firstColumn="0" w:lastColumn="0" w:oddVBand="0" w:evenVBand="0" w:oddHBand="1" w:evenHBand="0" w:firstRowFirstColumn="0" w:firstRowLastColumn="0" w:lastRowFirstColumn="0" w:lastRowLastColumn="0"/>
              <w:rPr>
                <w:sz w:val="20"/>
                <w:szCs w:val="20"/>
                <w:lang w:val="en-US"/>
              </w:rPr>
            </w:pPr>
            <w:r w:rsidRPr="00FB5C78">
              <w:rPr>
                <w:sz w:val="20"/>
                <w:szCs w:val="20"/>
                <w:lang w:val="en-US"/>
              </w:rPr>
              <w:t>0,2071</w:t>
            </w:r>
          </w:p>
        </w:tc>
        <w:tc>
          <w:tcPr>
            <w:tcW w:w="796" w:type="dxa"/>
            <w:shd w:val="clear" w:color="auto" w:fill="auto"/>
          </w:tcPr>
          <w:p w:rsidR="00FB5C78" w:rsidRPr="00FB5C78" w:rsidRDefault="00FB5C78" w:rsidP="00FF5AB8">
            <w:pPr>
              <w:spacing w:line="276" w:lineRule="auto"/>
              <w:jc w:val="right"/>
              <w:cnfStyle w:val="000000100000" w:firstRow="0" w:lastRow="0" w:firstColumn="0" w:lastColumn="0" w:oddVBand="0" w:evenVBand="0" w:oddHBand="1" w:evenHBand="0" w:firstRowFirstColumn="0" w:firstRowLastColumn="0" w:lastRowFirstColumn="0" w:lastRowLastColumn="0"/>
              <w:rPr>
                <w:sz w:val="20"/>
                <w:szCs w:val="20"/>
                <w:lang w:val="en-US"/>
              </w:rPr>
            </w:pPr>
            <w:r w:rsidRPr="00FB5C78">
              <w:rPr>
                <w:sz w:val="20"/>
                <w:szCs w:val="20"/>
                <w:lang w:val="en-US"/>
              </w:rPr>
              <w:t>0,5311</w:t>
            </w:r>
          </w:p>
        </w:tc>
      </w:tr>
      <w:tr w:rsidR="00FB5C78" w:rsidRPr="00FB5C78" w:rsidTr="00FB5C78">
        <w:trPr>
          <w:trHeight w:val="261"/>
          <w:jc w:val="center"/>
        </w:trPr>
        <w:tc>
          <w:tcPr>
            <w:cnfStyle w:val="001000000000" w:firstRow="0" w:lastRow="0" w:firstColumn="1" w:lastColumn="0" w:oddVBand="0" w:evenVBand="0" w:oddHBand="0" w:evenHBand="0" w:firstRowFirstColumn="0" w:firstRowLastColumn="0" w:lastRowFirstColumn="0" w:lastRowLastColumn="0"/>
            <w:tcW w:w="2715" w:type="dxa"/>
            <w:shd w:val="clear" w:color="auto" w:fill="auto"/>
          </w:tcPr>
          <w:p w:rsidR="00FB5C78" w:rsidRPr="00FB5C78" w:rsidRDefault="00FB5C78" w:rsidP="00FF5AB8">
            <w:pPr>
              <w:spacing w:line="276" w:lineRule="auto"/>
              <w:jc w:val="both"/>
              <w:rPr>
                <w:b w:val="0"/>
                <w:sz w:val="20"/>
                <w:szCs w:val="20"/>
                <w:lang w:val="en-US"/>
              </w:rPr>
            </w:pPr>
            <w:r w:rsidRPr="00FB5C78">
              <w:rPr>
                <w:b w:val="0"/>
                <w:sz w:val="20"/>
                <w:szCs w:val="20"/>
                <w:lang w:val="en-US"/>
              </w:rPr>
              <w:t>FX Reserves</w:t>
            </w:r>
          </w:p>
        </w:tc>
        <w:tc>
          <w:tcPr>
            <w:tcW w:w="748" w:type="dxa"/>
            <w:shd w:val="clear" w:color="auto" w:fill="auto"/>
          </w:tcPr>
          <w:p w:rsidR="00FB5C78" w:rsidRPr="00FB5C78" w:rsidRDefault="00FB5C78" w:rsidP="00FF5AB8">
            <w:pPr>
              <w:spacing w:line="276" w:lineRule="auto"/>
              <w:jc w:val="right"/>
              <w:cnfStyle w:val="000000000000" w:firstRow="0" w:lastRow="0" w:firstColumn="0" w:lastColumn="0" w:oddVBand="0" w:evenVBand="0" w:oddHBand="0" w:evenHBand="0" w:firstRowFirstColumn="0" w:firstRowLastColumn="0" w:lastRowFirstColumn="0" w:lastRowLastColumn="0"/>
              <w:rPr>
                <w:sz w:val="20"/>
                <w:szCs w:val="20"/>
                <w:lang w:val="en-US"/>
              </w:rPr>
            </w:pPr>
            <w:r w:rsidRPr="00FB5C78">
              <w:rPr>
                <w:sz w:val="20"/>
                <w:szCs w:val="20"/>
                <w:lang w:val="en-US"/>
              </w:rPr>
              <w:t>-0,0666</w:t>
            </w:r>
          </w:p>
        </w:tc>
        <w:tc>
          <w:tcPr>
            <w:tcW w:w="749" w:type="dxa"/>
            <w:shd w:val="clear" w:color="auto" w:fill="auto"/>
          </w:tcPr>
          <w:p w:rsidR="00FB5C78" w:rsidRPr="00FB5C78" w:rsidRDefault="00FB5C78" w:rsidP="00FF5AB8">
            <w:pPr>
              <w:spacing w:line="276" w:lineRule="auto"/>
              <w:jc w:val="right"/>
              <w:cnfStyle w:val="000000000000" w:firstRow="0" w:lastRow="0" w:firstColumn="0" w:lastColumn="0" w:oddVBand="0" w:evenVBand="0" w:oddHBand="0" w:evenHBand="0" w:firstRowFirstColumn="0" w:firstRowLastColumn="0" w:lastRowFirstColumn="0" w:lastRowLastColumn="0"/>
              <w:rPr>
                <w:sz w:val="20"/>
                <w:szCs w:val="20"/>
                <w:lang w:val="en-US"/>
              </w:rPr>
            </w:pPr>
            <w:r w:rsidRPr="00FB5C78">
              <w:rPr>
                <w:sz w:val="20"/>
                <w:szCs w:val="20"/>
                <w:lang w:val="en-US"/>
              </w:rPr>
              <w:t>-0,1573</w:t>
            </w:r>
          </w:p>
        </w:tc>
        <w:tc>
          <w:tcPr>
            <w:tcW w:w="748" w:type="dxa"/>
            <w:shd w:val="clear" w:color="auto" w:fill="auto"/>
          </w:tcPr>
          <w:p w:rsidR="00FB5C78" w:rsidRPr="00FB5C78" w:rsidRDefault="00FB5C78" w:rsidP="00FF5AB8">
            <w:pPr>
              <w:spacing w:line="276" w:lineRule="auto"/>
              <w:jc w:val="right"/>
              <w:cnfStyle w:val="000000000000" w:firstRow="0" w:lastRow="0" w:firstColumn="0" w:lastColumn="0" w:oddVBand="0" w:evenVBand="0" w:oddHBand="0" w:evenHBand="0" w:firstRowFirstColumn="0" w:firstRowLastColumn="0" w:lastRowFirstColumn="0" w:lastRowLastColumn="0"/>
              <w:rPr>
                <w:sz w:val="20"/>
                <w:szCs w:val="20"/>
                <w:lang w:val="en-US"/>
              </w:rPr>
            </w:pPr>
            <w:r w:rsidRPr="00FB5C78">
              <w:rPr>
                <w:sz w:val="20"/>
                <w:szCs w:val="20"/>
                <w:lang w:val="en-US"/>
              </w:rPr>
              <w:t>0,0191</w:t>
            </w:r>
          </w:p>
        </w:tc>
        <w:tc>
          <w:tcPr>
            <w:tcW w:w="749" w:type="dxa"/>
            <w:shd w:val="clear" w:color="auto" w:fill="auto"/>
          </w:tcPr>
          <w:p w:rsidR="00FB5C78" w:rsidRPr="00FB5C78" w:rsidRDefault="00FB5C78" w:rsidP="00FF5AB8">
            <w:pPr>
              <w:spacing w:line="276" w:lineRule="auto"/>
              <w:jc w:val="right"/>
              <w:cnfStyle w:val="000000000000" w:firstRow="0" w:lastRow="0" w:firstColumn="0" w:lastColumn="0" w:oddVBand="0" w:evenVBand="0" w:oddHBand="0" w:evenHBand="0" w:firstRowFirstColumn="0" w:firstRowLastColumn="0" w:lastRowFirstColumn="0" w:lastRowLastColumn="0"/>
              <w:rPr>
                <w:sz w:val="20"/>
                <w:szCs w:val="20"/>
                <w:lang w:val="en-US"/>
              </w:rPr>
            </w:pPr>
            <w:r w:rsidRPr="00FB5C78">
              <w:rPr>
                <w:sz w:val="20"/>
                <w:szCs w:val="20"/>
                <w:lang w:val="en-US"/>
              </w:rPr>
              <w:t>0,0284</w:t>
            </w:r>
          </w:p>
        </w:tc>
        <w:tc>
          <w:tcPr>
            <w:tcW w:w="748" w:type="dxa"/>
            <w:shd w:val="clear" w:color="auto" w:fill="auto"/>
          </w:tcPr>
          <w:p w:rsidR="00FB5C78" w:rsidRPr="00FB5C78" w:rsidRDefault="00FB5C78" w:rsidP="00FF5AB8">
            <w:pPr>
              <w:spacing w:line="276" w:lineRule="auto"/>
              <w:jc w:val="right"/>
              <w:cnfStyle w:val="000000000000" w:firstRow="0" w:lastRow="0" w:firstColumn="0" w:lastColumn="0" w:oddVBand="0" w:evenVBand="0" w:oddHBand="0" w:evenHBand="0" w:firstRowFirstColumn="0" w:firstRowLastColumn="0" w:lastRowFirstColumn="0" w:lastRowLastColumn="0"/>
              <w:rPr>
                <w:sz w:val="20"/>
                <w:szCs w:val="20"/>
                <w:lang w:val="en-US"/>
              </w:rPr>
            </w:pPr>
            <w:r w:rsidRPr="00FB5C78">
              <w:rPr>
                <w:sz w:val="20"/>
                <w:szCs w:val="20"/>
                <w:lang w:val="en-US"/>
              </w:rPr>
              <w:t>0,3127</w:t>
            </w:r>
          </w:p>
        </w:tc>
        <w:tc>
          <w:tcPr>
            <w:tcW w:w="749" w:type="dxa"/>
            <w:shd w:val="clear" w:color="auto" w:fill="auto"/>
          </w:tcPr>
          <w:p w:rsidR="00FB5C78" w:rsidRPr="00FB5C78" w:rsidRDefault="00FB5C78" w:rsidP="00FF5AB8">
            <w:pPr>
              <w:spacing w:line="276" w:lineRule="auto"/>
              <w:jc w:val="right"/>
              <w:cnfStyle w:val="000000000000" w:firstRow="0" w:lastRow="0" w:firstColumn="0" w:lastColumn="0" w:oddVBand="0" w:evenVBand="0" w:oddHBand="0" w:evenHBand="0" w:firstRowFirstColumn="0" w:firstRowLastColumn="0" w:lastRowFirstColumn="0" w:lastRowLastColumn="0"/>
              <w:rPr>
                <w:sz w:val="20"/>
                <w:szCs w:val="20"/>
                <w:lang w:val="en-US"/>
              </w:rPr>
            </w:pPr>
            <w:r w:rsidRPr="00FB5C78">
              <w:rPr>
                <w:sz w:val="20"/>
                <w:szCs w:val="20"/>
                <w:lang w:val="en-US"/>
              </w:rPr>
              <w:t>-0,0052</w:t>
            </w:r>
          </w:p>
        </w:tc>
        <w:tc>
          <w:tcPr>
            <w:tcW w:w="796" w:type="dxa"/>
            <w:shd w:val="clear" w:color="auto" w:fill="auto"/>
          </w:tcPr>
          <w:p w:rsidR="00FB5C78" w:rsidRPr="00FB5C78" w:rsidRDefault="00FB5C78" w:rsidP="00FF5AB8">
            <w:pPr>
              <w:spacing w:line="276" w:lineRule="auto"/>
              <w:jc w:val="right"/>
              <w:cnfStyle w:val="000000000000" w:firstRow="0" w:lastRow="0" w:firstColumn="0" w:lastColumn="0" w:oddVBand="0" w:evenVBand="0" w:oddHBand="0" w:evenHBand="0" w:firstRowFirstColumn="0" w:firstRowLastColumn="0" w:lastRowFirstColumn="0" w:lastRowLastColumn="0"/>
              <w:rPr>
                <w:sz w:val="20"/>
                <w:szCs w:val="20"/>
                <w:lang w:val="en-US"/>
              </w:rPr>
            </w:pPr>
            <w:r w:rsidRPr="00FB5C78">
              <w:rPr>
                <w:sz w:val="20"/>
                <w:szCs w:val="20"/>
                <w:lang w:val="en-US"/>
              </w:rPr>
              <w:t>-0,0006</w:t>
            </w:r>
          </w:p>
        </w:tc>
      </w:tr>
      <w:tr w:rsidR="00FB5C78" w:rsidRPr="00FB5C78" w:rsidTr="00FB5C78">
        <w:trPr>
          <w:cnfStyle w:val="000000100000" w:firstRow="0" w:lastRow="0" w:firstColumn="0" w:lastColumn="0" w:oddVBand="0" w:evenVBand="0" w:oddHBand="1" w:evenHBand="0" w:firstRowFirstColumn="0" w:firstRowLastColumn="0" w:lastRowFirstColumn="0" w:lastRowLastColumn="0"/>
          <w:trHeight w:val="277"/>
          <w:jc w:val="center"/>
        </w:trPr>
        <w:tc>
          <w:tcPr>
            <w:cnfStyle w:val="001000000000" w:firstRow="0" w:lastRow="0" w:firstColumn="1" w:lastColumn="0" w:oddVBand="0" w:evenVBand="0" w:oddHBand="0" w:evenHBand="0" w:firstRowFirstColumn="0" w:firstRowLastColumn="0" w:lastRowFirstColumn="0" w:lastRowLastColumn="0"/>
            <w:tcW w:w="2715" w:type="dxa"/>
            <w:shd w:val="clear" w:color="auto" w:fill="auto"/>
          </w:tcPr>
          <w:p w:rsidR="00FB5C78" w:rsidRPr="00FB5C78" w:rsidRDefault="00FB5C78" w:rsidP="00FF5AB8">
            <w:pPr>
              <w:spacing w:line="276" w:lineRule="auto"/>
              <w:jc w:val="both"/>
              <w:rPr>
                <w:b w:val="0"/>
                <w:sz w:val="20"/>
                <w:szCs w:val="20"/>
                <w:lang w:val="en-US"/>
              </w:rPr>
            </w:pPr>
            <w:r w:rsidRPr="00FB5C78">
              <w:rPr>
                <w:b w:val="0"/>
                <w:sz w:val="20"/>
                <w:szCs w:val="20"/>
                <w:lang w:val="en-US"/>
              </w:rPr>
              <w:t>External Debt</w:t>
            </w:r>
          </w:p>
        </w:tc>
        <w:tc>
          <w:tcPr>
            <w:tcW w:w="748" w:type="dxa"/>
            <w:shd w:val="clear" w:color="auto" w:fill="auto"/>
          </w:tcPr>
          <w:p w:rsidR="00FB5C78" w:rsidRPr="00FB5C78" w:rsidRDefault="00FB5C78" w:rsidP="00FF5AB8">
            <w:pPr>
              <w:spacing w:line="276" w:lineRule="auto"/>
              <w:jc w:val="right"/>
              <w:cnfStyle w:val="000000100000" w:firstRow="0" w:lastRow="0" w:firstColumn="0" w:lastColumn="0" w:oddVBand="0" w:evenVBand="0" w:oddHBand="1" w:evenHBand="0" w:firstRowFirstColumn="0" w:firstRowLastColumn="0" w:lastRowFirstColumn="0" w:lastRowLastColumn="0"/>
              <w:rPr>
                <w:sz w:val="20"/>
                <w:szCs w:val="20"/>
                <w:lang w:val="en-US"/>
              </w:rPr>
            </w:pPr>
            <w:r w:rsidRPr="00FB5C78">
              <w:rPr>
                <w:sz w:val="20"/>
                <w:szCs w:val="20"/>
                <w:lang w:val="en-US"/>
              </w:rPr>
              <w:t>-0,0711</w:t>
            </w:r>
          </w:p>
        </w:tc>
        <w:tc>
          <w:tcPr>
            <w:tcW w:w="749" w:type="dxa"/>
            <w:shd w:val="clear" w:color="auto" w:fill="auto"/>
          </w:tcPr>
          <w:p w:rsidR="00FB5C78" w:rsidRPr="00FB5C78" w:rsidRDefault="00FB5C78" w:rsidP="00FF5AB8">
            <w:pPr>
              <w:spacing w:line="276" w:lineRule="auto"/>
              <w:jc w:val="right"/>
              <w:cnfStyle w:val="000000100000" w:firstRow="0" w:lastRow="0" w:firstColumn="0" w:lastColumn="0" w:oddVBand="0" w:evenVBand="0" w:oddHBand="1" w:evenHBand="0" w:firstRowFirstColumn="0" w:firstRowLastColumn="0" w:lastRowFirstColumn="0" w:lastRowLastColumn="0"/>
              <w:rPr>
                <w:sz w:val="20"/>
                <w:szCs w:val="20"/>
                <w:lang w:val="en-US"/>
              </w:rPr>
            </w:pPr>
            <w:r w:rsidRPr="00FB5C78">
              <w:rPr>
                <w:sz w:val="20"/>
                <w:szCs w:val="20"/>
                <w:lang w:val="en-US"/>
              </w:rPr>
              <w:t>0,0234</w:t>
            </w:r>
          </w:p>
        </w:tc>
        <w:tc>
          <w:tcPr>
            <w:tcW w:w="748" w:type="dxa"/>
            <w:shd w:val="clear" w:color="auto" w:fill="auto"/>
          </w:tcPr>
          <w:p w:rsidR="00FB5C78" w:rsidRPr="00FB5C78" w:rsidRDefault="00FB5C78" w:rsidP="00FF5AB8">
            <w:pPr>
              <w:spacing w:line="276" w:lineRule="auto"/>
              <w:jc w:val="right"/>
              <w:cnfStyle w:val="000000100000" w:firstRow="0" w:lastRow="0" w:firstColumn="0" w:lastColumn="0" w:oddVBand="0" w:evenVBand="0" w:oddHBand="1" w:evenHBand="0" w:firstRowFirstColumn="0" w:firstRowLastColumn="0" w:lastRowFirstColumn="0" w:lastRowLastColumn="0"/>
              <w:rPr>
                <w:sz w:val="20"/>
                <w:szCs w:val="20"/>
                <w:lang w:val="en-US"/>
              </w:rPr>
            </w:pPr>
            <w:r w:rsidRPr="00FB5C78">
              <w:rPr>
                <w:sz w:val="20"/>
                <w:szCs w:val="20"/>
                <w:lang w:val="en-US"/>
              </w:rPr>
              <w:t>0,0638</w:t>
            </w:r>
          </w:p>
        </w:tc>
        <w:tc>
          <w:tcPr>
            <w:tcW w:w="749" w:type="dxa"/>
            <w:shd w:val="clear" w:color="auto" w:fill="auto"/>
          </w:tcPr>
          <w:p w:rsidR="00FB5C78" w:rsidRPr="00FB5C78" w:rsidRDefault="00FB5C78" w:rsidP="00FF5AB8">
            <w:pPr>
              <w:spacing w:line="276" w:lineRule="auto"/>
              <w:jc w:val="right"/>
              <w:cnfStyle w:val="000000100000" w:firstRow="0" w:lastRow="0" w:firstColumn="0" w:lastColumn="0" w:oddVBand="0" w:evenVBand="0" w:oddHBand="1" w:evenHBand="0" w:firstRowFirstColumn="0" w:firstRowLastColumn="0" w:lastRowFirstColumn="0" w:lastRowLastColumn="0"/>
              <w:rPr>
                <w:sz w:val="20"/>
                <w:szCs w:val="20"/>
                <w:lang w:val="en-US"/>
              </w:rPr>
            </w:pPr>
            <w:r w:rsidRPr="00FB5C78">
              <w:rPr>
                <w:sz w:val="20"/>
                <w:szCs w:val="20"/>
                <w:lang w:val="en-US"/>
              </w:rPr>
              <w:t>0,1662</w:t>
            </w:r>
          </w:p>
        </w:tc>
        <w:tc>
          <w:tcPr>
            <w:tcW w:w="748" w:type="dxa"/>
            <w:shd w:val="clear" w:color="auto" w:fill="auto"/>
          </w:tcPr>
          <w:p w:rsidR="00FB5C78" w:rsidRPr="00FB5C78" w:rsidRDefault="00FB5C78" w:rsidP="00FF5AB8">
            <w:pPr>
              <w:spacing w:line="276" w:lineRule="auto"/>
              <w:jc w:val="right"/>
              <w:cnfStyle w:val="000000100000" w:firstRow="0" w:lastRow="0" w:firstColumn="0" w:lastColumn="0" w:oddVBand="0" w:evenVBand="0" w:oddHBand="1" w:evenHBand="0" w:firstRowFirstColumn="0" w:firstRowLastColumn="0" w:lastRowFirstColumn="0" w:lastRowLastColumn="0"/>
              <w:rPr>
                <w:sz w:val="20"/>
                <w:szCs w:val="20"/>
                <w:lang w:val="en-US"/>
              </w:rPr>
            </w:pPr>
            <w:r w:rsidRPr="00FB5C78">
              <w:rPr>
                <w:sz w:val="20"/>
                <w:szCs w:val="20"/>
                <w:lang w:val="en-US"/>
              </w:rPr>
              <w:t>-0,0299</w:t>
            </w:r>
          </w:p>
        </w:tc>
        <w:tc>
          <w:tcPr>
            <w:tcW w:w="749" w:type="dxa"/>
            <w:shd w:val="clear" w:color="auto" w:fill="auto"/>
          </w:tcPr>
          <w:p w:rsidR="00FB5C78" w:rsidRPr="00FB5C78" w:rsidRDefault="00FB5C78" w:rsidP="00FF5AB8">
            <w:pPr>
              <w:spacing w:line="276" w:lineRule="auto"/>
              <w:jc w:val="right"/>
              <w:cnfStyle w:val="000000100000" w:firstRow="0" w:lastRow="0" w:firstColumn="0" w:lastColumn="0" w:oddVBand="0" w:evenVBand="0" w:oddHBand="1" w:evenHBand="0" w:firstRowFirstColumn="0" w:firstRowLastColumn="0" w:lastRowFirstColumn="0" w:lastRowLastColumn="0"/>
              <w:rPr>
                <w:sz w:val="20"/>
                <w:szCs w:val="20"/>
                <w:lang w:val="en-US"/>
              </w:rPr>
            </w:pPr>
            <w:r w:rsidRPr="00FB5C78">
              <w:rPr>
                <w:sz w:val="20"/>
                <w:szCs w:val="20"/>
                <w:lang w:val="en-US"/>
              </w:rPr>
              <w:t>0,3504</w:t>
            </w:r>
          </w:p>
        </w:tc>
        <w:tc>
          <w:tcPr>
            <w:tcW w:w="796" w:type="dxa"/>
            <w:shd w:val="clear" w:color="auto" w:fill="auto"/>
          </w:tcPr>
          <w:p w:rsidR="00FB5C78" w:rsidRPr="00FB5C78" w:rsidRDefault="00FB5C78" w:rsidP="00FF5AB8">
            <w:pPr>
              <w:spacing w:line="276" w:lineRule="auto"/>
              <w:jc w:val="right"/>
              <w:cnfStyle w:val="000000100000" w:firstRow="0" w:lastRow="0" w:firstColumn="0" w:lastColumn="0" w:oddVBand="0" w:evenVBand="0" w:oddHBand="1" w:evenHBand="0" w:firstRowFirstColumn="0" w:firstRowLastColumn="0" w:lastRowFirstColumn="0" w:lastRowLastColumn="0"/>
              <w:rPr>
                <w:sz w:val="20"/>
                <w:szCs w:val="20"/>
                <w:lang w:val="en-US"/>
              </w:rPr>
            </w:pPr>
            <w:r w:rsidRPr="00FB5C78">
              <w:rPr>
                <w:sz w:val="20"/>
                <w:szCs w:val="20"/>
                <w:lang w:val="en-US"/>
              </w:rPr>
              <w:t>0,0668</w:t>
            </w:r>
          </w:p>
        </w:tc>
      </w:tr>
      <w:tr w:rsidR="00FB5C78" w:rsidRPr="00FB5C78" w:rsidTr="00FB5C78">
        <w:trPr>
          <w:trHeight w:val="261"/>
          <w:jc w:val="center"/>
        </w:trPr>
        <w:tc>
          <w:tcPr>
            <w:cnfStyle w:val="001000000000" w:firstRow="0" w:lastRow="0" w:firstColumn="1" w:lastColumn="0" w:oddVBand="0" w:evenVBand="0" w:oddHBand="0" w:evenHBand="0" w:firstRowFirstColumn="0" w:firstRowLastColumn="0" w:lastRowFirstColumn="0" w:lastRowLastColumn="0"/>
            <w:tcW w:w="2715" w:type="dxa"/>
            <w:shd w:val="clear" w:color="auto" w:fill="auto"/>
          </w:tcPr>
          <w:p w:rsidR="00FB5C78" w:rsidRPr="00FB5C78" w:rsidRDefault="00FB5C78" w:rsidP="00FF5AB8">
            <w:pPr>
              <w:spacing w:line="276" w:lineRule="auto"/>
              <w:jc w:val="both"/>
              <w:rPr>
                <w:b w:val="0"/>
                <w:sz w:val="20"/>
                <w:szCs w:val="20"/>
                <w:lang w:val="en-US"/>
              </w:rPr>
            </w:pPr>
            <w:r w:rsidRPr="00FB5C78">
              <w:rPr>
                <w:b w:val="0"/>
                <w:sz w:val="20"/>
                <w:szCs w:val="20"/>
                <w:lang w:val="en-US"/>
              </w:rPr>
              <w:t>Equity Index</w:t>
            </w:r>
          </w:p>
        </w:tc>
        <w:tc>
          <w:tcPr>
            <w:tcW w:w="748" w:type="dxa"/>
            <w:shd w:val="clear" w:color="auto" w:fill="auto"/>
          </w:tcPr>
          <w:p w:rsidR="00FB5C78" w:rsidRPr="00FB5C78" w:rsidRDefault="00FB5C78" w:rsidP="00FF5AB8">
            <w:pPr>
              <w:spacing w:line="276" w:lineRule="auto"/>
              <w:jc w:val="right"/>
              <w:cnfStyle w:val="000000000000" w:firstRow="0" w:lastRow="0" w:firstColumn="0" w:lastColumn="0" w:oddVBand="0" w:evenVBand="0" w:oddHBand="0" w:evenHBand="0" w:firstRowFirstColumn="0" w:firstRowLastColumn="0" w:lastRowFirstColumn="0" w:lastRowLastColumn="0"/>
              <w:rPr>
                <w:sz w:val="20"/>
                <w:szCs w:val="20"/>
                <w:lang w:val="en-US"/>
              </w:rPr>
            </w:pPr>
            <w:r w:rsidRPr="00FB5C78">
              <w:rPr>
                <w:sz w:val="20"/>
                <w:szCs w:val="20"/>
                <w:lang w:val="en-US"/>
              </w:rPr>
              <w:t>-0,7405</w:t>
            </w:r>
          </w:p>
        </w:tc>
        <w:tc>
          <w:tcPr>
            <w:tcW w:w="749" w:type="dxa"/>
            <w:shd w:val="clear" w:color="auto" w:fill="auto"/>
          </w:tcPr>
          <w:p w:rsidR="00FB5C78" w:rsidRPr="00FB5C78" w:rsidRDefault="00FB5C78" w:rsidP="00FF5AB8">
            <w:pPr>
              <w:spacing w:line="276" w:lineRule="auto"/>
              <w:jc w:val="right"/>
              <w:cnfStyle w:val="000000000000" w:firstRow="0" w:lastRow="0" w:firstColumn="0" w:lastColumn="0" w:oddVBand="0" w:evenVBand="0" w:oddHBand="0" w:evenHBand="0" w:firstRowFirstColumn="0" w:firstRowLastColumn="0" w:lastRowFirstColumn="0" w:lastRowLastColumn="0"/>
              <w:rPr>
                <w:sz w:val="20"/>
                <w:szCs w:val="20"/>
                <w:lang w:val="en-US"/>
              </w:rPr>
            </w:pPr>
            <w:r w:rsidRPr="00FB5C78">
              <w:rPr>
                <w:sz w:val="20"/>
                <w:szCs w:val="20"/>
                <w:lang w:val="en-US"/>
              </w:rPr>
              <w:t>-0,6002</w:t>
            </w:r>
          </w:p>
        </w:tc>
        <w:tc>
          <w:tcPr>
            <w:tcW w:w="748" w:type="dxa"/>
            <w:shd w:val="clear" w:color="auto" w:fill="auto"/>
          </w:tcPr>
          <w:p w:rsidR="00FB5C78" w:rsidRPr="00FB5C78" w:rsidRDefault="00FB5C78" w:rsidP="00FF5AB8">
            <w:pPr>
              <w:spacing w:line="276" w:lineRule="auto"/>
              <w:jc w:val="right"/>
              <w:cnfStyle w:val="000000000000" w:firstRow="0" w:lastRow="0" w:firstColumn="0" w:lastColumn="0" w:oddVBand="0" w:evenVBand="0" w:oddHBand="0" w:evenHBand="0" w:firstRowFirstColumn="0" w:firstRowLastColumn="0" w:lastRowFirstColumn="0" w:lastRowLastColumn="0"/>
              <w:rPr>
                <w:sz w:val="20"/>
                <w:szCs w:val="20"/>
                <w:lang w:val="en-US"/>
              </w:rPr>
            </w:pPr>
            <w:r w:rsidRPr="00FB5C78">
              <w:rPr>
                <w:sz w:val="20"/>
                <w:szCs w:val="20"/>
                <w:lang w:val="en-US"/>
              </w:rPr>
              <w:t>-0,7644</w:t>
            </w:r>
          </w:p>
        </w:tc>
        <w:tc>
          <w:tcPr>
            <w:tcW w:w="749" w:type="dxa"/>
            <w:shd w:val="clear" w:color="auto" w:fill="auto"/>
          </w:tcPr>
          <w:p w:rsidR="00FB5C78" w:rsidRPr="00FB5C78" w:rsidRDefault="00FB5C78" w:rsidP="00FF5AB8">
            <w:pPr>
              <w:spacing w:line="276" w:lineRule="auto"/>
              <w:jc w:val="right"/>
              <w:cnfStyle w:val="000000000000" w:firstRow="0" w:lastRow="0" w:firstColumn="0" w:lastColumn="0" w:oddVBand="0" w:evenVBand="0" w:oddHBand="0" w:evenHBand="0" w:firstRowFirstColumn="0" w:firstRowLastColumn="0" w:lastRowFirstColumn="0" w:lastRowLastColumn="0"/>
              <w:rPr>
                <w:sz w:val="20"/>
                <w:szCs w:val="20"/>
                <w:lang w:val="en-US"/>
              </w:rPr>
            </w:pPr>
            <w:r w:rsidRPr="00FB5C78">
              <w:rPr>
                <w:sz w:val="20"/>
                <w:szCs w:val="20"/>
                <w:lang w:val="en-US"/>
              </w:rPr>
              <w:t>-0,635</w:t>
            </w:r>
          </w:p>
        </w:tc>
        <w:tc>
          <w:tcPr>
            <w:tcW w:w="748" w:type="dxa"/>
            <w:shd w:val="clear" w:color="auto" w:fill="auto"/>
          </w:tcPr>
          <w:p w:rsidR="00FB5C78" w:rsidRPr="00FB5C78" w:rsidRDefault="00FB5C78" w:rsidP="00FF5AB8">
            <w:pPr>
              <w:spacing w:line="276" w:lineRule="auto"/>
              <w:jc w:val="right"/>
              <w:cnfStyle w:val="000000000000" w:firstRow="0" w:lastRow="0" w:firstColumn="0" w:lastColumn="0" w:oddVBand="0" w:evenVBand="0" w:oddHBand="0" w:evenHBand="0" w:firstRowFirstColumn="0" w:firstRowLastColumn="0" w:lastRowFirstColumn="0" w:lastRowLastColumn="0"/>
              <w:rPr>
                <w:sz w:val="20"/>
                <w:szCs w:val="20"/>
                <w:lang w:val="en-US"/>
              </w:rPr>
            </w:pPr>
            <w:r w:rsidRPr="00FB5C78">
              <w:rPr>
                <w:sz w:val="20"/>
                <w:szCs w:val="20"/>
                <w:lang w:val="en-US"/>
              </w:rPr>
              <w:t>-0,357</w:t>
            </w:r>
          </w:p>
        </w:tc>
        <w:tc>
          <w:tcPr>
            <w:tcW w:w="749" w:type="dxa"/>
            <w:shd w:val="clear" w:color="auto" w:fill="auto"/>
          </w:tcPr>
          <w:p w:rsidR="00FB5C78" w:rsidRPr="00FB5C78" w:rsidRDefault="00FB5C78" w:rsidP="00FF5AB8">
            <w:pPr>
              <w:spacing w:line="276" w:lineRule="auto"/>
              <w:jc w:val="right"/>
              <w:cnfStyle w:val="000000000000" w:firstRow="0" w:lastRow="0" w:firstColumn="0" w:lastColumn="0" w:oddVBand="0" w:evenVBand="0" w:oddHBand="0" w:evenHBand="0" w:firstRowFirstColumn="0" w:firstRowLastColumn="0" w:lastRowFirstColumn="0" w:lastRowLastColumn="0"/>
              <w:rPr>
                <w:sz w:val="20"/>
                <w:szCs w:val="20"/>
                <w:lang w:val="en-US"/>
              </w:rPr>
            </w:pPr>
            <w:r w:rsidRPr="00FB5C78">
              <w:rPr>
                <w:sz w:val="20"/>
                <w:szCs w:val="20"/>
                <w:lang w:val="en-US"/>
              </w:rPr>
              <w:t>-0,2147</w:t>
            </w:r>
          </w:p>
        </w:tc>
        <w:tc>
          <w:tcPr>
            <w:tcW w:w="796" w:type="dxa"/>
            <w:shd w:val="clear" w:color="auto" w:fill="auto"/>
          </w:tcPr>
          <w:p w:rsidR="00FB5C78" w:rsidRPr="00FB5C78" w:rsidRDefault="00FB5C78" w:rsidP="00FF5AB8">
            <w:pPr>
              <w:spacing w:line="276" w:lineRule="auto"/>
              <w:jc w:val="right"/>
              <w:cnfStyle w:val="000000000000" w:firstRow="0" w:lastRow="0" w:firstColumn="0" w:lastColumn="0" w:oddVBand="0" w:evenVBand="0" w:oddHBand="0" w:evenHBand="0" w:firstRowFirstColumn="0" w:firstRowLastColumn="0" w:lastRowFirstColumn="0" w:lastRowLastColumn="0"/>
              <w:rPr>
                <w:sz w:val="20"/>
                <w:szCs w:val="20"/>
                <w:lang w:val="en-US"/>
              </w:rPr>
            </w:pPr>
            <w:r w:rsidRPr="00FB5C78">
              <w:rPr>
                <w:sz w:val="20"/>
                <w:szCs w:val="20"/>
                <w:lang w:val="en-US"/>
              </w:rPr>
              <w:t>-0,6018</w:t>
            </w:r>
          </w:p>
        </w:tc>
      </w:tr>
      <w:tr w:rsidR="00FB5C78" w:rsidRPr="00FB5C78" w:rsidTr="00FB5C78">
        <w:trPr>
          <w:cnfStyle w:val="000000100000" w:firstRow="0" w:lastRow="0" w:firstColumn="0" w:lastColumn="0" w:oddVBand="0" w:evenVBand="0" w:oddHBand="1" w:evenHBand="0" w:firstRowFirstColumn="0" w:firstRowLastColumn="0" w:lastRowFirstColumn="0" w:lastRowLastColumn="0"/>
          <w:trHeight w:val="261"/>
          <w:jc w:val="center"/>
        </w:trPr>
        <w:tc>
          <w:tcPr>
            <w:cnfStyle w:val="001000000000" w:firstRow="0" w:lastRow="0" w:firstColumn="1" w:lastColumn="0" w:oddVBand="0" w:evenVBand="0" w:oddHBand="0" w:evenHBand="0" w:firstRowFirstColumn="0" w:firstRowLastColumn="0" w:lastRowFirstColumn="0" w:lastRowLastColumn="0"/>
            <w:tcW w:w="2715" w:type="dxa"/>
            <w:shd w:val="clear" w:color="auto" w:fill="auto"/>
          </w:tcPr>
          <w:p w:rsidR="00FB5C78" w:rsidRPr="00FB5C78" w:rsidRDefault="00FB5C78" w:rsidP="00FF5AB8">
            <w:pPr>
              <w:spacing w:line="276" w:lineRule="auto"/>
              <w:jc w:val="both"/>
              <w:rPr>
                <w:b w:val="0"/>
                <w:sz w:val="20"/>
                <w:szCs w:val="20"/>
                <w:lang w:val="en-US"/>
              </w:rPr>
            </w:pPr>
            <w:r w:rsidRPr="00FB5C78">
              <w:rPr>
                <w:b w:val="0"/>
                <w:sz w:val="20"/>
                <w:szCs w:val="20"/>
                <w:lang w:val="en-US"/>
              </w:rPr>
              <w:t>Balance of Payment as  of GDP</w:t>
            </w:r>
          </w:p>
        </w:tc>
        <w:tc>
          <w:tcPr>
            <w:tcW w:w="748" w:type="dxa"/>
            <w:shd w:val="clear" w:color="auto" w:fill="auto"/>
          </w:tcPr>
          <w:p w:rsidR="00FB5C78" w:rsidRPr="00FB5C78" w:rsidRDefault="00FB5C78" w:rsidP="00FF5AB8">
            <w:pPr>
              <w:spacing w:line="276" w:lineRule="auto"/>
              <w:jc w:val="right"/>
              <w:cnfStyle w:val="000000100000" w:firstRow="0" w:lastRow="0" w:firstColumn="0" w:lastColumn="0" w:oddVBand="0" w:evenVBand="0" w:oddHBand="1" w:evenHBand="0" w:firstRowFirstColumn="0" w:firstRowLastColumn="0" w:lastRowFirstColumn="0" w:lastRowLastColumn="0"/>
              <w:rPr>
                <w:sz w:val="20"/>
                <w:szCs w:val="20"/>
                <w:lang w:val="en-US"/>
              </w:rPr>
            </w:pPr>
            <w:r w:rsidRPr="00FB5C78">
              <w:rPr>
                <w:sz w:val="20"/>
                <w:szCs w:val="20"/>
                <w:lang w:val="en-US"/>
              </w:rPr>
              <w:t>-0,0397</w:t>
            </w:r>
          </w:p>
        </w:tc>
        <w:tc>
          <w:tcPr>
            <w:tcW w:w="749" w:type="dxa"/>
            <w:shd w:val="clear" w:color="auto" w:fill="auto"/>
          </w:tcPr>
          <w:p w:rsidR="00FB5C78" w:rsidRPr="00FB5C78" w:rsidRDefault="00FB5C78" w:rsidP="00FF5AB8">
            <w:pPr>
              <w:spacing w:line="276" w:lineRule="auto"/>
              <w:jc w:val="right"/>
              <w:cnfStyle w:val="000000100000" w:firstRow="0" w:lastRow="0" w:firstColumn="0" w:lastColumn="0" w:oddVBand="0" w:evenVBand="0" w:oddHBand="1" w:evenHBand="0" w:firstRowFirstColumn="0" w:firstRowLastColumn="0" w:lastRowFirstColumn="0" w:lastRowLastColumn="0"/>
              <w:rPr>
                <w:sz w:val="20"/>
                <w:szCs w:val="20"/>
                <w:lang w:val="en-US"/>
              </w:rPr>
            </w:pPr>
            <w:r w:rsidRPr="00FB5C78">
              <w:rPr>
                <w:sz w:val="20"/>
                <w:szCs w:val="20"/>
                <w:lang w:val="en-US"/>
              </w:rPr>
              <w:t>-0,0264</w:t>
            </w:r>
          </w:p>
        </w:tc>
        <w:tc>
          <w:tcPr>
            <w:tcW w:w="748" w:type="dxa"/>
            <w:shd w:val="clear" w:color="auto" w:fill="auto"/>
          </w:tcPr>
          <w:p w:rsidR="00FB5C78" w:rsidRPr="00FB5C78" w:rsidRDefault="00FB5C78" w:rsidP="00FF5AB8">
            <w:pPr>
              <w:spacing w:line="276" w:lineRule="auto"/>
              <w:jc w:val="right"/>
              <w:cnfStyle w:val="000000100000" w:firstRow="0" w:lastRow="0" w:firstColumn="0" w:lastColumn="0" w:oddVBand="0" w:evenVBand="0" w:oddHBand="1" w:evenHBand="0" w:firstRowFirstColumn="0" w:firstRowLastColumn="0" w:lastRowFirstColumn="0" w:lastRowLastColumn="0"/>
              <w:rPr>
                <w:sz w:val="20"/>
                <w:szCs w:val="20"/>
                <w:lang w:val="en-US"/>
              </w:rPr>
            </w:pPr>
            <w:r w:rsidRPr="00FB5C78">
              <w:rPr>
                <w:sz w:val="20"/>
                <w:szCs w:val="20"/>
                <w:lang w:val="en-US"/>
              </w:rPr>
              <w:t>-0,0802</w:t>
            </w:r>
          </w:p>
        </w:tc>
        <w:tc>
          <w:tcPr>
            <w:tcW w:w="749" w:type="dxa"/>
            <w:shd w:val="clear" w:color="auto" w:fill="auto"/>
          </w:tcPr>
          <w:p w:rsidR="00FB5C78" w:rsidRPr="00FB5C78" w:rsidRDefault="00FB5C78" w:rsidP="00FF5AB8">
            <w:pPr>
              <w:spacing w:line="276" w:lineRule="auto"/>
              <w:jc w:val="right"/>
              <w:cnfStyle w:val="000000100000" w:firstRow="0" w:lastRow="0" w:firstColumn="0" w:lastColumn="0" w:oddVBand="0" w:evenVBand="0" w:oddHBand="1" w:evenHBand="0" w:firstRowFirstColumn="0" w:firstRowLastColumn="0" w:lastRowFirstColumn="0" w:lastRowLastColumn="0"/>
              <w:rPr>
                <w:sz w:val="20"/>
                <w:szCs w:val="20"/>
                <w:lang w:val="en-US"/>
              </w:rPr>
            </w:pPr>
            <w:r w:rsidRPr="00FB5C78">
              <w:rPr>
                <w:sz w:val="20"/>
                <w:szCs w:val="20"/>
                <w:lang w:val="en-US"/>
              </w:rPr>
              <w:t>-0,0272</w:t>
            </w:r>
          </w:p>
        </w:tc>
        <w:tc>
          <w:tcPr>
            <w:tcW w:w="748" w:type="dxa"/>
            <w:shd w:val="clear" w:color="auto" w:fill="auto"/>
          </w:tcPr>
          <w:p w:rsidR="00FB5C78" w:rsidRPr="00FB5C78" w:rsidRDefault="00FB5C78" w:rsidP="00FF5AB8">
            <w:pPr>
              <w:spacing w:line="276" w:lineRule="auto"/>
              <w:jc w:val="right"/>
              <w:cnfStyle w:val="000000100000" w:firstRow="0" w:lastRow="0" w:firstColumn="0" w:lastColumn="0" w:oddVBand="0" w:evenVBand="0" w:oddHBand="1" w:evenHBand="0" w:firstRowFirstColumn="0" w:firstRowLastColumn="0" w:lastRowFirstColumn="0" w:lastRowLastColumn="0"/>
              <w:rPr>
                <w:sz w:val="20"/>
                <w:szCs w:val="20"/>
                <w:lang w:val="en-US"/>
              </w:rPr>
            </w:pPr>
            <w:r w:rsidRPr="00FB5C78">
              <w:rPr>
                <w:sz w:val="20"/>
                <w:szCs w:val="20"/>
                <w:lang w:val="en-US"/>
              </w:rPr>
              <w:t>-0,0483</w:t>
            </w:r>
          </w:p>
        </w:tc>
        <w:tc>
          <w:tcPr>
            <w:tcW w:w="749" w:type="dxa"/>
            <w:shd w:val="clear" w:color="auto" w:fill="auto"/>
          </w:tcPr>
          <w:p w:rsidR="00FB5C78" w:rsidRPr="00FB5C78" w:rsidRDefault="00FB5C78" w:rsidP="00FF5AB8">
            <w:pPr>
              <w:spacing w:line="276" w:lineRule="auto"/>
              <w:jc w:val="right"/>
              <w:cnfStyle w:val="000000100000" w:firstRow="0" w:lastRow="0" w:firstColumn="0" w:lastColumn="0" w:oddVBand="0" w:evenVBand="0" w:oddHBand="1" w:evenHBand="0" w:firstRowFirstColumn="0" w:firstRowLastColumn="0" w:lastRowFirstColumn="0" w:lastRowLastColumn="0"/>
              <w:rPr>
                <w:sz w:val="20"/>
                <w:szCs w:val="20"/>
                <w:lang w:val="en-US"/>
              </w:rPr>
            </w:pPr>
            <w:r w:rsidRPr="00FB5C78">
              <w:rPr>
                <w:sz w:val="20"/>
                <w:szCs w:val="20"/>
                <w:lang w:val="en-US"/>
              </w:rPr>
              <w:t>0,0768</w:t>
            </w:r>
          </w:p>
        </w:tc>
        <w:tc>
          <w:tcPr>
            <w:tcW w:w="796" w:type="dxa"/>
            <w:shd w:val="clear" w:color="auto" w:fill="auto"/>
          </w:tcPr>
          <w:p w:rsidR="00FB5C78" w:rsidRPr="00FB5C78" w:rsidRDefault="00FB5C78" w:rsidP="00FF5AB8">
            <w:pPr>
              <w:spacing w:line="276" w:lineRule="auto"/>
              <w:jc w:val="right"/>
              <w:cnfStyle w:val="000000100000" w:firstRow="0" w:lastRow="0" w:firstColumn="0" w:lastColumn="0" w:oddVBand="0" w:evenVBand="0" w:oddHBand="1" w:evenHBand="0" w:firstRowFirstColumn="0" w:firstRowLastColumn="0" w:lastRowFirstColumn="0" w:lastRowLastColumn="0"/>
              <w:rPr>
                <w:sz w:val="20"/>
                <w:szCs w:val="20"/>
                <w:lang w:val="en-US"/>
              </w:rPr>
            </w:pPr>
            <w:r w:rsidRPr="00FB5C78">
              <w:rPr>
                <w:sz w:val="20"/>
                <w:szCs w:val="20"/>
                <w:lang w:val="en-US"/>
              </w:rPr>
              <w:t>-0,0319</w:t>
            </w:r>
          </w:p>
        </w:tc>
      </w:tr>
      <w:tr w:rsidR="00FB5C78" w:rsidRPr="00FB5C78" w:rsidTr="00FB5C78">
        <w:trPr>
          <w:trHeight w:val="277"/>
          <w:jc w:val="center"/>
        </w:trPr>
        <w:tc>
          <w:tcPr>
            <w:cnfStyle w:val="001000000000" w:firstRow="0" w:lastRow="0" w:firstColumn="1" w:lastColumn="0" w:oddVBand="0" w:evenVBand="0" w:oddHBand="0" w:evenHBand="0" w:firstRowFirstColumn="0" w:firstRowLastColumn="0" w:lastRowFirstColumn="0" w:lastRowLastColumn="0"/>
            <w:tcW w:w="2715" w:type="dxa"/>
            <w:shd w:val="clear" w:color="auto" w:fill="auto"/>
          </w:tcPr>
          <w:p w:rsidR="00FB5C78" w:rsidRPr="00FB5C78" w:rsidRDefault="00FB5C78" w:rsidP="00FF5AB8">
            <w:pPr>
              <w:spacing w:line="276" w:lineRule="auto"/>
              <w:jc w:val="both"/>
              <w:rPr>
                <w:b w:val="0"/>
                <w:sz w:val="20"/>
                <w:szCs w:val="20"/>
                <w:lang w:val="en-US"/>
              </w:rPr>
            </w:pPr>
          </w:p>
        </w:tc>
        <w:tc>
          <w:tcPr>
            <w:tcW w:w="748" w:type="dxa"/>
            <w:shd w:val="clear" w:color="auto" w:fill="auto"/>
          </w:tcPr>
          <w:p w:rsidR="00FB5C78" w:rsidRPr="00FB5C78" w:rsidRDefault="00FB5C78" w:rsidP="00FF5AB8">
            <w:pPr>
              <w:spacing w:line="276" w:lineRule="auto"/>
              <w:jc w:val="right"/>
              <w:cnfStyle w:val="000000000000" w:firstRow="0" w:lastRow="0" w:firstColumn="0" w:lastColumn="0" w:oddVBand="0" w:evenVBand="0" w:oddHBand="0" w:evenHBand="0" w:firstRowFirstColumn="0" w:firstRowLastColumn="0" w:lastRowFirstColumn="0" w:lastRowLastColumn="0"/>
              <w:rPr>
                <w:sz w:val="20"/>
                <w:szCs w:val="20"/>
                <w:lang w:val="en-US"/>
              </w:rPr>
            </w:pPr>
          </w:p>
        </w:tc>
        <w:tc>
          <w:tcPr>
            <w:tcW w:w="749" w:type="dxa"/>
            <w:shd w:val="clear" w:color="auto" w:fill="auto"/>
          </w:tcPr>
          <w:p w:rsidR="00FB5C78" w:rsidRPr="00FB5C78" w:rsidRDefault="00FB5C78" w:rsidP="00FF5AB8">
            <w:pPr>
              <w:spacing w:line="276" w:lineRule="auto"/>
              <w:jc w:val="right"/>
              <w:cnfStyle w:val="000000000000" w:firstRow="0" w:lastRow="0" w:firstColumn="0" w:lastColumn="0" w:oddVBand="0" w:evenVBand="0" w:oddHBand="0" w:evenHBand="0" w:firstRowFirstColumn="0" w:firstRowLastColumn="0" w:lastRowFirstColumn="0" w:lastRowLastColumn="0"/>
              <w:rPr>
                <w:sz w:val="20"/>
                <w:szCs w:val="20"/>
                <w:lang w:val="en-US"/>
              </w:rPr>
            </w:pPr>
          </w:p>
        </w:tc>
        <w:tc>
          <w:tcPr>
            <w:tcW w:w="748" w:type="dxa"/>
            <w:shd w:val="clear" w:color="auto" w:fill="auto"/>
          </w:tcPr>
          <w:p w:rsidR="00FB5C78" w:rsidRPr="00FB5C78" w:rsidRDefault="00FB5C78" w:rsidP="00FF5AB8">
            <w:pPr>
              <w:spacing w:line="276" w:lineRule="auto"/>
              <w:jc w:val="right"/>
              <w:cnfStyle w:val="000000000000" w:firstRow="0" w:lastRow="0" w:firstColumn="0" w:lastColumn="0" w:oddVBand="0" w:evenVBand="0" w:oddHBand="0" w:evenHBand="0" w:firstRowFirstColumn="0" w:firstRowLastColumn="0" w:lastRowFirstColumn="0" w:lastRowLastColumn="0"/>
              <w:rPr>
                <w:sz w:val="20"/>
                <w:szCs w:val="20"/>
                <w:lang w:val="en-US"/>
              </w:rPr>
            </w:pPr>
          </w:p>
        </w:tc>
        <w:tc>
          <w:tcPr>
            <w:tcW w:w="749" w:type="dxa"/>
            <w:shd w:val="clear" w:color="auto" w:fill="auto"/>
          </w:tcPr>
          <w:p w:rsidR="00FB5C78" w:rsidRPr="00FB5C78" w:rsidRDefault="00FB5C78" w:rsidP="00FF5AB8">
            <w:pPr>
              <w:spacing w:line="276" w:lineRule="auto"/>
              <w:jc w:val="right"/>
              <w:cnfStyle w:val="000000000000" w:firstRow="0" w:lastRow="0" w:firstColumn="0" w:lastColumn="0" w:oddVBand="0" w:evenVBand="0" w:oddHBand="0" w:evenHBand="0" w:firstRowFirstColumn="0" w:firstRowLastColumn="0" w:lastRowFirstColumn="0" w:lastRowLastColumn="0"/>
              <w:rPr>
                <w:sz w:val="20"/>
                <w:szCs w:val="20"/>
                <w:lang w:val="en-US"/>
              </w:rPr>
            </w:pPr>
          </w:p>
        </w:tc>
        <w:tc>
          <w:tcPr>
            <w:tcW w:w="748" w:type="dxa"/>
            <w:shd w:val="clear" w:color="auto" w:fill="auto"/>
          </w:tcPr>
          <w:p w:rsidR="00FB5C78" w:rsidRPr="00FB5C78" w:rsidRDefault="00FB5C78" w:rsidP="00FF5AB8">
            <w:pPr>
              <w:spacing w:line="276" w:lineRule="auto"/>
              <w:jc w:val="right"/>
              <w:cnfStyle w:val="000000000000" w:firstRow="0" w:lastRow="0" w:firstColumn="0" w:lastColumn="0" w:oddVBand="0" w:evenVBand="0" w:oddHBand="0" w:evenHBand="0" w:firstRowFirstColumn="0" w:firstRowLastColumn="0" w:lastRowFirstColumn="0" w:lastRowLastColumn="0"/>
              <w:rPr>
                <w:sz w:val="20"/>
                <w:szCs w:val="20"/>
                <w:lang w:val="en-US"/>
              </w:rPr>
            </w:pPr>
          </w:p>
        </w:tc>
        <w:tc>
          <w:tcPr>
            <w:tcW w:w="749" w:type="dxa"/>
            <w:shd w:val="clear" w:color="auto" w:fill="auto"/>
          </w:tcPr>
          <w:p w:rsidR="00FB5C78" w:rsidRPr="00FB5C78" w:rsidRDefault="00FB5C78" w:rsidP="00FF5AB8">
            <w:pPr>
              <w:spacing w:line="276" w:lineRule="auto"/>
              <w:jc w:val="right"/>
              <w:cnfStyle w:val="000000000000" w:firstRow="0" w:lastRow="0" w:firstColumn="0" w:lastColumn="0" w:oddVBand="0" w:evenVBand="0" w:oddHBand="0" w:evenHBand="0" w:firstRowFirstColumn="0" w:firstRowLastColumn="0" w:lastRowFirstColumn="0" w:lastRowLastColumn="0"/>
              <w:rPr>
                <w:sz w:val="20"/>
                <w:szCs w:val="20"/>
                <w:lang w:val="en-US"/>
              </w:rPr>
            </w:pPr>
          </w:p>
        </w:tc>
        <w:tc>
          <w:tcPr>
            <w:tcW w:w="796" w:type="dxa"/>
            <w:shd w:val="clear" w:color="auto" w:fill="auto"/>
          </w:tcPr>
          <w:p w:rsidR="00FB5C78" w:rsidRPr="00FB5C78" w:rsidRDefault="00FB5C78" w:rsidP="00FF5AB8">
            <w:pPr>
              <w:spacing w:line="276" w:lineRule="auto"/>
              <w:jc w:val="right"/>
              <w:cnfStyle w:val="000000000000" w:firstRow="0" w:lastRow="0" w:firstColumn="0" w:lastColumn="0" w:oddVBand="0" w:evenVBand="0" w:oddHBand="0" w:evenHBand="0" w:firstRowFirstColumn="0" w:firstRowLastColumn="0" w:lastRowFirstColumn="0" w:lastRowLastColumn="0"/>
              <w:rPr>
                <w:sz w:val="20"/>
                <w:szCs w:val="20"/>
                <w:lang w:val="en-US"/>
              </w:rPr>
            </w:pPr>
          </w:p>
        </w:tc>
      </w:tr>
      <w:tr w:rsidR="00FB5C78" w:rsidRPr="00FB5C78" w:rsidTr="00FB5C78">
        <w:trPr>
          <w:cnfStyle w:val="000000100000" w:firstRow="0" w:lastRow="0" w:firstColumn="0" w:lastColumn="0" w:oddVBand="0" w:evenVBand="0" w:oddHBand="1" w:evenHBand="0" w:firstRowFirstColumn="0" w:firstRowLastColumn="0" w:lastRowFirstColumn="0" w:lastRowLastColumn="0"/>
          <w:trHeight w:val="261"/>
          <w:jc w:val="center"/>
        </w:trPr>
        <w:tc>
          <w:tcPr>
            <w:cnfStyle w:val="001000000000" w:firstRow="0" w:lastRow="0" w:firstColumn="1" w:lastColumn="0" w:oddVBand="0" w:evenVBand="0" w:oddHBand="0" w:evenHBand="0" w:firstRowFirstColumn="0" w:firstRowLastColumn="0" w:lastRowFirstColumn="0" w:lastRowLastColumn="0"/>
            <w:tcW w:w="2715" w:type="dxa"/>
            <w:shd w:val="clear" w:color="auto" w:fill="auto"/>
          </w:tcPr>
          <w:p w:rsidR="00FB5C78" w:rsidRPr="00FB5C78" w:rsidRDefault="00FB5C78" w:rsidP="00FF5AB8">
            <w:pPr>
              <w:spacing w:line="276" w:lineRule="auto"/>
              <w:jc w:val="both"/>
              <w:rPr>
                <w:b w:val="0"/>
                <w:sz w:val="20"/>
                <w:szCs w:val="20"/>
                <w:lang w:val="en-US"/>
              </w:rPr>
            </w:pPr>
            <w:r w:rsidRPr="00FB5C78">
              <w:rPr>
                <w:b w:val="0"/>
                <w:sz w:val="20"/>
                <w:szCs w:val="20"/>
                <w:lang w:val="en-US"/>
              </w:rPr>
              <w:t>S&amp;P 500 Index</w:t>
            </w:r>
          </w:p>
        </w:tc>
        <w:tc>
          <w:tcPr>
            <w:tcW w:w="748" w:type="dxa"/>
            <w:shd w:val="clear" w:color="auto" w:fill="auto"/>
          </w:tcPr>
          <w:p w:rsidR="00FB5C78" w:rsidRPr="00FB5C78" w:rsidRDefault="00FB5C78" w:rsidP="00FF5AB8">
            <w:pPr>
              <w:spacing w:line="276" w:lineRule="auto"/>
              <w:jc w:val="right"/>
              <w:cnfStyle w:val="000000100000" w:firstRow="0" w:lastRow="0" w:firstColumn="0" w:lastColumn="0" w:oddVBand="0" w:evenVBand="0" w:oddHBand="1" w:evenHBand="0" w:firstRowFirstColumn="0" w:firstRowLastColumn="0" w:lastRowFirstColumn="0" w:lastRowLastColumn="0"/>
              <w:rPr>
                <w:sz w:val="20"/>
                <w:szCs w:val="20"/>
                <w:lang w:val="en-US"/>
              </w:rPr>
            </w:pPr>
            <w:r w:rsidRPr="00FB5C78">
              <w:rPr>
                <w:sz w:val="20"/>
                <w:szCs w:val="20"/>
                <w:lang w:val="en-US"/>
              </w:rPr>
              <w:t>-</w:t>
            </w:r>
            <w:r w:rsidRPr="00FB5C78">
              <w:rPr>
                <w:sz w:val="20"/>
                <w:szCs w:val="20"/>
                <w:lang w:val="en-US"/>
              </w:rPr>
              <w:lastRenderedPageBreak/>
              <w:t>0,6377</w:t>
            </w:r>
          </w:p>
        </w:tc>
        <w:tc>
          <w:tcPr>
            <w:tcW w:w="749" w:type="dxa"/>
            <w:shd w:val="clear" w:color="auto" w:fill="auto"/>
          </w:tcPr>
          <w:p w:rsidR="00FB5C78" w:rsidRPr="00FB5C78" w:rsidRDefault="00FB5C78" w:rsidP="00FF5AB8">
            <w:pPr>
              <w:spacing w:line="276" w:lineRule="auto"/>
              <w:jc w:val="right"/>
              <w:cnfStyle w:val="000000100000" w:firstRow="0" w:lastRow="0" w:firstColumn="0" w:lastColumn="0" w:oddVBand="0" w:evenVBand="0" w:oddHBand="1" w:evenHBand="0" w:firstRowFirstColumn="0" w:firstRowLastColumn="0" w:lastRowFirstColumn="0" w:lastRowLastColumn="0"/>
              <w:rPr>
                <w:sz w:val="20"/>
                <w:szCs w:val="20"/>
                <w:lang w:val="en-US"/>
              </w:rPr>
            </w:pPr>
            <w:r w:rsidRPr="00FB5C78">
              <w:rPr>
                <w:sz w:val="20"/>
                <w:szCs w:val="20"/>
                <w:lang w:val="en-US"/>
              </w:rPr>
              <w:lastRenderedPageBreak/>
              <w:t>-</w:t>
            </w:r>
            <w:r w:rsidRPr="00FB5C78">
              <w:rPr>
                <w:sz w:val="20"/>
                <w:szCs w:val="20"/>
                <w:lang w:val="en-US"/>
              </w:rPr>
              <w:lastRenderedPageBreak/>
              <w:t>0,5894</w:t>
            </w:r>
          </w:p>
        </w:tc>
        <w:tc>
          <w:tcPr>
            <w:tcW w:w="748" w:type="dxa"/>
            <w:shd w:val="clear" w:color="auto" w:fill="auto"/>
          </w:tcPr>
          <w:p w:rsidR="00FB5C78" w:rsidRPr="00FB5C78" w:rsidRDefault="00FB5C78" w:rsidP="00FF5AB8">
            <w:pPr>
              <w:spacing w:line="276" w:lineRule="auto"/>
              <w:jc w:val="right"/>
              <w:cnfStyle w:val="000000100000" w:firstRow="0" w:lastRow="0" w:firstColumn="0" w:lastColumn="0" w:oddVBand="0" w:evenVBand="0" w:oddHBand="1" w:evenHBand="0" w:firstRowFirstColumn="0" w:firstRowLastColumn="0" w:lastRowFirstColumn="0" w:lastRowLastColumn="0"/>
              <w:rPr>
                <w:sz w:val="20"/>
                <w:szCs w:val="20"/>
                <w:lang w:val="en-US"/>
              </w:rPr>
            </w:pPr>
            <w:r w:rsidRPr="00FB5C78">
              <w:rPr>
                <w:sz w:val="20"/>
                <w:szCs w:val="20"/>
                <w:lang w:val="en-US"/>
              </w:rPr>
              <w:lastRenderedPageBreak/>
              <w:t>-</w:t>
            </w:r>
            <w:r w:rsidRPr="00FB5C78">
              <w:rPr>
                <w:sz w:val="20"/>
                <w:szCs w:val="20"/>
                <w:lang w:val="en-US"/>
              </w:rPr>
              <w:lastRenderedPageBreak/>
              <w:t>0,6546</w:t>
            </w:r>
          </w:p>
        </w:tc>
        <w:tc>
          <w:tcPr>
            <w:tcW w:w="749" w:type="dxa"/>
            <w:shd w:val="clear" w:color="auto" w:fill="auto"/>
          </w:tcPr>
          <w:p w:rsidR="00FB5C78" w:rsidRPr="00FB5C78" w:rsidRDefault="00FB5C78" w:rsidP="00FF5AB8">
            <w:pPr>
              <w:spacing w:line="276" w:lineRule="auto"/>
              <w:jc w:val="right"/>
              <w:cnfStyle w:val="000000100000" w:firstRow="0" w:lastRow="0" w:firstColumn="0" w:lastColumn="0" w:oddVBand="0" w:evenVBand="0" w:oddHBand="1" w:evenHBand="0" w:firstRowFirstColumn="0" w:firstRowLastColumn="0" w:lastRowFirstColumn="0" w:lastRowLastColumn="0"/>
              <w:rPr>
                <w:sz w:val="20"/>
                <w:szCs w:val="20"/>
                <w:lang w:val="en-US"/>
              </w:rPr>
            </w:pPr>
            <w:r w:rsidRPr="00FB5C78">
              <w:rPr>
                <w:sz w:val="20"/>
                <w:szCs w:val="20"/>
                <w:lang w:val="en-US"/>
              </w:rPr>
              <w:lastRenderedPageBreak/>
              <w:t>-</w:t>
            </w:r>
            <w:r w:rsidRPr="00FB5C78">
              <w:rPr>
                <w:sz w:val="20"/>
                <w:szCs w:val="20"/>
                <w:lang w:val="en-US"/>
              </w:rPr>
              <w:lastRenderedPageBreak/>
              <w:t>0,6157</w:t>
            </w:r>
          </w:p>
        </w:tc>
        <w:tc>
          <w:tcPr>
            <w:tcW w:w="748" w:type="dxa"/>
            <w:shd w:val="clear" w:color="auto" w:fill="auto"/>
          </w:tcPr>
          <w:p w:rsidR="00FB5C78" w:rsidRPr="00FB5C78" w:rsidRDefault="00FB5C78" w:rsidP="00FF5AB8">
            <w:pPr>
              <w:spacing w:line="276" w:lineRule="auto"/>
              <w:jc w:val="right"/>
              <w:cnfStyle w:val="000000100000" w:firstRow="0" w:lastRow="0" w:firstColumn="0" w:lastColumn="0" w:oddVBand="0" w:evenVBand="0" w:oddHBand="1" w:evenHBand="0" w:firstRowFirstColumn="0" w:firstRowLastColumn="0" w:lastRowFirstColumn="0" w:lastRowLastColumn="0"/>
              <w:rPr>
                <w:sz w:val="20"/>
                <w:szCs w:val="20"/>
                <w:lang w:val="en-US"/>
              </w:rPr>
            </w:pPr>
            <w:r w:rsidRPr="00FB5C78">
              <w:rPr>
                <w:sz w:val="20"/>
                <w:szCs w:val="20"/>
                <w:lang w:val="en-US"/>
              </w:rPr>
              <w:lastRenderedPageBreak/>
              <w:t>-</w:t>
            </w:r>
            <w:r w:rsidRPr="00FB5C78">
              <w:rPr>
                <w:sz w:val="20"/>
                <w:szCs w:val="20"/>
                <w:lang w:val="en-US"/>
              </w:rPr>
              <w:lastRenderedPageBreak/>
              <w:t>0,4927</w:t>
            </w:r>
          </w:p>
        </w:tc>
        <w:tc>
          <w:tcPr>
            <w:tcW w:w="749" w:type="dxa"/>
            <w:shd w:val="clear" w:color="auto" w:fill="auto"/>
          </w:tcPr>
          <w:p w:rsidR="00FB5C78" w:rsidRPr="00FB5C78" w:rsidRDefault="00FB5C78" w:rsidP="00FF5AB8">
            <w:pPr>
              <w:spacing w:line="276" w:lineRule="auto"/>
              <w:jc w:val="right"/>
              <w:cnfStyle w:val="000000100000" w:firstRow="0" w:lastRow="0" w:firstColumn="0" w:lastColumn="0" w:oddVBand="0" w:evenVBand="0" w:oddHBand="1" w:evenHBand="0" w:firstRowFirstColumn="0" w:firstRowLastColumn="0" w:lastRowFirstColumn="0" w:lastRowLastColumn="0"/>
              <w:rPr>
                <w:sz w:val="20"/>
                <w:szCs w:val="20"/>
                <w:lang w:val="en-US"/>
              </w:rPr>
            </w:pPr>
            <w:r w:rsidRPr="00FB5C78">
              <w:rPr>
                <w:sz w:val="20"/>
                <w:szCs w:val="20"/>
                <w:lang w:val="en-US"/>
              </w:rPr>
              <w:lastRenderedPageBreak/>
              <w:t>-</w:t>
            </w:r>
            <w:r w:rsidRPr="00FB5C78">
              <w:rPr>
                <w:sz w:val="20"/>
                <w:szCs w:val="20"/>
                <w:lang w:val="en-US"/>
              </w:rPr>
              <w:lastRenderedPageBreak/>
              <w:t>0,3581</w:t>
            </w:r>
          </w:p>
        </w:tc>
        <w:tc>
          <w:tcPr>
            <w:tcW w:w="796" w:type="dxa"/>
            <w:shd w:val="clear" w:color="auto" w:fill="auto"/>
          </w:tcPr>
          <w:p w:rsidR="00FB5C78" w:rsidRPr="00FB5C78" w:rsidRDefault="00FB5C78" w:rsidP="00FF5AB8">
            <w:pPr>
              <w:spacing w:line="276" w:lineRule="auto"/>
              <w:jc w:val="right"/>
              <w:cnfStyle w:val="000000100000" w:firstRow="0" w:lastRow="0" w:firstColumn="0" w:lastColumn="0" w:oddVBand="0" w:evenVBand="0" w:oddHBand="1" w:evenHBand="0" w:firstRowFirstColumn="0" w:firstRowLastColumn="0" w:lastRowFirstColumn="0" w:lastRowLastColumn="0"/>
              <w:rPr>
                <w:sz w:val="20"/>
                <w:szCs w:val="20"/>
                <w:lang w:val="en-US"/>
              </w:rPr>
            </w:pPr>
            <w:r w:rsidRPr="00FB5C78">
              <w:rPr>
                <w:sz w:val="20"/>
                <w:szCs w:val="20"/>
                <w:lang w:val="en-US"/>
              </w:rPr>
              <w:lastRenderedPageBreak/>
              <w:t>-0,5830</w:t>
            </w:r>
          </w:p>
        </w:tc>
      </w:tr>
      <w:tr w:rsidR="00FB5C78" w:rsidRPr="00FB5C78" w:rsidTr="00FB5C78">
        <w:trPr>
          <w:trHeight w:val="277"/>
          <w:jc w:val="center"/>
        </w:trPr>
        <w:tc>
          <w:tcPr>
            <w:cnfStyle w:val="001000000000" w:firstRow="0" w:lastRow="0" w:firstColumn="1" w:lastColumn="0" w:oddVBand="0" w:evenVBand="0" w:oddHBand="0" w:evenHBand="0" w:firstRowFirstColumn="0" w:firstRowLastColumn="0" w:lastRowFirstColumn="0" w:lastRowLastColumn="0"/>
            <w:tcW w:w="2715" w:type="dxa"/>
            <w:shd w:val="clear" w:color="auto" w:fill="auto"/>
          </w:tcPr>
          <w:p w:rsidR="00FB5C78" w:rsidRPr="00FB5C78" w:rsidRDefault="00FB5C78" w:rsidP="00FF5AB8">
            <w:pPr>
              <w:spacing w:line="276" w:lineRule="auto"/>
              <w:jc w:val="both"/>
              <w:rPr>
                <w:b w:val="0"/>
                <w:sz w:val="20"/>
                <w:szCs w:val="20"/>
                <w:lang w:val="en-US"/>
              </w:rPr>
            </w:pPr>
            <w:r w:rsidRPr="00FB5C78">
              <w:rPr>
                <w:b w:val="0"/>
                <w:sz w:val="20"/>
                <w:szCs w:val="20"/>
                <w:lang w:val="en-US"/>
              </w:rPr>
              <w:lastRenderedPageBreak/>
              <w:t>US Corp. Spread Diff. AAA-A</w:t>
            </w:r>
          </w:p>
        </w:tc>
        <w:tc>
          <w:tcPr>
            <w:tcW w:w="748" w:type="dxa"/>
            <w:shd w:val="clear" w:color="auto" w:fill="auto"/>
          </w:tcPr>
          <w:p w:rsidR="00FB5C78" w:rsidRPr="00FB5C78" w:rsidRDefault="00FB5C78" w:rsidP="00FF5AB8">
            <w:pPr>
              <w:spacing w:line="276" w:lineRule="auto"/>
              <w:jc w:val="right"/>
              <w:cnfStyle w:val="000000000000" w:firstRow="0" w:lastRow="0" w:firstColumn="0" w:lastColumn="0" w:oddVBand="0" w:evenVBand="0" w:oddHBand="0" w:evenHBand="0" w:firstRowFirstColumn="0" w:firstRowLastColumn="0" w:lastRowFirstColumn="0" w:lastRowLastColumn="0"/>
              <w:rPr>
                <w:sz w:val="20"/>
                <w:szCs w:val="20"/>
                <w:lang w:val="en-US"/>
              </w:rPr>
            </w:pPr>
            <w:r w:rsidRPr="00FB5C78">
              <w:rPr>
                <w:sz w:val="20"/>
                <w:szCs w:val="20"/>
                <w:lang w:val="en-US"/>
              </w:rPr>
              <w:t>-0,4347</w:t>
            </w:r>
          </w:p>
        </w:tc>
        <w:tc>
          <w:tcPr>
            <w:tcW w:w="749" w:type="dxa"/>
            <w:shd w:val="clear" w:color="auto" w:fill="auto"/>
          </w:tcPr>
          <w:p w:rsidR="00FB5C78" w:rsidRPr="00FB5C78" w:rsidRDefault="00FB5C78" w:rsidP="00FF5AB8">
            <w:pPr>
              <w:spacing w:line="276" w:lineRule="auto"/>
              <w:jc w:val="right"/>
              <w:cnfStyle w:val="000000000000" w:firstRow="0" w:lastRow="0" w:firstColumn="0" w:lastColumn="0" w:oddVBand="0" w:evenVBand="0" w:oddHBand="0" w:evenHBand="0" w:firstRowFirstColumn="0" w:firstRowLastColumn="0" w:lastRowFirstColumn="0" w:lastRowLastColumn="0"/>
              <w:rPr>
                <w:sz w:val="20"/>
                <w:szCs w:val="20"/>
                <w:lang w:val="en-US"/>
              </w:rPr>
            </w:pPr>
            <w:r w:rsidRPr="00FB5C78">
              <w:rPr>
                <w:sz w:val="20"/>
                <w:szCs w:val="20"/>
                <w:lang w:val="en-US"/>
              </w:rPr>
              <w:t>-0,4988</w:t>
            </w:r>
          </w:p>
        </w:tc>
        <w:tc>
          <w:tcPr>
            <w:tcW w:w="748" w:type="dxa"/>
            <w:shd w:val="clear" w:color="auto" w:fill="auto"/>
          </w:tcPr>
          <w:p w:rsidR="00FB5C78" w:rsidRPr="00FB5C78" w:rsidRDefault="00FB5C78" w:rsidP="00FF5AB8">
            <w:pPr>
              <w:spacing w:line="276" w:lineRule="auto"/>
              <w:jc w:val="right"/>
              <w:cnfStyle w:val="000000000000" w:firstRow="0" w:lastRow="0" w:firstColumn="0" w:lastColumn="0" w:oddVBand="0" w:evenVBand="0" w:oddHBand="0" w:evenHBand="0" w:firstRowFirstColumn="0" w:firstRowLastColumn="0" w:lastRowFirstColumn="0" w:lastRowLastColumn="0"/>
              <w:rPr>
                <w:sz w:val="20"/>
                <w:szCs w:val="20"/>
                <w:lang w:val="en-US"/>
              </w:rPr>
            </w:pPr>
            <w:r w:rsidRPr="00FB5C78">
              <w:rPr>
                <w:sz w:val="20"/>
                <w:szCs w:val="20"/>
                <w:lang w:val="en-US"/>
              </w:rPr>
              <w:t>-0,4084</w:t>
            </w:r>
          </w:p>
        </w:tc>
        <w:tc>
          <w:tcPr>
            <w:tcW w:w="749" w:type="dxa"/>
            <w:shd w:val="clear" w:color="auto" w:fill="auto"/>
          </w:tcPr>
          <w:p w:rsidR="00FB5C78" w:rsidRPr="00FB5C78" w:rsidRDefault="00FB5C78" w:rsidP="00FF5AB8">
            <w:pPr>
              <w:spacing w:line="276" w:lineRule="auto"/>
              <w:jc w:val="right"/>
              <w:cnfStyle w:val="000000000000" w:firstRow="0" w:lastRow="0" w:firstColumn="0" w:lastColumn="0" w:oddVBand="0" w:evenVBand="0" w:oddHBand="0" w:evenHBand="0" w:firstRowFirstColumn="0" w:firstRowLastColumn="0" w:lastRowFirstColumn="0" w:lastRowLastColumn="0"/>
              <w:rPr>
                <w:sz w:val="20"/>
                <w:szCs w:val="20"/>
                <w:lang w:val="en-US"/>
              </w:rPr>
            </w:pPr>
            <w:r w:rsidRPr="00FB5C78">
              <w:rPr>
                <w:sz w:val="20"/>
                <w:szCs w:val="20"/>
                <w:lang w:val="en-US"/>
              </w:rPr>
              <w:t>-0,4883</w:t>
            </w:r>
          </w:p>
        </w:tc>
        <w:tc>
          <w:tcPr>
            <w:tcW w:w="748" w:type="dxa"/>
            <w:shd w:val="clear" w:color="auto" w:fill="auto"/>
          </w:tcPr>
          <w:p w:rsidR="00FB5C78" w:rsidRPr="00FB5C78" w:rsidRDefault="00FB5C78" w:rsidP="00FF5AB8">
            <w:pPr>
              <w:spacing w:line="276" w:lineRule="auto"/>
              <w:jc w:val="right"/>
              <w:cnfStyle w:val="000000000000" w:firstRow="0" w:lastRow="0" w:firstColumn="0" w:lastColumn="0" w:oddVBand="0" w:evenVBand="0" w:oddHBand="0" w:evenHBand="0" w:firstRowFirstColumn="0" w:firstRowLastColumn="0" w:lastRowFirstColumn="0" w:lastRowLastColumn="0"/>
              <w:rPr>
                <w:sz w:val="20"/>
                <w:szCs w:val="20"/>
                <w:lang w:val="en-US"/>
              </w:rPr>
            </w:pPr>
            <w:r w:rsidRPr="00FB5C78">
              <w:rPr>
                <w:sz w:val="20"/>
                <w:szCs w:val="20"/>
                <w:lang w:val="en-US"/>
              </w:rPr>
              <w:t>-0,0656</w:t>
            </w:r>
          </w:p>
        </w:tc>
        <w:tc>
          <w:tcPr>
            <w:tcW w:w="749" w:type="dxa"/>
            <w:shd w:val="clear" w:color="auto" w:fill="auto"/>
          </w:tcPr>
          <w:p w:rsidR="00FB5C78" w:rsidRPr="00FB5C78" w:rsidRDefault="00FB5C78" w:rsidP="00FF5AB8">
            <w:pPr>
              <w:spacing w:line="276" w:lineRule="auto"/>
              <w:jc w:val="right"/>
              <w:cnfStyle w:val="000000000000" w:firstRow="0" w:lastRow="0" w:firstColumn="0" w:lastColumn="0" w:oddVBand="0" w:evenVBand="0" w:oddHBand="0" w:evenHBand="0" w:firstRowFirstColumn="0" w:firstRowLastColumn="0" w:lastRowFirstColumn="0" w:lastRowLastColumn="0"/>
              <w:rPr>
                <w:sz w:val="20"/>
                <w:szCs w:val="20"/>
                <w:lang w:val="en-US"/>
              </w:rPr>
            </w:pPr>
            <w:r w:rsidRPr="00FB5C78">
              <w:rPr>
                <w:sz w:val="20"/>
                <w:szCs w:val="20"/>
                <w:lang w:val="en-US"/>
              </w:rPr>
              <w:t>-0,1177</w:t>
            </w:r>
          </w:p>
        </w:tc>
        <w:tc>
          <w:tcPr>
            <w:tcW w:w="796" w:type="dxa"/>
            <w:shd w:val="clear" w:color="auto" w:fill="auto"/>
          </w:tcPr>
          <w:p w:rsidR="00FB5C78" w:rsidRPr="00FB5C78" w:rsidRDefault="00FB5C78" w:rsidP="00FF5AB8">
            <w:pPr>
              <w:spacing w:line="276" w:lineRule="auto"/>
              <w:jc w:val="right"/>
              <w:cnfStyle w:val="000000000000" w:firstRow="0" w:lastRow="0" w:firstColumn="0" w:lastColumn="0" w:oddVBand="0" w:evenVBand="0" w:oddHBand="0" w:evenHBand="0" w:firstRowFirstColumn="0" w:firstRowLastColumn="0" w:lastRowFirstColumn="0" w:lastRowLastColumn="0"/>
              <w:rPr>
                <w:sz w:val="20"/>
                <w:szCs w:val="20"/>
                <w:lang w:val="en-US"/>
              </w:rPr>
            </w:pPr>
            <w:r w:rsidRPr="00FB5C78">
              <w:rPr>
                <w:sz w:val="20"/>
                <w:szCs w:val="20"/>
                <w:lang w:val="en-US"/>
              </w:rPr>
              <w:t>-0,3792</w:t>
            </w:r>
          </w:p>
        </w:tc>
      </w:tr>
      <w:tr w:rsidR="00FB5C78" w:rsidRPr="00FB5C78" w:rsidTr="00FB5C78">
        <w:trPr>
          <w:cnfStyle w:val="000000100000" w:firstRow="0" w:lastRow="0" w:firstColumn="0" w:lastColumn="0" w:oddVBand="0" w:evenVBand="0" w:oddHBand="1" w:evenHBand="0" w:firstRowFirstColumn="0" w:firstRowLastColumn="0" w:lastRowFirstColumn="0" w:lastRowLastColumn="0"/>
          <w:trHeight w:val="261"/>
          <w:jc w:val="center"/>
        </w:trPr>
        <w:tc>
          <w:tcPr>
            <w:cnfStyle w:val="001000000000" w:firstRow="0" w:lastRow="0" w:firstColumn="1" w:lastColumn="0" w:oddVBand="0" w:evenVBand="0" w:oddHBand="0" w:evenHBand="0" w:firstRowFirstColumn="0" w:firstRowLastColumn="0" w:lastRowFirstColumn="0" w:lastRowLastColumn="0"/>
            <w:tcW w:w="2715" w:type="dxa"/>
            <w:shd w:val="clear" w:color="auto" w:fill="auto"/>
          </w:tcPr>
          <w:p w:rsidR="00FB5C78" w:rsidRPr="00FB5C78" w:rsidRDefault="00FB5C78" w:rsidP="00FF5AB8">
            <w:pPr>
              <w:spacing w:line="276" w:lineRule="auto"/>
              <w:jc w:val="both"/>
              <w:rPr>
                <w:b w:val="0"/>
                <w:sz w:val="20"/>
                <w:szCs w:val="20"/>
                <w:lang w:val="en-US"/>
              </w:rPr>
            </w:pPr>
            <w:r w:rsidRPr="00FB5C78">
              <w:rPr>
                <w:b w:val="0"/>
                <w:sz w:val="20"/>
                <w:szCs w:val="20"/>
                <w:lang w:val="en-US"/>
              </w:rPr>
              <w:t>US Corp. Spread Diff. BBB-B</w:t>
            </w:r>
          </w:p>
        </w:tc>
        <w:tc>
          <w:tcPr>
            <w:tcW w:w="748" w:type="dxa"/>
            <w:shd w:val="clear" w:color="auto" w:fill="auto"/>
          </w:tcPr>
          <w:p w:rsidR="00FB5C78" w:rsidRPr="00FB5C78" w:rsidRDefault="00FB5C78" w:rsidP="00FF5AB8">
            <w:pPr>
              <w:spacing w:line="276" w:lineRule="auto"/>
              <w:jc w:val="right"/>
              <w:cnfStyle w:val="000000100000" w:firstRow="0" w:lastRow="0" w:firstColumn="0" w:lastColumn="0" w:oddVBand="0" w:evenVBand="0" w:oddHBand="1" w:evenHBand="0" w:firstRowFirstColumn="0" w:firstRowLastColumn="0" w:lastRowFirstColumn="0" w:lastRowLastColumn="0"/>
              <w:rPr>
                <w:sz w:val="20"/>
                <w:szCs w:val="20"/>
                <w:lang w:val="en-US"/>
              </w:rPr>
            </w:pPr>
            <w:r w:rsidRPr="00FB5C78">
              <w:rPr>
                <w:sz w:val="20"/>
                <w:szCs w:val="20"/>
                <w:lang w:val="en-US"/>
              </w:rPr>
              <w:t>0,0162</w:t>
            </w:r>
          </w:p>
        </w:tc>
        <w:tc>
          <w:tcPr>
            <w:tcW w:w="749" w:type="dxa"/>
            <w:shd w:val="clear" w:color="auto" w:fill="auto"/>
          </w:tcPr>
          <w:p w:rsidR="00FB5C78" w:rsidRPr="00FB5C78" w:rsidRDefault="00FB5C78" w:rsidP="00FF5AB8">
            <w:pPr>
              <w:spacing w:line="276" w:lineRule="auto"/>
              <w:jc w:val="right"/>
              <w:cnfStyle w:val="000000100000" w:firstRow="0" w:lastRow="0" w:firstColumn="0" w:lastColumn="0" w:oddVBand="0" w:evenVBand="0" w:oddHBand="1" w:evenHBand="0" w:firstRowFirstColumn="0" w:firstRowLastColumn="0" w:lastRowFirstColumn="0" w:lastRowLastColumn="0"/>
              <w:rPr>
                <w:sz w:val="20"/>
                <w:szCs w:val="20"/>
                <w:lang w:val="en-US"/>
              </w:rPr>
            </w:pPr>
            <w:r w:rsidRPr="00FB5C78">
              <w:rPr>
                <w:sz w:val="20"/>
                <w:szCs w:val="20"/>
                <w:lang w:val="en-US"/>
              </w:rPr>
              <w:t>0,01</w:t>
            </w:r>
          </w:p>
        </w:tc>
        <w:tc>
          <w:tcPr>
            <w:tcW w:w="748" w:type="dxa"/>
            <w:shd w:val="clear" w:color="auto" w:fill="auto"/>
          </w:tcPr>
          <w:p w:rsidR="00FB5C78" w:rsidRPr="00FB5C78" w:rsidRDefault="00FB5C78" w:rsidP="00FF5AB8">
            <w:pPr>
              <w:spacing w:line="276" w:lineRule="auto"/>
              <w:jc w:val="right"/>
              <w:cnfStyle w:val="000000100000" w:firstRow="0" w:lastRow="0" w:firstColumn="0" w:lastColumn="0" w:oddVBand="0" w:evenVBand="0" w:oddHBand="1" w:evenHBand="0" w:firstRowFirstColumn="0" w:firstRowLastColumn="0" w:lastRowFirstColumn="0" w:lastRowLastColumn="0"/>
              <w:rPr>
                <w:sz w:val="20"/>
                <w:szCs w:val="20"/>
                <w:lang w:val="en-US"/>
              </w:rPr>
            </w:pPr>
            <w:r w:rsidRPr="00FB5C78">
              <w:rPr>
                <w:sz w:val="20"/>
                <w:szCs w:val="20"/>
                <w:lang w:val="en-US"/>
              </w:rPr>
              <w:t>0,0254</w:t>
            </w:r>
          </w:p>
        </w:tc>
        <w:tc>
          <w:tcPr>
            <w:tcW w:w="749" w:type="dxa"/>
            <w:shd w:val="clear" w:color="auto" w:fill="auto"/>
          </w:tcPr>
          <w:p w:rsidR="00FB5C78" w:rsidRPr="00FB5C78" w:rsidRDefault="00FB5C78" w:rsidP="00FF5AB8">
            <w:pPr>
              <w:spacing w:line="276" w:lineRule="auto"/>
              <w:jc w:val="right"/>
              <w:cnfStyle w:val="000000100000" w:firstRow="0" w:lastRow="0" w:firstColumn="0" w:lastColumn="0" w:oddVBand="0" w:evenVBand="0" w:oddHBand="1" w:evenHBand="0" w:firstRowFirstColumn="0" w:firstRowLastColumn="0" w:lastRowFirstColumn="0" w:lastRowLastColumn="0"/>
              <w:rPr>
                <w:sz w:val="20"/>
                <w:szCs w:val="20"/>
                <w:lang w:val="en-US"/>
              </w:rPr>
            </w:pPr>
            <w:r w:rsidRPr="00FB5C78">
              <w:rPr>
                <w:sz w:val="20"/>
                <w:szCs w:val="20"/>
                <w:lang w:val="en-US"/>
              </w:rPr>
              <w:t>-0,0252</w:t>
            </w:r>
          </w:p>
        </w:tc>
        <w:tc>
          <w:tcPr>
            <w:tcW w:w="748" w:type="dxa"/>
            <w:shd w:val="clear" w:color="auto" w:fill="auto"/>
          </w:tcPr>
          <w:p w:rsidR="00FB5C78" w:rsidRPr="00FB5C78" w:rsidRDefault="00FB5C78" w:rsidP="00FF5AB8">
            <w:pPr>
              <w:spacing w:line="276" w:lineRule="auto"/>
              <w:jc w:val="right"/>
              <w:cnfStyle w:val="000000100000" w:firstRow="0" w:lastRow="0" w:firstColumn="0" w:lastColumn="0" w:oddVBand="0" w:evenVBand="0" w:oddHBand="1" w:evenHBand="0" w:firstRowFirstColumn="0" w:firstRowLastColumn="0" w:lastRowFirstColumn="0" w:lastRowLastColumn="0"/>
              <w:rPr>
                <w:sz w:val="20"/>
                <w:szCs w:val="20"/>
                <w:lang w:val="en-US"/>
              </w:rPr>
            </w:pPr>
            <w:r w:rsidRPr="00FB5C78">
              <w:rPr>
                <w:sz w:val="20"/>
                <w:szCs w:val="20"/>
                <w:lang w:val="en-US"/>
              </w:rPr>
              <w:t>-0,0538</w:t>
            </w:r>
          </w:p>
        </w:tc>
        <w:tc>
          <w:tcPr>
            <w:tcW w:w="749" w:type="dxa"/>
            <w:shd w:val="clear" w:color="auto" w:fill="auto"/>
          </w:tcPr>
          <w:p w:rsidR="00FB5C78" w:rsidRPr="00FB5C78" w:rsidRDefault="00FB5C78" w:rsidP="00FF5AB8">
            <w:pPr>
              <w:spacing w:line="276" w:lineRule="auto"/>
              <w:jc w:val="right"/>
              <w:cnfStyle w:val="000000100000" w:firstRow="0" w:lastRow="0" w:firstColumn="0" w:lastColumn="0" w:oddVBand="0" w:evenVBand="0" w:oddHBand="1" w:evenHBand="0" w:firstRowFirstColumn="0" w:firstRowLastColumn="0" w:lastRowFirstColumn="0" w:lastRowLastColumn="0"/>
              <w:rPr>
                <w:sz w:val="20"/>
                <w:szCs w:val="20"/>
                <w:lang w:val="en-US"/>
              </w:rPr>
            </w:pPr>
            <w:r w:rsidRPr="00FB5C78">
              <w:rPr>
                <w:sz w:val="20"/>
                <w:szCs w:val="20"/>
                <w:lang w:val="en-US"/>
              </w:rPr>
              <w:t>-0,1123</w:t>
            </w:r>
          </w:p>
        </w:tc>
        <w:tc>
          <w:tcPr>
            <w:tcW w:w="796" w:type="dxa"/>
            <w:shd w:val="clear" w:color="auto" w:fill="auto"/>
          </w:tcPr>
          <w:p w:rsidR="00FB5C78" w:rsidRPr="00FB5C78" w:rsidRDefault="00FB5C78" w:rsidP="00FF5AB8">
            <w:pPr>
              <w:spacing w:line="276" w:lineRule="auto"/>
              <w:jc w:val="right"/>
              <w:cnfStyle w:val="000000100000" w:firstRow="0" w:lastRow="0" w:firstColumn="0" w:lastColumn="0" w:oddVBand="0" w:evenVBand="0" w:oddHBand="1" w:evenHBand="0" w:firstRowFirstColumn="0" w:firstRowLastColumn="0" w:lastRowFirstColumn="0" w:lastRowLastColumn="0"/>
              <w:rPr>
                <w:sz w:val="20"/>
                <w:szCs w:val="20"/>
                <w:lang w:val="en-US"/>
              </w:rPr>
            </w:pPr>
            <w:r w:rsidRPr="00FB5C78">
              <w:rPr>
                <w:sz w:val="20"/>
                <w:szCs w:val="20"/>
                <w:lang w:val="en-US"/>
              </w:rPr>
              <w:t>-0,0119</w:t>
            </w:r>
          </w:p>
        </w:tc>
      </w:tr>
      <w:tr w:rsidR="00FB5C78" w:rsidRPr="00FB5C78" w:rsidTr="00FB5C78">
        <w:trPr>
          <w:trHeight w:val="261"/>
          <w:jc w:val="center"/>
        </w:trPr>
        <w:tc>
          <w:tcPr>
            <w:cnfStyle w:val="001000000000" w:firstRow="0" w:lastRow="0" w:firstColumn="1" w:lastColumn="0" w:oddVBand="0" w:evenVBand="0" w:oddHBand="0" w:evenHBand="0" w:firstRowFirstColumn="0" w:firstRowLastColumn="0" w:lastRowFirstColumn="0" w:lastRowLastColumn="0"/>
            <w:tcW w:w="2715" w:type="dxa"/>
            <w:shd w:val="clear" w:color="auto" w:fill="auto"/>
          </w:tcPr>
          <w:p w:rsidR="00FB5C78" w:rsidRPr="00FB5C78" w:rsidRDefault="00FB5C78" w:rsidP="00FF5AB8">
            <w:pPr>
              <w:spacing w:line="276" w:lineRule="auto"/>
              <w:jc w:val="both"/>
              <w:rPr>
                <w:b w:val="0"/>
                <w:sz w:val="20"/>
                <w:szCs w:val="20"/>
                <w:lang w:val="en-US"/>
              </w:rPr>
            </w:pPr>
            <w:r w:rsidRPr="00FB5C78">
              <w:rPr>
                <w:b w:val="0"/>
                <w:sz w:val="20"/>
                <w:szCs w:val="20"/>
                <w:lang w:val="en-US"/>
              </w:rPr>
              <w:t>CMT-5 years</w:t>
            </w:r>
          </w:p>
        </w:tc>
        <w:tc>
          <w:tcPr>
            <w:tcW w:w="748" w:type="dxa"/>
            <w:shd w:val="clear" w:color="auto" w:fill="auto"/>
          </w:tcPr>
          <w:p w:rsidR="00FB5C78" w:rsidRPr="00FB5C78" w:rsidRDefault="00FB5C78" w:rsidP="00FF5AB8">
            <w:pPr>
              <w:spacing w:line="276" w:lineRule="auto"/>
              <w:jc w:val="right"/>
              <w:cnfStyle w:val="000000000000" w:firstRow="0" w:lastRow="0" w:firstColumn="0" w:lastColumn="0" w:oddVBand="0" w:evenVBand="0" w:oddHBand="0" w:evenHBand="0" w:firstRowFirstColumn="0" w:firstRowLastColumn="0" w:lastRowFirstColumn="0" w:lastRowLastColumn="0"/>
              <w:rPr>
                <w:sz w:val="20"/>
                <w:szCs w:val="20"/>
                <w:lang w:val="en-US"/>
              </w:rPr>
            </w:pPr>
            <w:r w:rsidRPr="00FB5C78">
              <w:rPr>
                <w:sz w:val="20"/>
                <w:szCs w:val="20"/>
                <w:lang w:val="en-US"/>
              </w:rPr>
              <w:t>-0,2487</w:t>
            </w:r>
          </w:p>
        </w:tc>
        <w:tc>
          <w:tcPr>
            <w:tcW w:w="749" w:type="dxa"/>
            <w:shd w:val="clear" w:color="auto" w:fill="auto"/>
          </w:tcPr>
          <w:p w:rsidR="00FB5C78" w:rsidRPr="00FB5C78" w:rsidRDefault="00FB5C78" w:rsidP="00FF5AB8">
            <w:pPr>
              <w:spacing w:line="276" w:lineRule="auto"/>
              <w:jc w:val="right"/>
              <w:cnfStyle w:val="000000000000" w:firstRow="0" w:lastRow="0" w:firstColumn="0" w:lastColumn="0" w:oddVBand="0" w:evenVBand="0" w:oddHBand="0" w:evenHBand="0" w:firstRowFirstColumn="0" w:firstRowLastColumn="0" w:lastRowFirstColumn="0" w:lastRowLastColumn="0"/>
              <w:rPr>
                <w:sz w:val="20"/>
                <w:szCs w:val="20"/>
                <w:lang w:val="en-US"/>
              </w:rPr>
            </w:pPr>
            <w:r w:rsidRPr="00FB5C78">
              <w:rPr>
                <w:sz w:val="20"/>
                <w:szCs w:val="20"/>
                <w:lang w:val="en-US"/>
              </w:rPr>
              <w:t>-0,2366</w:t>
            </w:r>
          </w:p>
        </w:tc>
        <w:tc>
          <w:tcPr>
            <w:tcW w:w="748" w:type="dxa"/>
            <w:shd w:val="clear" w:color="auto" w:fill="auto"/>
          </w:tcPr>
          <w:p w:rsidR="00FB5C78" w:rsidRPr="00FB5C78" w:rsidRDefault="00FB5C78" w:rsidP="00FF5AB8">
            <w:pPr>
              <w:spacing w:line="276" w:lineRule="auto"/>
              <w:jc w:val="right"/>
              <w:cnfStyle w:val="000000000000" w:firstRow="0" w:lastRow="0" w:firstColumn="0" w:lastColumn="0" w:oddVBand="0" w:evenVBand="0" w:oddHBand="0" w:evenHBand="0" w:firstRowFirstColumn="0" w:firstRowLastColumn="0" w:lastRowFirstColumn="0" w:lastRowLastColumn="0"/>
              <w:rPr>
                <w:sz w:val="20"/>
                <w:szCs w:val="20"/>
                <w:lang w:val="en-US"/>
              </w:rPr>
            </w:pPr>
            <w:r w:rsidRPr="00FB5C78">
              <w:rPr>
                <w:sz w:val="20"/>
                <w:szCs w:val="20"/>
                <w:lang w:val="en-US"/>
              </w:rPr>
              <w:t>-0,1822</w:t>
            </w:r>
          </w:p>
        </w:tc>
        <w:tc>
          <w:tcPr>
            <w:tcW w:w="749" w:type="dxa"/>
            <w:shd w:val="clear" w:color="auto" w:fill="auto"/>
          </w:tcPr>
          <w:p w:rsidR="00FB5C78" w:rsidRPr="00FB5C78" w:rsidRDefault="00FB5C78" w:rsidP="00FF5AB8">
            <w:pPr>
              <w:spacing w:line="276" w:lineRule="auto"/>
              <w:jc w:val="right"/>
              <w:cnfStyle w:val="000000000000" w:firstRow="0" w:lastRow="0" w:firstColumn="0" w:lastColumn="0" w:oddVBand="0" w:evenVBand="0" w:oddHBand="0" w:evenHBand="0" w:firstRowFirstColumn="0" w:firstRowLastColumn="0" w:lastRowFirstColumn="0" w:lastRowLastColumn="0"/>
              <w:rPr>
                <w:sz w:val="20"/>
                <w:szCs w:val="20"/>
                <w:lang w:val="en-US"/>
              </w:rPr>
            </w:pPr>
            <w:r w:rsidRPr="00FB5C78">
              <w:rPr>
                <w:sz w:val="20"/>
                <w:szCs w:val="20"/>
                <w:lang w:val="en-US"/>
              </w:rPr>
              <w:t>-0,1973</w:t>
            </w:r>
          </w:p>
        </w:tc>
        <w:tc>
          <w:tcPr>
            <w:tcW w:w="748" w:type="dxa"/>
            <w:shd w:val="clear" w:color="auto" w:fill="auto"/>
          </w:tcPr>
          <w:p w:rsidR="00FB5C78" w:rsidRPr="00FB5C78" w:rsidRDefault="00FB5C78" w:rsidP="00FF5AB8">
            <w:pPr>
              <w:spacing w:line="276" w:lineRule="auto"/>
              <w:jc w:val="right"/>
              <w:cnfStyle w:val="000000000000" w:firstRow="0" w:lastRow="0" w:firstColumn="0" w:lastColumn="0" w:oddVBand="0" w:evenVBand="0" w:oddHBand="0" w:evenHBand="0" w:firstRowFirstColumn="0" w:firstRowLastColumn="0" w:lastRowFirstColumn="0" w:lastRowLastColumn="0"/>
              <w:rPr>
                <w:sz w:val="20"/>
                <w:szCs w:val="20"/>
                <w:lang w:val="en-US"/>
              </w:rPr>
            </w:pPr>
            <w:r w:rsidRPr="00FB5C78">
              <w:rPr>
                <w:sz w:val="20"/>
                <w:szCs w:val="20"/>
                <w:lang w:val="en-US"/>
              </w:rPr>
              <w:t>-0,1591</w:t>
            </w:r>
          </w:p>
        </w:tc>
        <w:tc>
          <w:tcPr>
            <w:tcW w:w="749" w:type="dxa"/>
            <w:shd w:val="clear" w:color="auto" w:fill="auto"/>
          </w:tcPr>
          <w:p w:rsidR="00FB5C78" w:rsidRPr="00FB5C78" w:rsidRDefault="00FB5C78" w:rsidP="00FF5AB8">
            <w:pPr>
              <w:spacing w:line="276" w:lineRule="auto"/>
              <w:jc w:val="right"/>
              <w:cnfStyle w:val="000000000000" w:firstRow="0" w:lastRow="0" w:firstColumn="0" w:lastColumn="0" w:oddVBand="0" w:evenVBand="0" w:oddHBand="0" w:evenHBand="0" w:firstRowFirstColumn="0" w:firstRowLastColumn="0" w:lastRowFirstColumn="0" w:lastRowLastColumn="0"/>
              <w:rPr>
                <w:sz w:val="20"/>
                <w:szCs w:val="20"/>
                <w:lang w:val="en-US"/>
              </w:rPr>
            </w:pPr>
            <w:r w:rsidRPr="00FB5C78">
              <w:rPr>
                <w:sz w:val="20"/>
                <w:szCs w:val="20"/>
                <w:lang w:val="en-US"/>
              </w:rPr>
              <w:t>-0,0726</w:t>
            </w:r>
          </w:p>
        </w:tc>
        <w:tc>
          <w:tcPr>
            <w:tcW w:w="796" w:type="dxa"/>
            <w:shd w:val="clear" w:color="auto" w:fill="auto"/>
          </w:tcPr>
          <w:p w:rsidR="00FB5C78" w:rsidRPr="00FB5C78" w:rsidRDefault="00FB5C78" w:rsidP="00FF5AB8">
            <w:pPr>
              <w:spacing w:line="276" w:lineRule="auto"/>
              <w:jc w:val="right"/>
              <w:cnfStyle w:val="000000000000" w:firstRow="0" w:lastRow="0" w:firstColumn="0" w:lastColumn="0" w:oddVBand="0" w:evenVBand="0" w:oddHBand="0" w:evenHBand="0" w:firstRowFirstColumn="0" w:firstRowLastColumn="0" w:lastRowFirstColumn="0" w:lastRowLastColumn="0"/>
              <w:rPr>
                <w:sz w:val="20"/>
                <w:szCs w:val="20"/>
                <w:lang w:val="en-US"/>
              </w:rPr>
            </w:pPr>
            <w:r w:rsidRPr="00FB5C78">
              <w:rPr>
                <w:sz w:val="20"/>
                <w:szCs w:val="20"/>
                <w:lang w:val="en-US"/>
              </w:rPr>
              <w:t>-0,1956</w:t>
            </w:r>
          </w:p>
        </w:tc>
      </w:tr>
      <w:tr w:rsidR="00FB5C78" w:rsidRPr="00FB5C78" w:rsidTr="00FB5C78">
        <w:trPr>
          <w:cnfStyle w:val="000000100000" w:firstRow="0" w:lastRow="0" w:firstColumn="0" w:lastColumn="0" w:oddVBand="0" w:evenVBand="0" w:oddHBand="1" w:evenHBand="0" w:firstRowFirstColumn="0" w:firstRowLastColumn="0" w:lastRowFirstColumn="0" w:lastRowLastColumn="0"/>
          <w:trHeight w:val="228"/>
          <w:jc w:val="center"/>
        </w:trPr>
        <w:tc>
          <w:tcPr>
            <w:cnfStyle w:val="001000000000" w:firstRow="0" w:lastRow="0" w:firstColumn="1" w:lastColumn="0" w:oddVBand="0" w:evenVBand="0" w:oddHBand="0" w:evenHBand="0" w:firstRowFirstColumn="0" w:firstRowLastColumn="0" w:lastRowFirstColumn="0" w:lastRowLastColumn="0"/>
            <w:tcW w:w="2715" w:type="dxa"/>
            <w:shd w:val="clear" w:color="auto" w:fill="auto"/>
          </w:tcPr>
          <w:p w:rsidR="00FB5C78" w:rsidRPr="00FB5C78" w:rsidRDefault="00FB5C78" w:rsidP="00FF5AB8">
            <w:pPr>
              <w:jc w:val="both"/>
              <w:rPr>
                <w:b w:val="0"/>
                <w:sz w:val="20"/>
                <w:szCs w:val="20"/>
                <w:lang w:val="en-US"/>
              </w:rPr>
            </w:pPr>
            <w:r w:rsidRPr="00FB5C78">
              <w:rPr>
                <w:b w:val="0"/>
                <w:sz w:val="20"/>
                <w:szCs w:val="20"/>
                <w:lang w:val="en-US"/>
              </w:rPr>
              <w:t>5 years UST Excess Returns</w:t>
            </w:r>
          </w:p>
        </w:tc>
        <w:tc>
          <w:tcPr>
            <w:tcW w:w="748" w:type="dxa"/>
            <w:shd w:val="clear" w:color="auto" w:fill="auto"/>
          </w:tcPr>
          <w:p w:rsidR="00FB5C78" w:rsidRPr="00FB5C78" w:rsidRDefault="00FB5C78" w:rsidP="00FF5AB8">
            <w:pPr>
              <w:jc w:val="right"/>
              <w:cnfStyle w:val="000000100000" w:firstRow="0" w:lastRow="0" w:firstColumn="0" w:lastColumn="0" w:oddVBand="0" w:evenVBand="0" w:oddHBand="1" w:evenHBand="0" w:firstRowFirstColumn="0" w:firstRowLastColumn="0" w:lastRowFirstColumn="0" w:lastRowLastColumn="0"/>
              <w:rPr>
                <w:sz w:val="20"/>
                <w:szCs w:val="20"/>
                <w:lang w:val="en-US"/>
              </w:rPr>
            </w:pPr>
            <w:r w:rsidRPr="00FB5C78">
              <w:rPr>
                <w:sz w:val="20"/>
                <w:szCs w:val="20"/>
                <w:lang w:val="en-US"/>
              </w:rPr>
              <w:t>-0,0887</w:t>
            </w:r>
          </w:p>
        </w:tc>
        <w:tc>
          <w:tcPr>
            <w:tcW w:w="749" w:type="dxa"/>
            <w:shd w:val="clear" w:color="auto" w:fill="auto"/>
          </w:tcPr>
          <w:p w:rsidR="00FB5C78" w:rsidRPr="00FB5C78" w:rsidRDefault="00FB5C78" w:rsidP="00FF5AB8">
            <w:pPr>
              <w:jc w:val="right"/>
              <w:cnfStyle w:val="000000100000" w:firstRow="0" w:lastRow="0" w:firstColumn="0" w:lastColumn="0" w:oddVBand="0" w:evenVBand="0" w:oddHBand="1" w:evenHBand="0" w:firstRowFirstColumn="0" w:firstRowLastColumn="0" w:lastRowFirstColumn="0" w:lastRowLastColumn="0"/>
              <w:rPr>
                <w:sz w:val="20"/>
                <w:szCs w:val="20"/>
                <w:lang w:val="en-US"/>
              </w:rPr>
            </w:pPr>
            <w:r w:rsidRPr="00FB5C78">
              <w:rPr>
                <w:sz w:val="20"/>
                <w:szCs w:val="20"/>
                <w:lang w:val="en-US"/>
              </w:rPr>
              <w:t>-0,114</w:t>
            </w:r>
          </w:p>
        </w:tc>
        <w:tc>
          <w:tcPr>
            <w:tcW w:w="748" w:type="dxa"/>
            <w:shd w:val="clear" w:color="auto" w:fill="auto"/>
          </w:tcPr>
          <w:p w:rsidR="00FB5C78" w:rsidRPr="00FB5C78" w:rsidRDefault="00FB5C78" w:rsidP="00FF5AB8">
            <w:pPr>
              <w:jc w:val="right"/>
              <w:cnfStyle w:val="000000100000" w:firstRow="0" w:lastRow="0" w:firstColumn="0" w:lastColumn="0" w:oddVBand="0" w:evenVBand="0" w:oddHBand="1" w:evenHBand="0" w:firstRowFirstColumn="0" w:firstRowLastColumn="0" w:lastRowFirstColumn="0" w:lastRowLastColumn="0"/>
              <w:rPr>
                <w:sz w:val="20"/>
                <w:szCs w:val="20"/>
                <w:lang w:val="en-US"/>
              </w:rPr>
            </w:pPr>
            <w:r w:rsidRPr="00FB5C78">
              <w:rPr>
                <w:sz w:val="20"/>
                <w:szCs w:val="20"/>
                <w:lang w:val="en-US"/>
              </w:rPr>
              <w:t>-0,1586</w:t>
            </w:r>
          </w:p>
        </w:tc>
        <w:tc>
          <w:tcPr>
            <w:tcW w:w="749" w:type="dxa"/>
            <w:shd w:val="clear" w:color="auto" w:fill="auto"/>
          </w:tcPr>
          <w:p w:rsidR="00FB5C78" w:rsidRPr="00FB5C78" w:rsidRDefault="00FB5C78" w:rsidP="00FF5AB8">
            <w:pPr>
              <w:jc w:val="right"/>
              <w:cnfStyle w:val="000000100000" w:firstRow="0" w:lastRow="0" w:firstColumn="0" w:lastColumn="0" w:oddVBand="0" w:evenVBand="0" w:oddHBand="1" w:evenHBand="0" w:firstRowFirstColumn="0" w:firstRowLastColumn="0" w:lastRowFirstColumn="0" w:lastRowLastColumn="0"/>
              <w:rPr>
                <w:sz w:val="20"/>
                <w:szCs w:val="20"/>
                <w:lang w:val="en-US"/>
              </w:rPr>
            </w:pPr>
            <w:r w:rsidRPr="00FB5C78">
              <w:rPr>
                <w:sz w:val="20"/>
                <w:szCs w:val="20"/>
                <w:lang w:val="en-US"/>
              </w:rPr>
              <w:t>0,0404</w:t>
            </w:r>
          </w:p>
        </w:tc>
        <w:tc>
          <w:tcPr>
            <w:tcW w:w="748" w:type="dxa"/>
            <w:shd w:val="clear" w:color="auto" w:fill="auto"/>
          </w:tcPr>
          <w:p w:rsidR="00FB5C78" w:rsidRPr="00FB5C78" w:rsidRDefault="00FB5C78" w:rsidP="00FF5AB8">
            <w:pPr>
              <w:jc w:val="right"/>
              <w:cnfStyle w:val="000000100000" w:firstRow="0" w:lastRow="0" w:firstColumn="0" w:lastColumn="0" w:oddVBand="0" w:evenVBand="0" w:oddHBand="1" w:evenHBand="0" w:firstRowFirstColumn="0" w:firstRowLastColumn="0" w:lastRowFirstColumn="0" w:lastRowLastColumn="0"/>
              <w:rPr>
                <w:sz w:val="20"/>
                <w:szCs w:val="20"/>
                <w:lang w:val="en-US"/>
              </w:rPr>
            </w:pPr>
            <w:r w:rsidRPr="00FB5C78">
              <w:rPr>
                <w:sz w:val="20"/>
                <w:szCs w:val="20"/>
                <w:lang w:val="en-US"/>
              </w:rPr>
              <w:t>-0,0508</w:t>
            </w:r>
          </w:p>
        </w:tc>
        <w:tc>
          <w:tcPr>
            <w:tcW w:w="749" w:type="dxa"/>
            <w:shd w:val="clear" w:color="auto" w:fill="auto"/>
          </w:tcPr>
          <w:p w:rsidR="00FB5C78" w:rsidRPr="00FB5C78" w:rsidRDefault="00FB5C78" w:rsidP="00FF5AB8">
            <w:pPr>
              <w:jc w:val="right"/>
              <w:cnfStyle w:val="000000100000" w:firstRow="0" w:lastRow="0" w:firstColumn="0" w:lastColumn="0" w:oddVBand="0" w:evenVBand="0" w:oddHBand="1" w:evenHBand="0" w:firstRowFirstColumn="0" w:firstRowLastColumn="0" w:lastRowFirstColumn="0" w:lastRowLastColumn="0"/>
              <w:rPr>
                <w:sz w:val="20"/>
                <w:szCs w:val="20"/>
                <w:lang w:val="en-US"/>
              </w:rPr>
            </w:pPr>
            <w:r w:rsidRPr="00FB5C78">
              <w:rPr>
                <w:sz w:val="20"/>
                <w:szCs w:val="20"/>
                <w:lang w:val="en-US"/>
              </w:rPr>
              <w:t>0,0212</w:t>
            </w:r>
          </w:p>
        </w:tc>
        <w:tc>
          <w:tcPr>
            <w:tcW w:w="796" w:type="dxa"/>
            <w:shd w:val="clear" w:color="auto" w:fill="auto"/>
          </w:tcPr>
          <w:p w:rsidR="00FB5C78" w:rsidRPr="00FB5C78" w:rsidRDefault="00FB5C78" w:rsidP="00FF5AB8">
            <w:pPr>
              <w:jc w:val="right"/>
              <w:cnfStyle w:val="000000100000" w:firstRow="0" w:lastRow="0" w:firstColumn="0" w:lastColumn="0" w:oddVBand="0" w:evenVBand="0" w:oddHBand="1" w:evenHBand="0" w:firstRowFirstColumn="0" w:firstRowLastColumn="0" w:lastRowFirstColumn="0" w:lastRowLastColumn="0"/>
              <w:rPr>
                <w:sz w:val="20"/>
                <w:szCs w:val="20"/>
                <w:lang w:val="en-US"/>
              </w:rPr>
            </w:pPr>
            <w:r w:rsidRPr="00FB5C78">
              <w:rPr>
                <w:sz w:val="20"/>
                <w:szCs w:val="20"/>
                <w:lang w:val="en-US"/>
              </w:rPr>
              <w:t>-0,0673</w:t>
            </w:r>
          </w:p>
        </w:tc>
      </w:tr>
      <w:tr w:rsidR="00FB5C78" w:rsidRPr="00FB5C78" w:rsidTr="00FB5C78">
        <w:trPr>
          <w:trHeight w:val="294"/>
          <w:jc w:val="center"/>
        </w:trPr>
        <w:tc>
          <w:tcPr>
            <w:cnfStyle w:val="001000000000" w:firstRow="0" w:lastRow="0" w:firstColumn="1" w:lastColumn="0" w:oddVBand="0" w:evenVBand="0" w:oddHBand="0" w:evenHBand="0" w:firstRowFirstColumn="0" w:firstRowLastColumn="0" w:lastRowFirstColumn="0" w:lastRowLastColumn="0"/>
            <w:tcW w:w="2715" w:type="dxa"/>
            <w:shd w:val="clear" w:color="auto" w:fill="auto"/>
          </w:tcPr>
          <w:p w:rsidR="00FB5C78" w:rsidRPr="00FB5C78" w:rsidRDefault="00FB5C78" w:rsidP="00FF5AB8">
            <w:pPr>
              <w:spacing w:line="276" w:lineRule="auto"/>
              <w:jc w:val="both"/>
              <w:rPr>
                <w:b w:val="0"/>
                <w:sz w:val="20"/>
                <w:szCs w:val="20"/>
                <w:lang w:val="en-US"/>
              </w:rPr>
            </w:pPr>
            <w:r w:rsidRPr="00FB5C78">
              <w:rPr>
                <w:b w:val="0"/>
                <w:sz w:val="20"/>
                <w:szCs w:val="20"/>
                <w:lang w:val="en-US"/>
              </w:rPr>
              <w:t>EMBI</w:t>
            </w:r>
          </w:p>
        </w:tc>
        <w:tc>
          <w:tcPr>
            <w:tcW w:w="748" w:type="dxa"/>
            <w:shd w:val="clear" w:color="auto" w:fill="auto"/>
          </w:tcPr>
          <w:p w:rsidR="00FB5C78" w:rsidRPr="00FB5C78" w:rsidRDefault="00FB5C78" w:rsidP="00FF5AB8">
            <w:pPr>
              <w:spacing w:line="276" w:lineRule="auto"/>
              <w:jc w:val="right"/>
              <w:cnfStyle w:val="000000000000" w:firstRow="0" w:lastRow="0" w:firstColumn="0" w:lastColumn="0" w:oddVBand="0" w:evenVBand="0" w:oddHBand="0" w:evenHBand="0" w:firstRowFirstColumn="0" w:firstRowLastColumn="0" w:lastRowFirstColumn="0" w:lastRowLastColumn="0"/>
              <w:rPr>
                <w:sz w:val="20"/>
                <w:szCs w:val="20"/>
                <w:lang w:val="en-US"/>
              </w:rPr>
            </w:pPr>
            <w:r w:rsidRPr="00FB5C78">
              <w:rPr>
                <w:sz w:val="20"/>
                <w:szCs w:val="20"/>
                <w:lang w:val="en-US"/>
              </w:rPr>
              <w:t>0,4802</w:t>
            </w:r>
          </w:p>
        </w:tc>
        <w:tc>
          <w:tcPr>
            <w:tcW w:w="749" w:type="dxa"/>
            <w:shd w:val="clear" w:color="auto" w:fill="auto"/>
          </w:tcPr>
          <w:p w:rsidR="00FB5C78" w:rsidRPr="00FB5C78" w:rsidRDefault="00FB5C78" w:rsidP="00FF5AB8">
            <w:pPr>
              <w:spacing w:line="276" w:lineRule="auto"/>
              <w:jc w:val="right"/>
              <w:cnfStyle w:val="000000000000" w:firstRow="0" w:lastRow="0" w:firstColumn="0" w:lastColumn="0" w:oddVBand="0" w:evenVBand="0" w:oddHBand="0" w:evenHBand="0" w:firstRowFirstColumn="0" w:firstRowLastColumn="0" w:lastRowFirstColumn="0" w:lastRowLastColumn="0"/>
              <w:rPr>
                <w:sz w:val="20"/>
                <w:szCs w:val="20"/>
                <w:lang w:val="en-US"/>
              </w:rPr>
            </w:pPr>
            <w:r w:rsidRPr="00FB5C78">
              <w:rPr>
                <w:sz w:val="20"/>
                <w:szCs w:val="20"/>
                <w:lang w:val="en-US"/>
              </w:rPr>
              <w:t>0,4922</w:t>
            </w:r>
          </w:p>
        </w:tc>
        <w:tc>
          <w:tcPr>
            <w:tcW w:w="748" w:type="dxa"/>
            <w:shd w:val="clear" w:color="auto" w:fill="auto"/>
          </w:tcPr>
          <w:p w:rsidR="00FB5C78" w:rsidRPr="00FB5C78" w:rsidRDefault="00FB5C78" w:rsidP="00FF5AB8">
            <w:pPr>
              <w:spacing w:line="276" w:lineRule="auto"/>
              <w:jc w:val="right"/>
              <w:cnfStyle w:val="000000000000" w:firstRow="0" w:lastRow="0" w:firstColumn="0" w:lastColumn="0" w:oddVBand="0" w:evenVBand="0" w:oddHBand="0" w:evenHBand="0" w:firstRowFirstColumn="0" w:firstRowLastColumn="0" w:lastRowFirstColumn="0" w:lastRowLastColumn="0"/>
              <w:rPr>
                <w:sz w:val="20"/>
                <w:szCs w:val="20"/>
                <w:lang w:val="en-US"/>
              </w:rPr>
            </w:pPr>
            <w:r w:rsidRPr="00FB5C78">
              <w:rPr>
                <w:sz w:val="20"/>
                <w:szCs w:val="20"/>
                <w:lang w:val="en-US"/>
              </w:rPr>
              <w:t>0,4883</w:t>
            </w:r>
          </w:p>
        </w:tc>
        <w:tc>
          <w:tcPr>
            <w:tcW w:w="749" w:type="dxa"/>
            <w:shd w:val="clear" w:color="auto" w:fill="auto"/>
          </w:tcPr>
          <w:p w:rsidR="00FB5C78" w:rsidRPr="00FB5C78" w:rsidRDefault="00FB5C78" w:rsidP="00FF5AB8">
            <w:pPr>
              <w:spacing w:line="276" w:lineRule="auto"/>
              <w:jc w:val="right"/>
              <w:cnfStyle w:val="000000000000" w:firstRow="0" w:lastRow="0" w:firstColumn="0" w:lastColumn="0" w:oddVBand="0" w:evenVBand="0" w:oddHBand="0" w:evenHBand="0" w:firstRowFirstColumn="0" w:firstRowLastColumn="0" w:lastRowFirstColumn="0" w:lastRowLastColumn="0"/>
              <w:rPr>
                <w:sz w:val="20"/>
                <w:szCs w:val="20"/>
                <w:lang w:val="en-US"/>
              </w:rPr>
            </w:pPr>
            <w:r w:rsidRPr="00FB5C78">
              <w:rPr>
                <w:sz w:val="20"/>
                <w:szCs w:val="20"/>
                <w:lang w:val="en-US"/>
              </w:rPr>
              <w:t>0,4675</w:t>
            </w:r>
          </w:p>
        </w:tc>
        <w:tc>
          <w:tcPr>
            <w:tcW w:w="748" w:type="dxa"/>
            <w:shd w:val="clear" w:color="auto" w:fill="auto"/>
          </w:tcPr>
          <w:p w:rsidR="00FB5C78" w:rsidRPr="00FB5C78" w:rsidRDefault="00FB5C78" w:rsidP="00FF5AB8">
            <w:pPr>
              <w:spacing w:line="276" w:lineRule="auto"/>
              <w:jc w:val="right"/>
              <w:cnfStyle w:val="000000000000" w:firstRow="0" w:lastRow="0" w:firstColumn="0" w:lastColumn="0" w:oddVBand="0" w:evenVBand="0" w:oddHBand="0" w:evenHBand="0" w:firstRowFirstColumn="0" w:firstRowLastColumn="0" w:lastRowFirstColumn="0" w:lastRowLastColumn="0"/>
              <w:rPr>
                <w:sz w:val="20"/>
                <w:szCs w:val="20"/>
                <w:lang w:val="en-US"/>
              </w:rPr>
            </w:pPr>
            <w:r w:rsidRPr="00FB5C78">
              <w:rPr>
                <w:sz w:val="20"/>
                <w:szCs w:val="20"/>
                <w:lang w:val="en-US"/>
              </w:rPr>
              <w:t>0,269</w:t>
            </w:r>
          </w:p>
        </w:tc>
        <w:tc>
          <w:tcPr>
            <w:tcW w:w="749" w:type="dxa"/>
            <w:shd w:val="clear" w:color="auto" w:fill="auto"/>
          </w:tcPr>
          <w:p w:rsidR="00FB5C78" w:rsidRPr="00FB5C78" w:rsidRDefault="00FB5C78" w:rsidP="00FF5AB8">
            <w:pPr>
              <w:spacing w:line="276" w:lineRule="auto"/>
              <w:jc w:val="right"/>
              <w:cnfStyle w:val="000000000000" w:firstRow="0" w:lastRow="0" w:firstColumn="0" w:lastColumn="0" w:oddVBand="0" w:evenVBand="0" w:oddHBand="0" w:evenHBand="0" w:firstRowFirstColumn="0" w:firstRowLastColumn="0" w:lastRowFirstColumn="0" w:lastRowLastColumn="0"/>
              <w:rPr>
                <w:sz w:val="20"/>
                <w:szCs w:val="20"/>
                <w:lang w:val="en-US"/>
              </w:rPr>
            </w:pPr>
            <w:r w:rsidRPr="00FB5C78">
              <w:rPr>
                <w:sz w:val="20"/>
                <w:szCs w:val="20"/>
                <w:lang w:val="en-US"/>
              </w:rPr>
              <w:t>0,1244</w:t>
            </w:r>
          </w:p>
        </w:tc>
        <w:tc>
          <w:tcPr>
            <w:tcW w:w="796" w:type="dxa"/>
            <w:shd w:val="clear" w:color="auto" w:fill="auto"/>
          </w:tcPr>
          <w:p w:rsidR="00FB5C78" w:rsidRPr="00FB5C78" w:rsidRDefault="00FB5C78" w:rsidP="00FF5AB8">
            <w:pPr>
              <w:spacing w:line="276" w:lineRule="auto"/>
              <w:jc w:val="right"/>
              <w:cnfStyle w:val="000000000000" w:firstRow="0" w:lastRow="0" w:firstColumn="0" w:lastColumn="0" w:oddVBand="0" w:evenVBand="0" w:oddHBand="0" w:evenHBand="0" w:firstRowFirstColumn="0" w:firstRowLastColumn="0" w:lastRowFirstColumn="0" w:lastRowLastColumn="0"/>
              <w:rPr>
                <w:sz w:val="20"/>
                <w:szCs w:val="20"/>
                <w:lang w:val="en-US"/>
              </w:rPr>
            </w:pPr>
            <w:r w:rsidRPr="00FB5C78">
              <w:rPr>
                <w:sz w:val="20"/>
                <w:szCs w:val="20"/>
                <w:lang w:val="en-US"/>
              </w:rPr>
              <w:t>0,4223</w:t>
            </w:r>
          </w:p>
        </w:tc>
      </w:tr>
      <w:tr w:rsidR="00FB5C78" w:rsidRPr="00FB5C78" w:rsidTr="00FB5C78">
        <w:trPr>
          <w:cnfStyle w:val="000000100000" w:firstRow="0" w:lastRow="0" w:firstColumn="0" w:lastColumn="0" w:oddVBand="0" w:evenVBand="0" w:oddHBand="1" w:evenHBand="0" w:firstRowFirstColumn="0" w:firstRowLastColumn="0" w:lastRowFirstColumn="0" w:lastRowLastColumn="0"/>
          <w:trHeight w:val="154"/>
          <w:jc w:val="center"/>
        </w:trPr>
        <w:tc>
          <w:tcPr>
            <w:cnfStyle w:val="001000000000" w:firstRow="0" w:lastRow="0" w:firstColumn="1" w:lastColumn="0" w:oddVBand="0" w:evenVBand="0" w:oddHBand="0" w:evenHBand="0" w:firstRowFirstColumn="0" w:firstRowLastColumn="0" w:lastRowFirstColumn="0" w:lastRowLastColumn="0"/>
            <w:tcW w:w="2715" w:type="dxa"/>
            <w:shd w:val="clear" w:color="auto" w:fill="auto"/>
          </w:tcPr>
          <w:p w:rsidR="00FB5C78" w:rsidRPr="00FB5C78" w:rsidRDefault="00FB5C78" w:rsidP="00FF5AB8">
            <w:pPr>
              <w:spacing w:line="276" w:lineRule="auto"/>
              <w:jc w:val="both"/>
              <w:rPr>
                <w:b w:val="0"/>
                <w:sz w:val="20"/>
                <w:szCs w:val="20"/>
                <w:lang w:val="en-US"/>
              </w:rPr>
            </w:pPr>
          </w:p>
        </w:tc>
        <w:tc>
          <w:tcPr>
            <w:tcW w:w="748" w:type="dxa"/>
            <w:shd w:val="clear" w:color="auto" w:fill="auto"/>
          </w:tcPr>
          <w:p w:rsidR="00FB5C78" w:rsidRPr="00FB5C78" w:rsidRDefault="00FB5C78" w:rsidP="00FF5AB8">
            <w:pPr>
              <w:spacing w:line="276" w:lineRule="auto"/>
              <w:jc w:val="right"/>
              <w:cnfStyle w:val="000000100000" w:firstRow="0" w:lastRow="0" w:firstColumn="0" w:lastColumn="0" w:oddVBand="0" w:evenVBand="0" w:oddHBand="1" w:evenHBand="0" w:firstRowFirstColumn="0" w:firstRowLastColumn="0" w:lastRowFirstColumn="0" w:lastRowLastColumn="0"/>
              <w:rPr>
                <w:sz w:val="20"/>
                <w:szCs w:val="20"/>
                <w:lang w:val="en-US"/>
              </w:rPr>
            </w:pPr>
          </w:p>
        </w:tc>
        <w:tc>
          <w:tcPr>
            <w:tcW w:w="749" w:type="dxa"/>
            <w:shd w:val="clear" w:color="auto" w:fill="auto"/>
          </w:tcPr>
          <w:p w:rsidR="00FB5C78" w:rsidRPr="00FB5C78" w:rsidRDefault="00FB5C78" w:rsidP="00FF5AB8">
            <w:pPr>
              <w:spacing w:line="276" w:lineRule="auto"/>
              <w:jc w:val="right"/>
              <w:cnfStyle w:val="000000100000" w:firstRow="0" w:lastRow="0" w:firstColumn="0" w:lastColumn="0" w:oddVBand="0" w:evenVBand="0" w:oddHBand="1" w:evenHBand="0" w:firstRowFirstColumn="0" w:firstRowLastColumn="0" w:lastRowFirstColumn="0" w:lastRowLastColumn="0"/>
              <w:rPr>
                <w:sz w:val="20"/>
                <w:szCs w:val="20"/>
                <w:lang w:val="en-US"/>
              </w:rPr>
            </w:pPr>
          </w:p>
        </w:tc>
        <w:tc>
          <w:tcPr>
            <w:tcW w:w="748" w:type="dxa"/>
            <w:shd w:val="clear" w:color="auto" w:fill="auto"/>
          </w:tcPr>
          <w:p w:rsidR="00FB5C78" w:rsidRPr="00FB5C78" w:rsidRDefault="00FB5C78" w:rsidP="00FF5AB8">
            <w:pPr>
              <w:spacing w:line="276" w:lineRule="auto"/>
              <w:jc w:val="right"/>
              <w:cnfStyle w:val="000000100000" w:firstRow="0" w:lastRow="0" w:firstColumn="0" w:lastColumn="0" w:oddVBand="0" w:evenVBand="0" w:oddHBand="1" w:evenHBand="0" w:firstRowFirstColumn="0" w:firstRowLastColumn="0" w:lastRowFirstColumn="0" w:lastRowLastColumn="0"/>
              <w:rPr>
                <w:sz w:val="20"/>
                <w:szCs w:val="20"/>
                <w:lang w:val="en-US"/>
              </w:rPr>
            </w:pPr>
          </w:p>
        </w:tc>
        <w:tc>
          <w:tcPr>
            <w:tcW w:w="749" w:type="dxa"/>
            <w:shd w:val="clear" w:color="auto" w:fill="auto"/>
          </w:tcPr>
          <w:p w:rsidR="00FB5C78" w:rsidRPr="00FB5C78" w:rsidRDefault="00FB5C78" w:rsidP="00FF5AB8">
            <w:pPr>
              <w:spacing w:line="276" w:lineRule="auto"/>
              <w:jc w:val="right"/>
              <w:cnfStyle w:val="000000100000" w:firstRow="0" w:lastRow="0" w:firstColumn="0" w:lastColumn="0" w:oddVBand="0" w:evenVBand="0" w:oddHBand="1" w:evenHBand="0" w:firstRowFirstColumn="0" w:firstRowLastColumn="0" w:lastRowFirstColumn="0" w:lastRowLastColumn="0"/>
              <w:rPr>
                <w:sz w:val="20"/>
                <w:szCs w:val="20"/>
                <w:lang w:val="en-US"/>
              </w:rPr>
            </w:pPr>
          </w:p>
        </w:tc>
        <w:tc>
          <w:tcPr>
            <w:tcW w:w="748" w:type="dxa"/>
            <w:shd w:val="clear" w:color="auto" w:fill="auto"/>
          </w:tcPr>
          <w:p w:rsidR="00FB5C78" w:rsidRPr="00FB5C78" w:rsidRDefault="00FB5C78" w:rsidP="00FF5AB8">
            <w:pPr>
              <w:spacing w:line="276" w:lineRule="auto"/>
              <w:jc w:val="right"/>
              <w:cnfStyle w:val="000000100000" w:firstRow="0" w:lastRow="0" w:firstColumn="0" w:lastColumn="0" w:oddVBand="0" w:evenVBand="0" w:oddHBand="1" w:evenHBand="0" w:firstRowFirstColumn="0" w:firstRowLastColumn="0" w:lastRowFirstColumn="0" w:lastRowLastColumn="0"/>
              <w:rPr>
                <w:sz w:val="20"/>
                <w:szCs w:val="20"/>
                <w:lang w:val="en-US"/>
              </w:rPr>
            </w:pPr>
          </w:p>
        </w:tc>
        <w:tc>
          <w:tcPr>
            <w:tcW w:w="749" w:type="dxa"/>
            <w:shd w:val="clear" w:color="auto" w:fill="auto"/>
          </w:tcPr>
          <w:p w:rsidR="00FB5C78" w:rsidRPr="00FB5C78" w:rsidRDefault="00FB5C78" w:rsidP="00FF5AB8">
            <w:pPr>
              <w:spacing w:line="276" w:lineRule="auto"/>
              <w:jc w:val="right"/>
              <w:cnfStyle w:val="000000100000" w:firstRow="0" w:lastRow="0" w:firstColumn="0" w:lastColumn="0" w:oddVBand="0" w:evenVBand="0" w:oddHBand="1" w:evenHBand="0" w:firstRowFirstColumn="0" w:firstRowLastColumn="0" w:lastRowFirstColumn="0" w:lastRowLastColumn="0"/>
              <w:rPr>
                <w:sz w:val="20"/>
                <w:szCs w:val="20"/>
                <w:lang w:val="en-US"/>
              </w:rPr>
            </w:pPr>
          </w:p>
        </w:tc>
        <w:tc>
          <w:tcPr>
            <w:tcW w:w="796" w:type="dxa"/>
            <w:shd w:val="clear" w:color="auto" w:fill="auto"/>
          </w:tcPr>
          <w:p w:rsidR="00FB5C78" w:rsidRPr="00FB5C78" w:rsidRDefault="00FB5C78" w:rsidP="00FF5AB8">
            <w:pPr>
              <w:spacing w:line="276" w:lineRule="auto"/>
              <w:jc w:val="right"/>
              <w:cnfStyle w:val="000000100000" w:firstRow="0" w:lastRow="0" w:firstColumn="0" w:lastColumn="0" w:oddVBand="0" w:evenVBand="0" w:oddHBand="1" w:evenHBand="0" w:firstRowFirstColumn="0" w:firstRowLastColumn="0" w:lastRowFirstColumn="0" w:lastRowLastColumn="0"/>
              <w:rPr>
                <w:sz w:val="20"/>
                <w:szCs w:val="20"/>
                <w:lang w:val="en-US"/>
              </w:rPr>
            </w:pPr>
          </w:p>
        </w:tc>
      </w:tr>
      <w:tr w:rsidR="00FB5C78" w:rsidRPr="00FB5C78" w:rsidTr="00FB5C78">
        <w:trPr>
          <w:trHeight w:val="154"/>
          <w:jc w:val="center"/>
        </w:trPr>
        <w:tc>
          <w:tcPr>
            <w:cnfStyle w:val="001000000000" w:firstRow="0" w:lastRow="0" w:firstColumn="1" w:lastColumn="0" w:oddVBand="0" w:evenVBand="0" w:oddHBand="0" w:evenHBand="0" w:firstRowFirstColumn="0" w:firstRowLastColumn="0" w:lastRowFirstColumn="0" w:lastRowLastColumn="0"/>
            <w:tcW w:w="2715" w:type="dxa"/>
            <w:shd w:val="clear" w:color="auto" w:fill="auto"/>
          </w:tcPr>
          <w:p w:rsidR="00FB5C78" w:rsidRPr="00FB5C78" w:rsidRDefault="00FB5C78" w:rsidP="00FF5AB8">
            <w:pPr>
              <w:spacing w:line="276" w:lineRule="auto"/>
              <w:jc w:val="both"/>
              <w:rPr>
                <w:b w:val="0"/>
                <w:sz w:val="20"/>
                <w:szCs w:val="20"/>
                <w:lang w:val="en-US"/>
              </w:rPr>
            </w:pPr>
            <w:r w:rsidRPr="00FB5C78">
              <w:rPr>
                <w:b w:val="0"/>
                <w:sz w:val="20"/>
                <w:szCs w:val="20"/>
                <w:lang w:val="en-US"/>
              </w:rPr>
              <w:t>Equity Premium</w:t>
            </w:r>
          </w:p>
        </w:tc>
        <w:tc>
          <w:tcPr>
            <w:tcW w:w="748" w:type="dxa"/>
            <w:shd w:val="clear" w:color="auto" w:fill="auto"/>
          </w:tcPr>
          <w:p w:rsidR="00FB5C78" w:rsidRPr="00FB5C78" w:rsidRDefault="00FB5C78" w:rsidP="00FF5AB8">
            <w:pPr>
              <w:spacing w:line="276" w:lineRule="auto"/>
              <w:jc w:val="right"/>
              <w:cnfStyle w:val="000000000000" w:firstRow="0" w:lastRow="0" w:firstColumn="0" w:lastColumn="0" w:oddVBand="0" w:evenVBand="0" w:oddHBand="0" w:evenHBand="0" w:firstRowFirstColumn="0" w:firstRowLastColumn="0" w:lastRowFirstColumn="0" w:lastRowLastColumn="0"/>
              <w:rPr>
                <w:sz w:val="20"/>
                <w:szCs w:val="20"/>
                <w:lang w:val="en-US"/>
              </w:rPr>
            </w:pPr>
            <w:r w:rsidRPr="00FB5C78">
              <w:rPr>
                <w:sz w:val="20"/>
                <w:szCs w:val="20"/>
                <w:lang w:val="en-US"/>
              </w:rPr>
              <w:t>-0,0613</w:t>
            </w:r>
          </w:p>
        </w:tc>
        <w:tc>
          <w:tcPr>
            <w:tcW w:w="749" w:type="dxa"/>
            <w:shd w:val="clear" w:color="auto" w:fill="auto"/>
          </w:tcPr>
          <w:p w:rsidR="00FB5C78" w:rsidRPr="00FB5C78" w:rsidRDefault="00FB5C78" w:rsidP="00FF5AB8">
            <w:pPr>
              <w:spacing w:line="276" w:lineRule="auto"/>
              <w:jc w:val="right"/>
              <w:cnfStyle w:val="000000000000" w:firstRow="0" w:lastRow="0" w:firstColumn="0" w:lastColumn="0" w:oddVBand="0" w:evenVBand="0" w:oddHBand="0" w:evenHBand="0" w:firstRowFirstColumn="0" w:firstRowLastColumn="0" w:lastRowFirstColumn="0" w:lastRowLastColumn="0"/>
              <w:rPr>
                <w:sz w:val="20"/>
                <w:szCs w:val="20"/>
                <w:lang w:val="en-US"/>
              </w:rPr>
            </w:pPr>
            <w:r w:rsidRPr="00FB5C78">
              <w:rPr>
                <w:sz w:val="20"/>
                <w:szCs w:val="20"/>
                <w:lang w:val="en-US"/>
              </w:rPr>
              <w:t>-0,1393</w:t>
            </w:r>
          </w:p>
        </w:tc>
        <w:tc>
          <w:tcPr>
            <w:tcW w:w="748" w:type="dxa"/>
            <w:shd w:val="clear" w:color="auto" w:fill="auto"/>
          </w:tcPr>
          <w:p w:rsidR="00FB5C78" w:rsidRPr="00FB5C78" w:rsidRDefault="00FB5C78" w:rsidP="00FF5AB8">
            <w:pPr>
              <w:spacing w:line="276" w:lineRule="auto"/>
              <w:jc w:val="right"/>
              <w:cnfStyle w:val="000000000000" w:firstRow="0" w:lastRow="0" w:firstColumn="0" w:lastColumn="0" w:oddVBand="0" w:evenVBand="0" w:oddHBand="0" w:evenHBand="0" w:firstRowFirstColumn="0" w:firstRowLastColumn="0" w:lastRowFirstColumn="0" w:lastRowLastColumn="0"/>
              <w:rPr>
                <w:sz w:val="20"/>
                <w:szCs w:val="20"/>
                <w:lang w:val="en-US"/>
              </w:rPr>
            </w:pPr>
            <w:r w:rsidRPr="00FB5C78">
              <w:rPr>
                <w:sz w:val="20"/>
                <w:szCs w:val="20"/>
                <w:lang w:val="en-US"/>
              </w:rPr>
              <w:t>-0,0897</w:t>
            </w:r>
          </w:p>
        </w:tc>
        <w:tc>
          <w:tcPr>
            <w:tcW w:w="749" w:type="dxa"/>
            <w:shd w:val="clear" w:color="auto" w:fill="auto"/>
          </w:tcPr>
          <w:p w:rsidR="00FB5C78" w:rsidRPr="00FB5C78" w:rsidRDefault="00FB5C78" w:rsidP="00FF5AB8">
            <w:pPr>
              <w:spacing w:line="276" w:lineRule="auto"/>
              <w:jc w:val="right"/>
              <w:cnfStyle w:val="000000000000" w:firstRow="0" w:lastRow="0" w:firstColumn="0" w:lastColumn="0" w:oddVBand="0" w:evenVBand="0" w:oddHBand="0" w:evenHBand="0" w:firstRowFirstColumn="0" w:firstRowLastColumn="0" w:lastRowFirstColumn="0" w:lastRowLastColumn="0"/>
              <w:rPr>
                <w:sz w:val="20"/>
                <w:szCs w:val="20"/>
                <w:lang w:val="en-US"/>
              </w:rPr>
            </w:pPr>
            <w:r w:rsidRPr="00FB5C78">
              <w:rPr>
                <w:sz w:val="20"/>
                <w:szCs w:val="20"/>
                <w:lang w:val="en-US"/>
              </w:rPr>
              <w:t>-0,0575</w:t>
            </w:r>
          </w:p>
        </w:tc>
        <w:tc>
          <w:tcPr>
            <w:tcW w:w="748" w:type="dxa"/>
            <w:shd w:val="clear" w:color="auto" w:fill="auto"/>
          </w:tcPr>
          <w:p w:rsidR="00FB5C78" w:rsidRPr="00FB5C78" w:rsidRDefault="00FB5C78" w:rsidP="00FF5AB8">
            <w:pPr>
              <w:spacing w:line="276" w:lineRule="auto"/>
              <w:jc w:val="right"/>
              <w:cnfStyle w:val="000000000000" w:firstRow="0" w:lastRow="0" w:firstColumn="0" w:lastColumn="0" w:oddVBand="0" w:evenVBand="0" w:oddHBand="0" w:evenHBand="0" w:firstRowFirstColumn="0" w:firstRowLastColumn="0" w:lastRowFirstColumn="0" w:lastRowLastColumn="0"/>
              <w:rPr>
                <w:sz w:val="20"/>
                <w:szCs w:val="20"/>
                <w:lang w:val="en-US"/>
              </w:rPr>
            </w:pPr>
            <w:r w:rsidRPr="00FB5C78">
              <w:rPr>
                <w:sz w:val="20"/>
                <w:szCs w:val="20"/>
                <w:lang w:val="en-US"/>
              </w:rPr>
              <w:t>-0,2658</w:t>
            </w:r>
          </w:p>
        </w:tc>
        <w:tc>
          <w:tcPr>
            <w:tcW w:w="749" w:type="dxa"/>
            <w:shd w:val="clear" w:color="auto" w:fill="auto"/>
          </w:tcPr>
          <w:p w:rsidR="00FB5C78" w:rsidRPr="00FB5C78" w:rsidRDefault="00FB5C78" w:rsidP="00FF5AB8">
            <w:pPr>
              <w:spacing w:line="276" w:lineRule="auto"/>
              <w:jc w:val="right"/>
              <w:cnfStyle w:val="000000000000" w:firstRow="0" w:lastRow="0" w:firstColumn="0" w:lastColumn="0" w:oddVBand="0" w:evenVBand="0" w:oddHBand="0" w:evenHBand="0" w:firstRowFirstColumn="0" w:firstRowLastColumn="0" w:lastRowFirstColumn="0" w:lastRowLastColumn="0"/>
              <w:rPr>
                <w:sz w:val="20"/>
                <w:szCs w:val="20"/>
                <w:lang w:val="en-US"/>
              </w:rPr>
            </w:pPr>
            <w:r w:rsidRPr="00FB5C78">
              <w:rPr>
                <w:sz w:val="20"/>
                <w:szCs w:val="20"/>
                <w:lang w:val="en-US"/>
              </w:rPr>
              <w:t>-0,0721</w:t>
            </w:r>
          </w:p>
        </w:tc>
        <w:tc>
          <w:tcPr>
            <w:tcW w:w="796" w:type="dxa"/>
            <w:shd w:val="clear" w:color="auto" w:fill="auto"/>
          </w:tcPr>
          <w:p w:rsidR="00FB5C78" w:rsidRPr="00FB5C78" w:rsidRDefault="00FB5C78" w:rsidP="00FF5AB8">
            <w:pPr>
              <w:spacing w:line="276" w:lineRule="auto"/>
              <w:jc w:val="right"/>
              <w:cnfStyle w:val="000000000000" w:firstRow="0" w:lastRow="0" w:firstColumn="0" w:lastColumn="0" w:oddVBand="0" w:evenVBand="0" w:oddHBand="0" w:evenHBand="0" w:firstRowFirstColumn="0" w:firstRowLastColumn="0" w:lastRowFirstColumn="0" w:lastRowLastColumn="0"/>
              <w:rPr>
                <w:sz w:val="20"/>
                <w:szCs w:val="20"/>
                <w:lang w:val="en-US"/>
              </w:rPr>
            </w:pPr>
            <w:r w:rsidRPr="00FB5C78">
              <w:rPr>
                <w:sz w:val="20"/>
                <w:szCs w:val="20"/>
                <w:lang w:val="en-US"/>
              </w:rPr>
              <w:t>-0,1052</w:t>
            </w:r>
          </w:p>
        </w:tc>
      </w:tr>
      <w:tr w:rsidR="00FB5C78" w:rsidRPr="00FB5C78" w:rsidTr="00FB5C78">
        <w:trPr>
          <w:cnfStyle w:val="000000100000" w:firstRow="0" w:lastRow="0" w:firstColumn="0" w:lastColumn="0" w:oddVBand="0" w:evenVBand="0" w:oddHBand="1" w:evenHBand="0" w:firstRowFirstColumn="0" w:firstRowLastColumn="0" w:lastRowFirstColumn="0" w:lastRowLastColumn="0"/>
          <w:trHeight w:val="154"/>
          <w:jc w:val="center"/>
        </w:trPr>
        <w:tc>
          <w:tcPr>
            <w:cnfStyle w:val="001000000000" w:firstRow="0" w:lastRow="0" w:firstColumn="1" w:lastColumn="0" w:oddVBand="0" w:evenVBand="0" w:oddHBand="0" w:evenHBand="0" w:firstRowFirstColumn="0" w:firstRowLastColumn="0" w:lastRowFirstColumn="0" w:lastRowLastColumn="0"/>
            <w:tcW w:w="2715" w:type="dxa"/>
            <w:shd w:val="clear" w:color="auto" w:fill="auto"/>
          </w:tcPr>
          <w:p w:rsidR="00FB5C78" w:rsidRPr="00FB5C78" w:rsidRDefault="00FB5C78" w:rsidP="00FF5AB8">
            <w:pPr>
              <w:spacing w:line="276" w:lineRule="auto"/>
              <w:jc w:val="both"/>
              <w:rPr>
                <w:b w:val="0"/>
                <w:sz w:val="20"/>
                <w:szCs w:val="20"/>
                <w:lang w:val="en-US"/>
              </w:rPr>
            </w:pPr>
            <w:r w:rsidRPr="00FB5C78">
              <w:rPr>
                <w:b w:val="0"/>
                <w:sz w:val="20"/>
                <w:szCs w:val="20"/>
                <w:lang w:val="en-US"/>
              </w:rPr>
              <w:t>Volatility Premium</w:t>
            </w:r>
          </w:p>
        </w:tc>
        <w:tc>
          <w:tcPr>
            <w:tcW w:w="748" w:type="dxa"/>
            <w:shd w:val="clear" w:color="auto" w:fill="auto"/>
          </w:tcPr>
          <w:p w:rsidR="00FB5C78" w:rsidRPr="00FB5C78" w:rsidRDefault="00FB5C78" w:rsidP="00FF5AB8">
            <w:pPr>
              <w:spacing w:line="276" w:lineRule="auto"/>
              <w:jc w:val="right"/>
              <w:cnfStyle w:val="000000100000" w:firstRow="0" w:lastRow="0" w:firstColumn="0" w:lastColumn="0" w:oddVBand="0" w:evenVBand="0" w:oddHBand="1" w:evenHBand="0" w:firstRowFirstColumn="0" w:firstRowLastColumn="0" w:lastRowFirstColumn="0" w:lastRowLastColumn="0"/>
              <w:rPr>
                <w:sz w:val="20"/>
                <w:szCs w:val="20"/>
                <w:lang w:val="en-US"/>
              </w:rPr>
            </w:pPr>
            <w:r w:rsidRPr="00FB5C78">
              <w:rPr>
                <w:sz w:val="20"/>
                <w:szCs w:val="20"/>
                <w:lang w:val="en-US"/>
              </w:rPr>
              <w:t>0,5233</w:t>
            </w:r>
          </w:p>
        </w:tc>
        <w:tc>
          <w:tcPr>
            <w:tcW w:w="749" w:type="dxa"/>
            <w:shd w:val="clear" w:color="auto" w:fill="auto"/>
          </w:tcPr>
          <w:p w:rsidR="00FB5C78" w:rsidRPr="00FB5C78" w:rsidRDefault="00FB5C78" w:rsidP="00FF5AB8">
            <w:pPr>
              <w:spacing w:line="276" w:lineRule="auto"/>
              <w:jc w:val="right"/>
              <w:cnfStyle w:val="000000100000" w:firstRow="0" w:lastRow="0" w:firstColumn="0" w:lastColumn="0" w:oddVBand="0" w:evenVBand="0" w:oddHBand="1" w:evenHBand="0" w:firstRowFirstColumn="0" w:firstRowLastColumn="0" w:lastRowFirstColumn="0" w:lastRowLastColumn="0"/>
              <w:rPr>
                <w:sz w:val="20"/>
                <w:szCs w:val="20"/>
                <w:lang w:val="en-US"/>
              </w:rPr>
            </w:pPr>
            <w:r w:rsidRPr="00FB5C78">
              <w:rPr>
                <w:sz w:val="20"/>
                <w:szCs w:val="20"/>
                <w:lang w:val="en-US"/>
              </w:rPr>
              <w:t>0,2971</w:t>
            </w:r>
          </w:p>
        </w:tc>
        <w:tc>
          <w:tcPr>
            <w:tcW w:w="748" w:type="dxa"/>
            <w:shd w:val="clear" w:color="auto" w:fill="auto"/>
          </w:tcPr>
          <w:p w:rsidR="00FB5C78" w:rsidRPr="00FB5C78" w:rsidRDefault="00FB5C78" w:rsidP="00FF5AB8">
            <w:pPr>
              <w:spacing w:line="276" w:lineRule="auto"/>
              <w:jc w:val="right"/>
              <w:cnfStyle w:val="000000100000" w:firstRow="0" w:lastRow="0" w:firstColumn="0" w:lastColumn="0" w:oddVBand="0" w:evenVBand="0" w:oddHBand="1" w:evenHBand="0" w:firstRowFirstColumn="0" w:firstRowLastColumn="0" w:lastRowFirstColumn="0" w:lastRowLastColumn="0"/>
              <w:rPr>
                <w:sz w:val="20"/>
                <w:szCs w:val="20"/>
                <w:lang w:val="en-US"/>
              </w:rPr>
            </w:pPr>
            <w:r w:rsidRPr="00FB5C78">
              <w:rPr>
                <w:sz w:val="20"/>
                <w:szCs w:val="20"/>
                <w:lang w:val="en-US"/>
              </w:rPr>
              <w:t>0,5363</w:t>
            </w:r>
          </w:p>
        </w:tc>
        <w:tc>
          <w:tcPr>
            <w:tcW w:w="749" w:type="dxa"/>
            <w:shd w:val="clear" w:color="auto" w:fill="auto"/>
          </w:tcPr>
          <w:p w:rsidR="00FB5C78" w:rsidRPr="00FB5C78" w:rsidRDefault="00FB5C78" w:rsidP="00FF5AB8">
            <w:pPr>
              <w:spacing w:line="276" w:lineRule="auto"/>
              <w:jc w:val="right"/>
              <w:cnfStyle w:val="000000100000" w:firstRow="0" w:lastRow="0" w:firstColumn="0" w:lastColumn="0" w:oddVBand="0" w:evenVBand="0" w:oddHBand="1" w:evenHBand="0" w:firstRowFirstColumn="0" w:firstRowLastColumn="0" w:lastRowFirstColumn="0" w:lastRowLastColumn="0"/>
              <w:rPr>
                <w:sz w:val="20"/>
                <w:szCs w:val="20"/>
                <w:lang w:val="en-US"/>
              </w:rPr>
            </w:pPr>
            <w:r w:rsidRPr="00FB5C78">
              <w:rPr>
                <w:sz w:val="20"/>
                <w:szCs w:val="20"/>
                <w:lang w:val="en-US"/>
              </w:rPr>
              <w:t>0,5069</w:t>
            </w:r>
          </w:p>
        </w:tc>
        <w:tc>
          <w:tcPr>
            <w:tcW w:w="748" w:type="dxa"/>
            <w:shd w:val="clear" w:color="auto" w:fill="auto"/>
          </w:tcPr>
          <w:p w:rsidR="00FB5C78" w:rsidRPr="00FB5C78" w:rsidRDefault="00FB5C78" w:rsidP="00FF5AB8">
            <w:pPr>
              <w:spacing w:line="276" w:lineRule="auto"/>
              <w:jc w:val="right"/>
              <w:cnfStyle w:val="000000100000" w:firstRow="0" w:lastRow="0" w:firstColumn="0" w:lastColumn="0" w:oddVBand="0" w:evenVBand="0" w:oddHBand="1" w:evenHBand="0" w:firstRowFirstColumn="0" w:firstRowLastColumn="0" w:lastRowFirstColumn="0" w:lastRowLastColumn="0"/>
              <w:rPr>
                <w:sz w:val="20"/>
                <w:szCs w:val="20"/>
                <w:lang w:val="en-US"/>
              </w:rPr>
            </w:pPr>
            <w:r w:rsidRPr="00FB5C78">
              <w:rPr>
                <w:sz w:val="20"/>
                <w:szCs w:val="20"/>
                <w:lang w:val="en-US"/>
              </w:rPr>
              <w:t>0,1748</w:t>
            </w:r>
          </w:p>
        </w:tc>
        <w:tc>
          <w:tcPr>
            <w:tcW w:w="749" w:type="dxa"/>
            <w:shd w:val="clear" w:color="auto" w:fill="auto"/>
          </w:tcPr>
          <w:p w:rsidR="00FB5C78" w:rsidRPr="00FB5C78" w:rsidRDefault="00FB5C78" w:rsidP="00FF5AB8">
            <w:pPr>
              <w:spacing w:line="276" w:lineRule="auto"/>
              <w:jc w:val="right"/>
              <w:cnfStyle w:val="000000100000" w:firstRow="0" w:lastRow="0" w:firstColumn="0" w:lastColumn="0" w:oddVBand="0" w:evenVBand="0" w:oddHBand="1" w:evenHBand="0" w:firstRowFirstColumn="0" w:firstRowLastColumn="0" w:lastRowFirstColumn="0" w:lastRowLastColumn="0"/>
              <w:rPr>
                <w:sz w:val="20"/>
                <w:szCs w:val="20"/>
                <w:lang w:val="en-US"/>
              </w:rPr>
            </w:pPr>
            <w:r w:rsidRPr="00FB5C78">
              <w:rPr>
                <w:sz w:val="20"/>
                <w:szCs w:val="20"/>
                <w:lang w:val="en-US"/>
              </w:rPr>
              <w:t>0,2029</w:t>
            </w:r>
          </w:p>
        </w:tc>
        <w:tc>
          <w:tcPr>
            <w:tcW w:w="796" w:type="dxa"/>
            <w:shd w:val="clear" w:color="auto" w:fill="auto"/>
          </w:tcPr>
          <w:p w:rsidR="00FB5C78" w:rsidRPr="00FB5C78" w:rsidRDefault="00FB5C78" w:rsidP="00FF5AB8">
            <w:pPr>
              <w:spacing w:line="276" w:lineRule="auto"/>
              <w:jc w:val="right"/>
              <w:cnfStyle w:val="000000100000" w:firstRow="0" w:lastRow="0" w:firstColumn="0" w:lastColumn="0" w:oddVBand="0" w:evenVBand="0" w:oddHBand="1" w:evenHBand="0" w:firstRowFirstColumn="0" w:firstRowLastColumn="0" w:lastRowFirstColumn="0" w:lastRowLastColumn="0"/>
              <w:rPr>
                <w:sz w:val="20"/>
                <w:szCs w:val="20"/>
                <w:lang w:val="en-US"/>
              </w:rPr>
            </w:pPr>
            <w:r w:rsidRPr="00FB5C78">
              <w:rPr>
                <w:sz w:val="20"/>
                <w:szCs w:val="20"/>
                <w:lang w:val="en-US"/>
              </w:rPr>
              <w:t>0,4075</w:t>
            </w:r>
          </w:p>
        </w:tc>
      </w:tr>
      <w:tr w:rsidR="00FB5C78" w:rsidRPr="00FB5C78" w:rsidTr="00FB5C78">
        <w:trPr>
          <w:trHeight w:val="154"/>
          <w:jc w:val="center"/>
        </w:trPr>
        <w:tc>
          <w:tcPr>
            <w:cnfStyle w:val="001000000000" w:firstRow="0" w:lastRow="0" w:firstColumn="1" w:lastColumn="0" w:oddVBand="0" w:evenVBand="0" w:oddHBand="0" w:evenHBand="0" w:firstRowFirstColumn="0" w:firstRowLastColumn="0" w:lastRowFirstColumn="0" w:lastRowLastColumn="0"/>
            <w:tcW w:w="2715" w:type="dxa"/>
            <w:shd w:val="clear" w:color="auto" w:fill="auto"/>
          </w:tcPr>
          <w:p w:rsidR="00FB5C78" w:rsidRPr="00FB5C78" w:rsidRDefault="00FB5C78" w:rsidP="00FF5AB8">
            <w:pPr>
              <w:spacing w:line="276" w:lineRule="auto"/>
              <w:jc w:val="both"/>
              <w:rPr>
                <w:b w:val="0"/>
                <w:sz w:val="20"/>
                <w:szCs w:val="20"/>
                <w:lang w:val="en-US"/>
              </w:rPr>
            </w:pPr>
            <w:r w:rsidRPr="00FB5C78">
              <w:rPr>
                <w:b w:val="0"/>
                <w:sz w:val="20"/>
                <w:szCs w:val="20"/>
                <w:lang w:val="en-US"/>
              </w:rPr>
              <w:t>Term Premium</w:t>
            </w:r>
          </w:p>
        </w:tc>
        <w:tc>
          <w:tcPr>
            <w:tcW w:w="748" w:type="dxa"/>
            <w:shd w:val="clear" w:color="auto" w:fill="auto"/>
          </w:tcPr>
          <w:p w:rsidR="00FB5C78" w:rsidRPr="00FB5C78" w:rsidRDefault="00FB5C78" w:rsidP="00FF5AB8">
            <w:pPr>
              <w:spacing w:line="276" w:lineRule="auto"/>
              <w:jc w:val="right"/>
              <w:cnfStyle w:val="000000000000" w:firstRow="0" w:lastRow="0" w:firstColumn="0" w:lastColumn="0" w:oddVBand="0" w:evenVBand="0" w:oddHBand="0" w:evenHBand="0" w:firstRowFirstColumn="0" w:firstRowLastColumn="0" w:lastRowFirstColumn="0" w:lastRowLastColumn="0"/>
              <w:rPr>
                <w:sz w:val="20"/>
                <w:szCs w:val="20"/>
                <w:lang w:val="en-US"/>
              </w:rPr>
            </w:pPr>
            <w:r w:rsidRPr="00FB5C78">
              <w:rPr>
                <w:sz w:val="20"/>
                <w:szCs w:val="20"/>
                <w:lang w:val="en-US"/>
              </w:rPr>
              <w:t>-0,1804</w:t>
            </w:r>
          </w:p>
        </w:tc>
        <w:tc>
          <w:tcPr>
            <w:tcW w:w="749" w:type="dxa"/>
            <w:shd w:val="clear" w:color="auto" w:fill="auto"/>
          </w:tcPr>
          <w:p w:rsidR="00FB5C78" w:rsidRPr="00FB5C78" w:rsidRDefault="00FB5C78" w:rsidP="00FF5AB8">
            <w:pPr>
              <w:spacing w:line="276" w:lineRule="auto"/>
              <w:jc w:val="right"/>
              <w:cnfStyle w:val="000000000000" w:firstRow="0" w:lastRow="0" w:firstColumn="0" w:lastColumn="0" w:oddVBand="0" w:evenVBand="0" w:oddHBand="0" w:evenHBand="0" w:firstRowFirstColumn="0" w:firstRowLastColumn="0" w:lastRowFirstColumn="0" w:lastRowLastColumn="0"/>
              <w:rPr>
                <w:sz w:val="20"/>
                <w:szCs w:val="20"/>
                <w:lang w:val="en-US"/>
              </w:rPr>
            </w:pPr>
            <w:r w:rsidRPr="00FB5C78">
              <w:rPr>
                <w:sz w:val="20"/>
                <w:szCs w:val="20"/>
                <w:lang w:val="en-US"/>
              </w:rPr>
              <w:t>-0,1285</w:t>
            </w:r>
          </w:p>
        </w:tc>
        <w:tc>
          <w:tcPr>
            <w:tcW w:w="748" w:type="dxa"/>
            <w:shd w:val="clear" w:color="auto" w:fill="auto"/>
          </w:tcPr>
          <w:p w:rsidR="00FB5C78" w:rsidRPr="00FB5C78" w:rsidRDefault="00FB5C78" w:rsidP="00FF5AB8">
            <w:pPr>
              <w:spacing w:line="276" w:lineRule="auto"/>
              <w:jc w:val="right"/>
              <w:cnfStyle w:val="000000000000" w:firstRow="0" w:lastRow="0" w:firstColumn="0" w:lastColumn="0" w:oddVBand="0" w:evenVBand="0" w:oddHBand="0" w:evenHBand="0" w:firstRowFirstColumn="0" w:firstRowLastColumn="0" w:lastRowFirstColumn="0" w:lastRowLastColumn="0"/>
              <w:rPr>
                <w:sz w:val="20"/>
                <w:szCs w:val="20"/>
                <w:lang w:val="en-US"/>
              </w:rPr>
            </w:pPr>
            <w:r w:rsidRPr="00FB5C78">
              <w:rPr>
                <w:sz w:val="20"/>
                <w:szCs w:val="20"/>
                <w:lang w:val="en-US"/>
              </w:rPr>
              <w:t>-0,0811</w:t>
            </w:r>
          </w:p>
        </w:tc>
        <w:tc>
          <w:tcPr>
            <w:tcW w:w="749" w:type="dxa"/>
            <w:shd w:val="clear" w:color="auto" w:fill="auto"/>
          </w:tcPr>
          <w:p w:rsidR="00FB5C78" w:rsidRPr="00FB5C78" w:rsidRDefault="00FB5C78" w:rsidP="00FF5AB8">
            <w:pPr>
              <w:spacing w:line="276" w:lineRule="auto"/>
              <w:jc w:val="right"/>
              <w:cnfStyle w:val="000000000000" w:firstRow="0" w:lastRow="0" w:firstColumn="0" w:lastColumn="0" w:oddVBand="0" w:evenVBand="0" w:oddHBand="0" w:evenHBand="0" w:firstRowFirstColumn="0" w:firstRowLastColumn="0" w:lastRowFirstColumn="0" w:lastRowLastColumn="0"/>
              <w:rPr>
                <w:sz w:val="20"/>
                <w:szCs w:val="20"/>
                <w:lang w:val="en-US"/>
              </w:rPr>
            </w:pPr>
            <w:r w:rsidRPr="00FB5C78">
              <w:rPr>
                <w:sz w:val="20"/>
                <w:szCs w:val="20"/>
                <w:lang w:val="en-US"/>
              </w:rPr>
              <w:t>-0,0027</w:t>
            </w:r>
          </w:p>
        </w:tc>
        <w:tc>
          <w:tcPr>
            <w:tcW w:w="748" w:type="dxa"/>
            <w:shd w:val="clear" w:color="auto" w:fill="auto"/>
          </w:tcPr>
          <w:p w:rsidR="00FB5C78" w:rsidRPr="00FB5C78" w:rsidRDefault="00FB5C78" w:rsidP="00FF5AB8">
            <w:pPr>
              <w:spacing w:line="276" w:lineRule="auto"/>
              <w:jc w:val="right"/>
              <w:cnfStyle w:val="000000000000" w:firstRow="0" w:lastRow="0" w:firstColumn="0" w:lastColumn="0" w:oddVBand="0" w:evenVBand="0" w:oddHBand="0" w:evenHBand="0" w:firstRowFirstColumn="0" w:firstRowLastColumn="0" w:lastRowFirstColumn="0" w:lastRowLastColumn="0"/>
              <w:rPr>
                <w:sz w:val="20"/>
                <w:szCs w:val="20"/>
                <w:lang w:val="en-US"/>
              </w:rPr>
            </w:pPr>
            <w:r w:rsidRPr="00FB5C78">
              <w:rPr>
                <w:sz w:val="20"/>
                <w:szCs w:val="20"/>
                <w:lang w:val="en-US"/>
              </w:rPr>
              <w:t>-0,1471</w:t>
            </w:r>
          </w:p>
        </w:tc>
        <w:tc>
          <w:tcPr>
            <w:tcW w:w="749" w:type="dxa"/>
            <w:shd w:val="clear" w:color="auto" w:fill="auto"/>
          </w:tcPr>
          <w:p w:rsidR="00FB5C78" w:rsidRPr="00FB5C78" w:rsidRDefault="00FB5C78" w:rsidP="00FF5AB8">
            <w:pPr>
              <w:spacing w:line="276" w:lineRule="auto"/>
              <w:jc w:val="right"/>
              <w:cnfStyle w:val="000000000000" w:firstRow="0" w:lastRow="0" w:firstColumn="0" w:lastColumn="0" w:oddVBand="0" w:evenVBand="0" w:oddHBand="0" w:evenHBand="0" w:firstRowFirstColumn="0" w:firstRowLastColumn="0" w:lastRowFirstColumn="0" w:lastRowLastColumn="0"/>
              <w:rPr>
                <w:sz w:val="20"/>
                <w:szCs w:val="20"/>
                <w:lang w:val="en-US"/>
              </w:rPr>
            </w:pPr>
            <w:r w:rsidRPr="00FB5C78">
              <w:rPr>
                <w:sz w:val="20"/>
                <w:szCs w:val="20"/>
                <w:lang w:val="en-US"/>
              </w:rPr>
              <w:t>-0,0008</w:t>
            </w:r>
          </w:p>
        </w:tc>
        <w:tc>
          <w:tcPr>
            <w:tcW w:w="796" w:type="dxa"/>
            <w:shd w:val="clear" w:color="auto" w:fill="auto"/>
          </w:tcPr>
          <w:p w:rsidR="00FB5C78" w:rsidRPr="00FB5C78" w:rsidRDefault="00FB5C78" w:rsidP="00FF5AB8">
            <w:pPr>
              <w:spacing w:line="276" w:lineRule="auto"/>
              <w:jc w:val="right"/>
              <w:cnfStyle w:val="000000000000" w:firstRow="0" w:lastRow="0" w:firstColumn="0" w:lastColumn="0" w:oddVBand="0" w:evenVBand="0" w:oddHBand="0" w:evenHBand="0" w:firstRowFirstColumn="0" w:firstRowLastColumn="0" w:lastRowFirstColumn="0" w:lastRowLastColumn="0"/>
              <w:rPr>
                <w:sz w:val="20"/>
                <w:szCs w:val="20"/>
                <w:lang w:val="en-US"/>
              </w:rPr>
            </w:pPr>
            <w:r w:rsidRPr="00FB5C78">
              <w:rPr>
                <w:sz w:val="20"/>
                <w:szCs w:val="20"/>
                <w:lang w:val="en-US"/>
              </w:rPr>
              <w:t>-0,0946</w:t>
            </w:r>
          </w:p>
        </w:tc>
      </w:tr>
      <w:tr w:rsidR="00FB5C78" w:rsidRPr="00FB5C78" w:rsidTr="00FB5C78">
        <w:trPr>
          <w:cnfStyle w:val="000000100000" w:firstRow="0" w:lastRow="0" w:firstColumn="0" w:lastColumn="0" w:oddVBand="0" w:evenVBand="0" w:oddHBand="1" w:evenHBand="0" w:firstRowFirstColumn="0" w:firstRowLastColumn="0" w:lastRowFirstColumn="0" w:lastRowLastColumn="0"/>
          <w:trHeight w:val="154"/>
          <w:jc w:val="center"/>
        </w:trPr>
        <w:tc>
          <w:tcPr>
            <w:cnfStyle w:val="001000000000" w:firstRow="0" w:lastRow="0" w:firstColumn="1" w:lastColumn="0" w:oddVBand="0" w:evenVBand="0" w:oddHBand="0" w:evenHBand="0" w:firstRowFirstColumn="0" w:firstRowLastColumn="0" w:lastRowFirstColumn="0" w:lastRowLastColumn="0"/>
            <w:tcW w:w="2715" w:type="dxa"/>
            <w:shd w:val="clear" w:color="auto" w:fill="auto"/>
          </w:tcPr>
          <w:p w:rsidR="00FB5C78" w:rsidRPr="00FB5C78" w:rsidRDefault="00FB5C78" w:rsidP="00FF5AB8">
            <w:pPr>
              <w:spacing w:line="276" w:lineRule="auto"/>
              <w:jc w:val="both"/>
              <w:rPr>
                <w:b w:val="0"/>
                <w:sz w:val="20"/>
                <w:szCs w:val="20"/>
                <w:lang w:val="en-US"/>
              </w:rPr>
            </w:pPr>
          </w:p>
        </w:tc>
        <w:tc>
          <w:tcPr>
            <w:tcW w:w="748" w:type="dxa"/>
            <w:shd w:val="clear" w:color="auto" w:fill="auto"/>
          </w:tcPr>
          <w:p w:rsidR="00FB5C78" w:rsidRPr="00FB5C78" w:rsidRDefault="00FB5C78" w:rsidP="00FF5AB8">
            <w:pPr>
              <w:spacing w:line="276" w:lineRule="auto"/>
              <w:jc w:val="right"/>
              <w:cnfStyle w:val="000000100000" w:firstRow="0" w:lastRow="0" w:firstColumn="0" w:lastColumn="0" w:oddVBand="0" w:evenVBand="0" w:oddHBand="1" w:evenHBand="0" w:firstRowFirstColumn="0" w:firstRowLastColumn="0" w:lastRowFirstColumn="0" w:lastRowLastColumn="0"/>
              <w:rPr>
                <w:sz w:val="20"/>
                <w:szCs w:val="20"/>
                <w:lang w:val="en-US"/>
              </w:rPr>
            </w:pPr>
          </w:p>
        </w:tc>
        <w:tc>
          <w:tcPr>
            <w:tcW w:w="749" w:type="dxa"/>
            <w:shd w:val="clear" w:color="auto" w:fill="auto"/>
          </w:tcPr>
          <w:p w:rsidR="00FB5C78" w:rsidRPr="00FB5C78" w:rsidRDefault="00FB5C78" w:rsidP="00FF5AB8">
            <w:pPr>
              <w:spacing w:line="276" w:lineRule="auto"/>
              <w:jc w:val="right"/>
              <w:cnfStyle w:val="000000100000" w:firstRow="0" w:lastRow="0" w:firstColumn="0" w:lastColumn="0" w:oddVBand="0" w:evenVBand="0" w:oddHBand="1" w:evenHBand="0" w:firstRowFirstColumn="0" w:firstRowLastColumn="0" w:lastRowFirstColumn="0" w:lastRowLastColumn="0"/>
              <w:rPr>
                <w:sz w:val="20"/>
                <w:szCs w:val="20"/>
                <w:lang w:val="en-US"/>
              </w:rPr>
            </w:pPr>
          </w:p>
        </w:tc>
        <w:tc>
          <w:tcPr>
            <w:tcW w:w="748" w:type="dxa"/>
            <w:shd w:val="clear" w:color="auto" w:fill="auto"/>
          </w:tcPr>
          <w:p w:rsidR="00FB5C78" w:rsidRPr="00FB5C78" w:rsidRDefault="00FB5C78" w:rsidP="00FF5AB8">
            <w:pPr>
              <w:spacing w:line="276" w:lineRule="auto"/>
              <w:jc w:val="right"/>
              <w:cnfStyle w:val="000000100000" w:firstRow="0" w:lastRow="0" w:firstColumn="0" w:lastColumn="0" w:oddVBand="0" w:evenVBand="0" w:oddHBand="1" w:evenHBand="0" w:firstRowFirstColumn="0" w:firstRowLastColumn="0" w:lastRowFirstColumn="0" w:lastRowLastColumn="0"/>
              <w:rPr>
                <w:sz w:val="20"/>
                <w:szCs w:val="20"/>
                <w:lang w:val="en-US"/>
              </w:rPr>
            </w:pPr>
          </w:p>
        </w:tc>
        <w:tc>
          <w:tcPr>
            <w:tcW w:w="749" w:type="dxa"/>
            <w:shd w:val="clear" w:color="auto" w:fill="auto"/>
          </w:tcPr>
          <w:p w:rsidR="00FB5C78" w:rsidRPr="00FB5C78" w:rsidRDefault="00FB5C78" w:rsidP="00FF5AB8">
            <w:pPr>
              <w:spacing w:line="276" w:lineRule="auto"/>
              <w:jc w:val="right"/>
              <w:cnfStyle w:val="000000100000" w:firstRow="0" w:lastRow="0" w:firstColumn="0" w:lastColumn="0" w:oddVBand="0" w:evenVBand="0" w:oddHBand="1" w:evenHBand="0" w:firstRowFirstColumn="0" w:firstRowLastColumn="0" w:lastRowFirstColumn="0" w:lastRowLastColumn="0"/>
              <w:rPr>
                <w:sz w:val="20"/>
                <w:szCs w:val="20"/>
                <w:lang w:val="en-US"/>
              </w:rPr>
            </w:pPr>
          </w:p>
        </w:tc>
        <w:tc>
          <w:tcPr>
            <w:tcW w:w="748" w:type="dxa"/>
            <w:shd w:val="clear" w:color="auto" w:fill="auto"/>
          </w:tcPr>
          <w:p w:rsidR="00FB5C78" w:rsidRPr="00FB5C78" w:rsidRDefault="00FB5C78" w:rsidP="00FF5AB8">
            <w:pPr>
              <w:spacing w:line="276" w:lineRule="auto"/>
              <w:jc w:val="right"/>
              <w:cnfStyle w:val="000000100000" w:firstRow="0" w:lastRow="0" w:firstColumn="0" w:lastColumn="0" w:oddVBand="0" w:evenVBand="0" w:oddHBand="1" w:evenHBand="0" w:firstRowFirstColumn="0" w:firstRowLastColumn="0" w:lastRowFirstColumn="0" w:lastRowLastColumn="0"/>
              <w:rPr>
                <w:sz w:val="20"/>
                <w:szCs w:val="20"/>
                <w:lang w:val="en-US"/>
              </w:rPr>
            </w:pPr>
          </w:p>
        </w:tc>
        <w:tc>
          <w:tcPr>
            <w:tcW w:w="749" w:type="dxa"/>
            <w:shd w:val="clear" w:color="auto" w:fill="auto"/>
          </w:tcPr>
          <w:p w:rsidR="00FB5C78" w:rsidRPr="00FB5C78" w:rsidRDefault="00FB5C78" w:rsidP="00FF5AB8">
            <w:pPr>
              <w:spacing w:line="276" w:lineRule="auto"/>
              <w:jc w:val="right"/>
              <w:cnfStyle w:val="000000100000" w:firstRow="0" w:lastRow="0" w:firstColumn="0" w:lastColumn="0" w:oddVBand="0" w:evenVBand="0" w:oddHBand="1" w:evenHBand="0" w:firstRowFirstColumn="0" w:firstRowLastColumn="0" w:lastRowFirstColumn="0" w:lastRowLastColumn="0"/>
              <w:rPr>
                <w:sz w:val="20"/>
                <w:szCs w:val="20"/>
                <w:lang w:val="en-US"/>
              </w:rPr>
            </w:pPr>
          </w:p>
        </w:tc>
        <w:tc>
          <w:tcPr>
            <w:tcW w:w="796" w:type="dxa"/>
            <w:shd w:val="clear" w:color="auto" w:fill="auto"/>
          </w:tcPr>
          <w:p w:rsidR="00FB5C78" w:rsidRPr="00FB5C78" w:rsidRDefault="00FB5C78" w:rsidP="00FF5AB8">
            <w:pPr>
              <w:spacing w:line="276" w:lineRule="auto"/>
              <w:jc w:val="right"/>
              <w:cnfStyle w:val="000000100000" w:firstRow="0" w:lastRow="0" w:firstColumn="0" w:lastColumn="0" w:oddVBand="0" w:evenVBand="0" w:oddHBand="1" w:evenHBand="0" w:firstRowFirstColumn="0" w:firstRowLastColumn="0" w:lastRowFirstColumn="0" w:lastRowLastColumn="0"/>
              <w:rPr>
                <w:sz w:val="20"/>
                <w:szCs w:val="20"/>
                <w:lang w:val="en-US"/>
              </w:rPr>
            </w:pPr>
          </w:p>
        </w:tc>
      </w:tr>
      <w:tr w:rsidR="00FB5C78" w:rsidRPr="00FB5C78" w:rsidTr="00FB5C78">
        <w:trPr>
          <w:trHeight w:val="154"/>
          <w:jc w:val="center"/>
        </w:trPr>
        <w:tc>
          <w:tcPr>
            <w:cnfStyle w:val="001000000000" w:firstRow="0" w:lastRow="0" w:firstColumn="1" w:lastColumn="0" w:oddVBand="0" w:evenVBand="0" w:oddHBand="0" w:evenHBand="0" w:firstRowFirstColumn="0" w:firstRowLastColumn="0" w:lastRowFirstColumn="0" w:lastRowLastColumn="0"/>
            <w:tcW w:w="2715" w:type="dxa"/>
            <w:shd w:val="clear" w:color="auto" w:fill="auto"/>
          </w:tcPr>
          <w:p w:rsidR="00FB5C78" w:rsidRPr="00FB5C78" w:rsidRDefault="00FB5C78" w:rsidP="00FF5AB8">
            <w:pPr>
              <w:spacing w:line="276" w:lineRule="auto"/>
              <w:jc w:val="both"/>
              <w:rPr>
                <w:b w:val="0"/>
                <w:sz w:val="20"/>
                <w:szCs w:val="20"/>
                <w:lang w:val="en-US"/>
              </w:rPr>
            </w:pPr>
            <w:r w:rsidRPr="00FB5C78">
              <w:rPr>
                <w:b w:val="0"/>
                <w:sz w:val="20"/>
                <w:szCs w:val="20"/>
                <w:lang w:val="en-US"/>
              </w:rPr>
              <w:t>Bond Flow</w:t>
            </w:r>
          </w:p>
        </w:tc>
        <w:tc>
          <w:tcPr>
            <w:tcW w:w="748" w:type="dxa"/>
            <w:shd w:val="clear" w:color="auto" w:fill="auto"/>
          </w:tcPr>
          <w:p w:rsidR="00FB5C78" w:rsidRPr="00FB5C78" w:rsidRDefault="00FB5C78" w:rsidP="00FF5AB8">
            <w:pPr>
              <w:spacing w:line="276" w:lineRule="auto"/>
              <w:jc w:val="right"/>
              <w:cnfStyle w:val="000000000000" w:firstRow="0" w:lastRow="0" w:firstColumn="0" w:lastColumn="0" w:oddVBand="0" w:evenVBand="0" w:oddHBand="0" w:evenHBand="0" w:firstRowFirstColumn="0" w:firstRowLastColumn="0" w:lastRowFirstColumn="0" w:lastRowLastColumn="0"/>
              <w:rPr>
                <w:sz w:val="20"/>
                <w:szCs w:val="20"/>
                <w:lang w:val="en-US"/>
              </w:rPr>
            </w:pPr>
            <w:r w:rsidRPr="00FB5C78">
              <w:rPr>
                <w:sz w:val="20"/>
                <w:szCs w:val="20"/>
                <w:lang w:val="en-US"/>
              </w:rPr>
              <w:t>-0,1225</w:t>
            </w:r>
          </w:p>
        </w:tc>
        <w:tc>
          <w:tcPr>
            <w:tcW w:w="749" w:type="dxa"/>
            <w:shd w:val="clear" w:color="auto" w:fill="auto"/>
          </w:tcPr>
          <w:p w:rsidR="00FB5C78" w:rsidRPr="00FB5C78" w:rsidRDefault="00FB5C78" w:rsidP="00FF5AB8">
            <w:pPr>
              <w:spacing w:line="276" w:lineRule="auto"/>
              <w:jc w:val="right"/>
              <w:cnfStyle w:val="000000000000" w:firstRow="0" w:lastRow="0" w:firstColumn="0" w:lastColumn="0" w:oddVBand="0" w:evenVBand="0" w:oddHBand="0" w:evenHBand="0" w:firstRowFirstColumn="0" w:firstRowLastColumn="0" w:lastRowFirstColumn="0" w:lastRowLastColumn="0"/>
              <w:rPr>
                <w:sz w:val="20"/>
                <w:szCs w:val="20"/>
                <w:lang w:val="en-US"/>
              </w:rPr>
            </w:pPr>
            <w:r w:rsidRPr="00FB5C78">
              <w:rPr>
                <w:sz w:val="20"/>
                <w:szCs w:val="20"/>
                <w:lang w:val="en-US"/>
              </w:rPr>
              <w:t>-0,0199</w:t>
            </w:r>
          </w:p>
        </w:tc>
        <w:tc>
          <w:tcPr>
            <w:tcW w:w="748" w:type="dxa"/>
            <w:shd w:val="clear" w:color="auto" w:fill="auto"/>
          </w:tcPr>
          <w:p w:rsidR="00FB5C78" w:rsidRPr="00FB5C78" w:rsidRDefault="00FB5C78" w:rsidP="00FF5AB8">
            <w:pPr>
              <w:spacing w:line="276" w:lineRule="auto"/>
              <w:jc w:val="right"/>
              <w:cnfStyle w:val="000000000000" w:firstRow="0" w:lastRow="0" w:firstColumn="0" w:lastColumn="0" w:oddVBand="0" w:evenVBand="0" w:oddHBand="0" w:evenHBand="0" w:firstRowFirstColumn="0" w:firstRowLastColumn="0" w:lastRowFirstColumn="0" w:lastRowLastColumn="0"/>
              <w:rPr>
                <w:sz w:val="20"/>
                <w:szCs w:val="20"/>
                <w:lang w:val="en-US"/>
              </w:rPr>
            </w:pPr>
            <w:r w:rsidRPr="00FB5C78">
              <w:rPr>
                <w:sz w:val="20"/>
                <w:szCs w:val="20"/>
                <w:lang w:val="en-US"/>
              </w:rPr>
              <w:t>-0,1433</w:t>
            </w:r>
          </w:p>
        </w:tc>
        <w:tc>
          <w:tcPr>
            <w:tcW w:w="749" w:type="dxa"/>
            <w:shd w:val="clear" w:color="auto" w:fill="auto"/>
          </w:tcPr>
          <w:p w:rsidR="00FB5C78" w:rsidRPr="00FB5C78" w:rsidRDefault="00FB5C78" w:rsidP="00FF5AB8">
            <w:pPr>
              <w:spacing w:line="276" w:lineRule="auto"/>
              <w:jc w:val="right"/>
              <w:cnfStyle w:val="000000000000" w:firstRow="0" w:lastRow="0" w:firstColumn="0" w:lastColumn="0" w:oddVBand="0" w:evenVBand="0" w:oddHBand="0" w:evenHBand="0" w:firstRowFirstColumn="0" w:firstRowLastColumn="0" w:lastRowFirstColumn="0" w:lastRowLastColumn="0"/>
              <w:rPr>
                <w:sz w:val="20"/>
                <w:szCs w:val="20"/>
                <w:lang w:val="en-US"/>
              </w:rPr>
            </w:pPr>
            <w:r w:rsidRPr="00FB5C78">
              <w:rPr>
                <w:sz w:val="20"/>
                <w:szCs w:val="20"/>
                <w:lang w:val="en-US"/>
              </w:rPr>
              <w:t>-0,1213</w:t>
            </w:r>
          </w:p>
        </w:tc>
        <w:tc>
          <w:tcPr>
            <w:tcW w:w="748" w:type="dxa"/>
            <w:shd w:val="clear" w:color="auto" w:fill="auto"/>
          </w:tcPr>
          <w:p w:rsidR="00FB5C78" w:rsidRPr="00FB5C78" w:rsidRDefault="00FB5C78" w:rsidP="00FF5AB8">
            <w:pPr>
              <w:spacing w:line="276" w:lineRule="auto"/>
              <w:jc w:val="right"/>
              <w:cnfStyle w:val="000000000000" w:firstRow="0" w:lastRow="0" w:firstColumn="0" w:lastColumn="0" w:oddVBand="0" w:evenVBand="0" w:oddHBand="0" w:evenHBand="0" w:firstRowFirstColumn="0" w:firstRowLastColumn="0" w:lastRowFirstColumn="0" w:lastRowLastColumn="0"/>
              <w:rPr>
                <w:sz w:val="20"/>
                <w:szCs w:val="20"/>
                <w:lang w:val="en-US"/>
              </w:rPr>
            </w:pPr>
            <w:r w:rsidRPr="00FB5C78">
              <w:rPr>
                <w:sz w:val="20"/>
                <w:szCs w:val="20"/>
                <w:lang w:val="en-US"/>
              </w:rPr>
              <w:t>-0,1315</w:t>
            </w:r>
          </w:p>
        </w:tc>
        <w:tc>
          <w:tcPr>
            <w:tcW w:w="749" w:type="dxa"/>
            <w:shd w:val="clear" w:color="auto" w:fill="auto"/>
          </w:tcPr>
          <w:p w:rsidR="00FB5C78" w:rsidRPr="00FB5C78" w:rsidRDefault="00FB5C78" w:rsidP="00FF5AB8">
            <w:pPr>
              <w:spacing w:line="276" w:lineRule="auto"/>
              <w:jc w:val="right"/>
              <w:cnfStyle w:val="000000000000" w:firstRow="0" w:lastRow="0" w:firstColumn="0" w:lastColumn="0" w:oddVBand="0" w:evenVBand="0" w:oddHBand="0" w:evenHBand="0" w:firstRowFirstColumn="0" w:firstRowLastColumn="0" w:lastRowFirstColumn="0" w:lastRowLastColumn="0"/>
              <w:rPr>
                <w:sz w:val="20"/>
                <w:szCs w:val="20"/>
                <w:lang w:val="en-US"/>
              </w:rPr>
            </w:pPr>
            <w:r w:rsidRPr="00FB5C78">
              <w:rPr>
                <w:sz w:val="20"/>
                <w:szCs w:val="20"/>
                <w:lang w:val="en-US"/>
              </w:rPr>
              <w:t>-0,1499</w:t>
            </w:r>
          </w:p>
        </w:tc>
        <w:tc>
          <w:tcPr>
            <w:tcW w:w="796" w:type="dxa"/>
            <w:shd w:val="clear" w:color="auto" w:fill="auto"/>
          </w:tcPr>
          <w:p w:rsidR="00FB5C78" w:rsidRPr="00FB5C78" w:rsidRDefault="00FB5C78" w:rsidP="00FF5AB8">
            <w:pPr>
              <w:spacing w:line="276" w:lineRule="auto"/>
              <w:jc w:val="right"/>
              <w:cnfStyle w:val="000000000000" w:firstRow="0" w:lastRow="0" w:firstColumn="0" w:lastColumn="0" w:oddVBand="0" w:evenVBand="0" w:oddHBand="0" w:evenHBand="0" w:firstRowFirstColumn="0" w:firstRowLastColumn="0" w:lastRowFirstColumn="0" w:lastRowLastColumn="0"/>
              <w:rPr>
                <w:sz w:val="20"/>
                <w:szCs w:val="20"/>
                <w:lang w:val="en-US"/>
              </w:rPr>
            </w:pPr>
            <w:r w:rsidRPr="00FB5C78">
              <w:rPr>
                <w:sz w:val="20"/>
                <w:szCs w:val="20"/>
                <w:lang w:val="en-US"/>
              </w:rPr>
              <w:t>-0,1102</w:t>
            </w:r>
          </w:p>
        </w:tc>
      </w:tr>
      <w:tr w:rsidR="00FB5C78" w:rsidRPr="00FB5C78" w:rsidTr="00FB5C78">
        <w:trPr>
          <w:cnfStyle w:val="000000100000" w:firstRow="0" w:lastRow="0" w:firstColumn="0" w:lastColumn="0" w:oddVBand="0" w:evenVBand="0" w:oddHBand="1" w:evenHBand="0" w:firstRowFirstColumn="0" w:firstRowLastColumn="0" w:lastRowFirstColumn="0" w:lastRowLastColumn="0"/>
          <w:trHeight w:val="154"/>
          <w:jc w:val="center"/>
        </w:trPr>
        <w:tc>
          <w:tcPr>
            <w:cnfStyle w:val="001000000000" w:firstRow="0" w:lastRow="0" w:firstColumn="1" w:lastColumn="0" w:oddVBand="0" w:evenVBand="0" w:oddHBand="0" w:evenHBand="0" w:firstRowFirstColumn="0" w:firstRowLastColumn="0" w:lastRowFirstColumn="0" w:lastRowLastColumn="0"/>
            <w:tcW w:w="2715" w:type="dxa"/>
            <w:shd w:val="clear" w:color="auto" w:fill="auto"/>
          </w:tcPr>
          <w:p w:rsidR="00FB5C78" w:rsidRPr="00FB5C78" w:rsidRDefault="00FB5C78" w:rsidP="00FF5AB8">
            <w:pPr>
              <w:spacing w:line="276" w:lineRule="auto"/>
              <w:jc w:val="both"/>
              <w:rPr>
                <w:b w:val="0"/>
                <w:sz w:val="20"/>
                <w:szCs w:val="20"/>
                <w:lang w:val="en-US"/>
              </w:rPr>
            </w:pPr>
            <w:r w:rsidRPr="00FB5C78">
              <w:rPr>
                <w:b w:val="0"/>
                <w:sz w:val="20"/>
                <w:szCs w:val="20"/>
                <w:lang w:val="en-US"/>
              </w:rPr>
              <w:t>Equity Flow</w:t>
            </w:r>
          </w:p>
        </w:tc>
        <w:tc>
          <w:tcPr>
            <w:tcW w:w="748" w:type="dxa"/>
            <w:shd w:val="clear" w:color="auto" w:fill="auto"/>
          </w:tcPr>
          <w:p w:rsidR="00FB5C78" w:rsidRPr="00FB5C78" w:rsidRDefault="00FB5C78" w:rsidP="00FF5AB8">
            <w:pPr>
              <w:spacing w:line="276" w:lineRule="auto"/>
              <w:jc w:val="right"/>
              <w:cnfStyle w:val="000000100000" w:firstRow="0" w:lastRow="0" w:firstColumn="0" w:lastColumn="0" w:oddVBand="0" w:evenVBand="0" w:oddHBand="1" w:evenHBand="0" w:firstRowFirstColumn="0" w:firstRowLastColumn="0" w:lastRowFirstColumn="0" w:lastRowLastColumn="0"/>
              <w:rPr>
                <w:sz w:val="20"/>
                <w:szCs w:val="20"/>
                <w:lang w:val="en-US"/>
              </w:rPr>
            </w:pPr>
            <w:r w:rsidRPr="00FB5C78">
              <w:rPr>
                <w:sz w:val="20"/>
                <w:szCs w:val="20"/>
                <w:lang w:val="en-US"/>
              </w:rPr>
              <w:t>0,0521</w:t>
            </w:r>
          </w:p>
        </w:tc>
        <w:tc>
          <w:tcPr>
            <w:tcW w:w="749" w:type="dxa"/>
            <w:shd w:val="clear" w:color="auto" w:fill="auto"/>
          </w:tcPr>
          <w:p w:rsidR="00FB5C78" w:rsidRPr="00FB5C78" w:rsidRDefault="00FB5C78" w:rsidP="00FF5AB8">
            <w:pPr>
              <w:spacing w:line="276" w:lineRule="auto"/>
              <w:jc w:val="right"/>
              <w:cnfStyle w:val="000000100000" w:firstRow="0" w:lastRow="0" w:firstColumn="0" w:lastColumn="0" w:oddVBand="0" w:evenVBand="0" w:oddHBand="1" w:evenHBand="0" w:firstRowFirstColumn="0" w:firstRowLastColumn="0" w:lastRowFirstColumn="0" w:lastRowLastColumn="0"/>
              <w:rPr>
                <w:sz w:val="20"/>
                <w:szCs w:val="20"/>
                <w:lang w:val="en-US"/>
              </w:rPr>
            </w:pPr>
            <w:r w:rsidRPr="00FB5C78">
              <w:rPr>
                <w:sz w:val="20"/>
                <w:szCs w:val="20"/>
                <w:lang w:val="en-US"/>
              </w:rPr>
              <w:t>0,084</w:t>
            </w:r>
          </w:p>
        </w:tc>
        <w:tc>
          <w:tcPr>
            <w:tcW w:w="748" w:type="dxa"/>
            <w:shd w:val="clear" w:color="auto" w:fill="auto"/>
          </w:tcPr>
          <w:p w:rsidR="00FB5C78" w:rsidRPr="00FB5C78" w:rsidRDefault="00FB5C78" w:rsidP="00FF5AB8">
            <w:pPr>
              <w:spacing w:line="276" w:lineRule="auto"/>
              <w:jc w:val="right"/>
              <w:cnfStyle w:val="000000100000" w:firstRow="0" w:lastRow="0" w:firstColumn="0" w:lastColumn="0" w:oddVBand="0" w:evenVBand="0" w:oddHBand="1" w:evenHBand="0" w:firstRowFirstColumn="0" w:firstRowLastColumn="0" w:lastRowFirstColumn="0" w:lastRowLastColumn="0"/>
              <w:rPr>
                <w:sz w:val="20"/>
                <w:szCs w:val="20"/>
                <w:lang w:val="en-US"/>
              </w:rPr>
            </w:pPr>
            <w:r w:rsidRPr="00FB5C78">
              <w:rPr>
                <w:sz w:val="20"/>
                <w:szCs w:val="20"/>
                <w:lang w:val="en-US"/>
              </w:rPr>
              <w:t>0,0767</w:t>
            </w:r>
          </w:p>
        </w:tc>
        <w:tc>
          <w:tcPr>
            <w:tcW w:w="749" w:type="dxa"/>
            <w:shd w:val="clear" w:color="auto" w:fill="auto"/>
          </w:tcPr>
          <w:p w:rsidR="00FB5C78" w:rsidRPr="00FB5C78" w:rsidRDefault="00FB5C78" w:rsidP="00FF5AB8">
            <w:pPr>
              <w:spacing w:line="276" w:lineRule="auto"/>
              <w:jc w:val="right"/>
              <w:cnfStyle w:val="000000100000" w:firstRow="0" w:lastRow="0" w:firstColumn="0" w:lastColumn="0" w:oddVBand="0" w:evenVBand="0" w:oddHBand="1" w:evenHBand="0" w:firstRowFirstColumn="0" w:firstRowLastColumn="0" w:lastRowFirstColumn="0" w:lastRowLastColumn="0"/>
              <w:rPr>
                <w:sz w:val="20"/>
                <w:szCs w:val="20"/>
                <w:lang w:val="en-US"/>
              </w:rPr>
            </w:pPr>
            <w:r w:rsidRPr="00FB5C78">
              <w:rPr>
                <w:sz w:val="20"/>
                <w:szCs w:val="20"/>
                <w:lang w:val="en-US"/>
              </w:rPr>
              <w:t>0,0128</w:t>
            </w:r>
          </w:p>
        </w:tc>
        <w:tc>
          <w:tcPr>
            <w:tcW w:w="748" w:type="dxa"/>
            <w:shd w:val="clear" w:color="auto" w:fill="auto"/>
          </w:tcPr>
          <w:p w:rsidR="00FB5C78" w:rsidRPr="00FB5C78" w:rsidRDefault="00FB5C78" w:rsidP="00FF5AB8">
            <w:pPr>
              <w:spacing w:line="276" w:lineRule="auto"/>
              <w:jc w:val="right"/>
              <w:cnfStyle w:val="000000100000" w:firstRow="0" w:lastRow="0" w:firstColumn="0" w:lastColumn="0" w:oddVBand="0" w:evenVBand="0" w:oddHBand="1" w:evenHBand="0" w:firstRowFirstColumn="0" w:firstRowLastColumn="0" w:lastRowFirstColumn="0" w:lastRowLastColumn="0"/>
              <w:rPr>
                <w:sz w:val="20"/>
                <w:szCs w:val="20"/>
                <w:lang w:val="en-US"/>
              </w:rPr>
            </w:pPr>
            <w:r w:rsidRPr="00FB5C78">
              <w:rPr>
                <w:sz w:val="20"/>
                <w:szCs w:val="20"/>
                <w:lang w:val="en-US"/>
              </w:rPr>
              <w:t>-0,0784</w:t>
            </w:r>
          </w:p>
        </w:tc>
        <w:tc>
          <w:tcPr>
            <w:tcW w:w="749" w:type="dxa"/>
            <w:shd w:val="clear" w:color="auto" w:fill="auto"/>
          </w:tcPr>
          <w:p w:rsidR="00FB5C78" w:rsidRPr="00FB5C78" w:rsidRDefault="00FB5C78" w:rsidP="00FF5AB8">
            <w:pPr>
              <w:spacing w:line="276" w:lineRule="auto"/>
              <w:jc w:val="right"/>
              <w:cnfStyle w:val="000000100000" w:firstRow="0" w:lastRow="0" w:firstColumn="0" w:lastColumn="0" w:oddVBand="0" w:evenVBand="0" w:oddHBand="1" w:evenHBand="0" w:firstRowFirstColumn="0" w:firstRowLastColumn="0" w:lastRowFirstColumn="0" w:lastRowLastColumn="0"/>
              <w:rPr>
                <w:sz w:val="20"/>
                <w:szCs w:val="20"/>
                <w:lang w:val="en-US"/>
              </w:rPr>
            </w:pPr>
            <w:r w:rsidRPr="00FB5C78">
              <w:rPr>
                <w:sz w:val="20"/>
                <w:szCs w:val="20"/>
                <w:lang w:val="en-US"/>
              </w:rPr>
              <w:t>-0,0505</w:t>
            </w:r>
          </w:p>
        </w:tc>
        <w:tc>
          <w:tcPr>
            <w:tcW w:w="796" w:type="dxa"/>
            <w:shd w:val="clear" w:color="auto" w:fill="auto"/>
          </w:tcPr>
          <w:p w:rsidR="00FB5C78" w:rsidRPr="00FB5C78" w:rsidRDefault="00FB5C78" w:rsidP="00FF5AB8">
            <w:pPr>
              <w:spacing w:line="276" w:lineRule="auto"/>
              <w:jc w:val="right"/>
              <w:cnfStyle w:val="000000100000" w:firstRow="0" w:lastRow="0" w:firstColumn="0" w:lastColumn="0" w:oddVBand="0" w:evenVBand="0" w:oddHBand="1" w:evenHBand="0" w:firstRowFirstColumn="0" w:firstRowLastColumn="0" w:lastRowFirstColumn="0" w:lastRowLastColumn="0"/>
              <w:rPr>
                <w:sz w:val="20"/>
                <w:szCs w:val="20"/>
                <w:lang w:val="en-US"/>
              </w:rPr>
            </w:pPr>
            <w:r w:rsidRPr="00FB5C78">
              <w:rPr>
                <w:sz w:val="20"/>
                <w:szCs w:val="20"/>
                <w:lang w:val="en-US"/>
              </w:rPr>
              <w:t>0,03073</w:t>
            </w:r>
          </w:p>
        </w:tc>
      </w:tr>
      <w:tr w:rsidR="00FB5C78" w:rsidRPr="00FB5C78" w:rsidTr="00FB5C78">
        <w:trPr>
          <w:trHeight w:val="154"/>
          <w:jc w:val="center"/>
        </w:trPr>
        <w:tc>
          <w:tcPr>
            <w:cnfStyle w:val="001000000000" w:firstRow="0" w:lastRow="0" w:firstColumn="1" w:lastColumn="0" w:oddVBand="0" w:evenVBand="0" w:oddHBand="0" w:evenHBand="0" w:firstRowFirstColumn="0" w:firstRowLastColumn="0" w:lastRowFirstColumn="0" w:lastRowLastColumn="0"/>
            <w:tcW w:w="2715" w:type="dxa"/>
            <w:shd w:val="clear" w:color="auto" w:fill="auto"/>
          </w:tcPr>
          <w:p w:rsidR="00FB5C78" w:rsidRPr="00FB5C78" w:rsidRDefault="00FB5C78" w:rsidP="00FF5AB8">
            <w:pPr>
              <w:spacing w:line="276" w:lineRule="auto"/>
              <w:jc w:val="both"/>
              <w:rPr>
                <w:b w:val="0"/>
                <w:sz w:val="20"/>
                <w:szCs w:val="20"/>
                <w:lang w:val="en-US"/>
              </w:rPr>
            </w:pPr>
          </w:p>
        </w:tc>
        <w:tc>
          <w:tcPr>
            <w:tcW w:w="748" w:type="dxa"/>
            <w:shd w:val="clear" w:color="auto" w:fill="auto"/>
          </w:tcPr>
          <w:p w:rsidR="00FB5C78" w:rsidRPr="00FB5C78" w:rsidRDefault="00FB5C78" w:rsidP="00FF5AB8">
            <w:pPr>
              <w:spacing w:line="276" w:lineRule="auto"/>
              <w:jc w:val="both"/>
              <w:cnfStyle w:val="000000000000" w:firstRow="0" w:lastRow="0" w:firstColumn="0" w:lastColumn="0" w:oddVBand="0" w:evenVBand="0" w:oddHBand="0" w:evenHBand="0" w:firstRowFirstColumn="0" w:firstRowLastColumn="0" w:lastRowFirstColumn="0" w:lastRowLastColumn="0"/>
              <w:rPr>
                <w:sz w:val="20"/>
                <w:szCs w:val="20"/>
                <w:lang w:val="en-US"/>
              </w:rPr>
            </w:pPr>
          </w:p>
        </w:tc>
        <w:tc>
          <w:tcPr>
            <w:tcW w:w="749" w:type="dxa"/>
            <w:shd w:val="clear" w:color="auto" w:fill="auto"/>
          </w:tcPr>
          <w:p w:rsidR="00FB5C78" w:rsidRPr="00FB5C78" w:rsidRDefault="00FB5C78" w:rsidP="00FF5AB8">
            <w:pPr>
              <w:spacing w:line="276" w:lineRule="auto"/>
              <w:jc w:val="both"/>
              <w:cnfStyle w:val="000000000000" w:firstRow="0" w:lastRow="0" w:firstColumn="0" w:lastColumn="0" w:oddVBand="0" w:evenVBand="0" w:oddHBand="0" w:evenHBand="0" w:firstRowFirstColumn="0" w:firstRowLastColumn="0" w:lastRowFirstColumn="0" w:lastRowLastColumn="0"/>
              <w:rPr>
                <w:sz w:val="20"/>
                <w:szCs w:val="20"/>
                <w:lang w:val="en-US"/>
              </w:rPr>
            </w:pPr>
          </w:p>
        </w:tc>
        <w:tc>
          <w:tcPr>
            <w:tcW w:w="748" w:type="dxa"/>
            <w:shd w:val="clear" w:color="auto" w:fill="auto"/>
          </w:tcPr>
          <w:p w:rsidR="00FB5C78" w:rsidRPr="00FB5C78" w:rsidRDefault="00FB5C78" w:rsidP="00FF5AB8">
            <w:pPr>
              <w:spacing w:line="276" w:lineRule="auto"/>
              <w:jc w:val="both"/>
              <w:cnfStyle w:val="000000000000" w:firstRow="0" w:lastRow="0" w:firstColumn="0" w:lastColumn="0" w:oddVBand="0" w:evenVBand="0" w:oddHBand="0" w:evenHBand="0" w:firstRowFirstColumn="0" w:firstRowLastColumn="0" w:lastRowFirstColumn="0" w:lastRowLastColumn="0"/>
              <w:rPr>
                <w:sz w:val="20"/>
                <w:szCs w:val="20"/>
                <w:lang w:val="en-US"/>
              </w:rPr>
            </w:pPr>
          </w:p>
        </w:tc>
        <w:tc>
          <w:tcPr>
            <w:tcW w:w="749" w:type="dxa"/>
            <w:shd w:val="clear" w:color="auto" w:fill="auto"/>
          </w:tcPr>
          <w:p w:rsidR="00FB5C78" w:rsidRPr="00FB5C78" w:rsidRDefault="00FB5C78" w:rsidP="00FF5AB8">
            <w:pPr>
              <w:spacing w:line="276" w:lineRule="auto"/>
              <w:jc w:val="both"/>
              <w:cnfStyle w:val="000000000000" w:firstRow="0" w:lastRow="0" w:firstColumn="0" w:lastColumn="0" w:oddVBand="0" w:evenVBand="0" w:oddHBand="0" w:evenHBand="0" w:firstRowFirstColumn="0" w:firstRowLastColumn="0" w:lastRowFirstColumn="0" w:lastRowLastColumn="0"/>
              <w:rPr>
                <w:sz w:val="20"/>
                <w:szCs w:val="20"/>
                <w:lang w:val="en-US"/>
              </w:rPr>
            </w:pPr>
          </w:p>
        </w:tc>
        <w:tc>
          <w:tcPr>
            <w:tcW w:w="748" w:type="dxa"/>
            <w:shd w:val="clear" w:color="auto" w:fill="auto"/>
          </w:tcPr>
          <w:p w:rsidR="00FB5C78" w:rsidRPr="00FB5C78" w:rsidRDefault="00FB5C78" w:rsidP="00FF5AB8">
            <w:pPr>
              <w:spacing w:line="276" w:lineRule="auto"/>
              <w:jc w:val="both"/>
              <w:cnfStyle w:val="000000000000" w:firstRow="0" w:lastRow="0" w:firstColumn="0" w:lastColumn="0" w:oddVBand="0" w:evenVBand="0" w:oddHBand="0" w:evenHBand="0" w:firstRowFirstColumn="0" w:firstRowLastColumn="0" w:lastRowFirstColumn="0" w:lastRowLastColumn="0"/>
              <w:rPr>
                <w:sz w:val="20"/>
                <w:szCs w:val="20"/>
                <w:lang w:val="en-US"/>
              </w:rPr>
            </w:pPr>
          </w:p>
        </w:tc>
        <w:tc>
          <w:tcPr>
            <w:tcW w:w="749" w:type="dxa"/>
            <w:shd w:val="clear" w:color="auto" w:fill="auto"/>
          </w:tcPr>
          <w:p w:rsidR="00FB5C78" w:rsidRPr="00FB5C78" w:rsidRDefault="00FB5C78" w:rsidP="00FF5AB8">
            <w:pPr>
              <w:spacing w:line="276" w:lineRule="auto"/>
              <w:jc w:val="both"/>
              <w:cnfStyle w:val="000000000000" w:firstRow="0" w:lastRow="0" w:firstColumn="0" w:lastColumn="0" w:oddVBand="0" w:evenVBand="0" w:oddHBand="0" w:evenHBand="0" w:firstRowFirstColumn="0" w:firstRowLastColumn="0" w:lastRowFirstColumn="0" w:lastRowLastColumn="0"/>
              <w:rPr>
                <w:sz w:val="20"/>
                <w:szCs w:val="20"/>
                <w:lang w:val="en-US"/>
              </w:rPr>
            </w:pPr>
          </w:p>
        </w:tc>
        <w:tc>
          <w:tcPr>
            <w:tcW w:w="796" w:type="dxa"/>
            <w:shd w:val="clear" w:color="auto" w:fill="auto"/>
          </w:tcPr>
          <w:p w:rsidR="00FB5C78" w:rsidRPr="00FB5C78" w:rsidRDefault="00FB5C78" w:rsidP="00FF5AB8">
            <w:pPr>
              <w:spacing w:line="276" w:lineRule="auto"/>
              <w:jc w:val="both"/>
              <w:cnfStyle w:val="000000000000" w:firstRow="0" w:lastRow="0" w:firstColumn="0" w:lastColumn="0" w:oddVBand="0" w:evenVBand="0" w:oddHBand="0" w:evenHBand="0" w:firstRowFirstColumn="0" w:firstRowLastColumn="0" w:lastRowFirstColumn="0" w:lastRowLastColumn="0"/>
              <w:rPr>
                <w:sz w:val="20"/>
                <w:szCs w:val="20"/>
                <w:lang w:val="en-US"/>
              </w:rPr>
            </w:pPr>
          </w:p>
        </w:tc>
      </w:tr>
    </w:tbl>
    <w:p w:rsidR="00FB5C78" w:rsidRPr="00FB5C78" w:rsidRDefault="00FB5C78" w:rsidP="00FB5C78">
      <w:pPr>
        <w:spacing w:after="120"/>
        <w:jc w:val="both"/>
        <w:rPr>
          <w:sz w:val="20"/>
          <w:szCs w:val="20"/>
          <w:lang w:val="en-US"/>
        </w:rPr>
      </w:pPr>
    </w:p>
    <w:p w:rsidR="00FB5C78" w:rsidRPr="00FB5C78" w:rsidRDefault="00FB5C78" w:rsidP="00FB5C78">
      <w:pPr>
        <w:spacing w:after="120"/>
        <w:jc w:val="both"/>
        <w:rPr>
          <w:sz w:val="20"/>
          <w:szCs w:val="20"/>
          <w:lang w:val="en-US"/>
        </w:rPr>
      </w:pPr>
    </w:p>
    <w:p w:rsidR="00FB5C78" w:rsidRPr="00FB5C78" w:rsidRDefault="00FB5C78" w:rsidP="00FB5C78">
      <w:pPr>
        <w:jc w:val="center"/>
        <w:rPr>
          <w:sz w:val="20"/>
          <w:szCs w:val="20"/>
          <w:lang w:val="en-US"/>
        </w:rPr>
      </w:pPr>
      <w:r w:rsidRPr="00FB5C78">
        <w:rPr>
          <w:sz w:val="20"/>
          <w:szCs w:val="20"/>
          <w:lang w:val="en-US"/>
        </w:rPr>
        <w:t>Table 6</w:t>
      </w:r>
    </w:p>
    <w:p w:rsidR="00FB5C78" w:rsidRPr="00FB5C78" w:rsidRDefault="00FB5C78" w:rsidP="00FB5C78">
      <w:pPr>
        <w:jc w:val="center"/>
        <w:rPr>
          <w:sz w:val="20"/>
          <w:szCs w:val="20"/>
          <w:lang w:val="en-US"/>
        </w:rPr>
      </w:pPr>
      <w:r w:rsidRPr="00FB5C78">
        <w:rPr>
          <w:sz w:val="20"/>
          <w:szCs w:val="20"/>
          <w:lang w:val="en-US"/>
        </w:rPr>
        <w:t xml:space="preserve">Correlation Between the Monthly Changes of the Variables and </w:t>
      </w:r>
      <w:proofErr w:type="spellStart"/>
      <w:r w:rsidRPr="00FB5C78">
        <w:rPr>
          <w:sz w:val="20"/>
          <w:szCs w:val="20"/>
          <w:lang w:val="en-US"/>
        </w:rPr>
        <w:t>cds</w:t>
      </w:r>
      <w:proofErr w:type="spellEnd"/>
      <w:r w:rsidRPr="00FB5C78">
        <w:rPr>
          <w:sz w:val="20"/>
          <w:szCs w:val="20"/>
          <w:lang w:val="en-US"/>
        </w:rPr>
        <w:t xml:space="preserve"> Spreads</w:t>
      </w:r>
    </w:p>
    <w:p w:rsidR="00FB5C78" w:rsidRDefault="00FB5C78" w:rsidP="00FB5C78">
      <w:pPr>
        <w:jc w:val="center"/>
        <w:rPr>
          <w:sz w:val="20"/>
          <w:szCs w:val="20"/>
          <w:lang w:val="en-US"/>
        </w:rPr>
      </w:pPr>
      <w:r w:rsidRPr="00FB5C78">
        <w:rPr>
          <w:sz w:val="20"/>
          <w:szCs w:val="20"/>
          <w:lang w:val="en-US"/>
        </w:rPr>
        <w:t>Before and After Crisis</w:t>
      </w:r>
    </w:p>
    <w:p w:rsidR="00FB5C78" w:rsidRPr="00FB5C78" w:rsidRDefault="00FB5C78" w:rsidP="00FB5C78">
      <w:pPr>
        <w:jc w:val="center"/>
        <w:rPr>
          <w:sz w:val="20"/>
          <w:szCs w:val="20"/>
          <w:lang w:val="en-US"/>
        </w:rPr>
      </w:pPr>
    </w:p>
    <w:p w:rsidR="00FB5C78" w:rsidRPr="00FB5C78" w:rsidRDefault="00FB5C78" w:rsidP="00FB5C78">
      <w:pPr>
        <w:spacing w:after="120"/>
        <w:jc w:val="both"/>
        <w:rPr>
          <w:sz w:val="20"/>
          <w:szCs w:val="20"/>
          <w:lang w:val="en-US"/>
        </w:rPr>
      </w:pPr>
      <w:r w:rsidRPr="00FB5C78">
        <w:rPr>
          <w:sz w:val="20"/>
          <w:szCs w:val="20"/>
          <w:lang w:val="en-US"/>
        </w:rPr>
        <w:object w:dxaOrig="12264" w:dyaOrig="50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05pt;height:276.5pt" o:ole="" o:bordertopcolor="this" o:borderleftcolor="this" o:borderbottomcolor="this" o:borderrightcolor="this">
            <v:imagedata r:id="rId16" o:title=""/>
            <w10:bordertop type="single" width="4"/>
            <w10:borderleft type="single" width="4"/>
            <w10:borderbottom type="single" width="4"/>
            <w10:borderright type="single" width="4"/>
          </v:shape>
          <o:OLEObject Type="Embed" ProgID="Excel.Sheet.12" ShapeID="_x0000_i1025" DrawAspect="Content" ObjectID="_1435400571" r:id="rId17"/>
        </w:object>
      </w:r>
    </w:p>
    <w:p w:rsidR="00FB5C78" w:rsidRDefault="00FB5C78" w:rsidP="00FB5C78">
      <w:pPr>
        <w:spacing w:after="120"/>
        <w:jc w:val="both"/>
        <w:rPr>
          <w:sz w:val="20"/>
          <w:szCs w:val="20"/>
          <w:lang w:val="en-US"/>
        </w:rPr>
      </w:pPr>
    </w:p>
    <w:p w:rsidR="00FB5C78" w:rsidRPr="00FB5C78" w:rsidRDefault="00FB5C78" w:rsidP="00FB5C78">
      <w:pPr>
        <w:spacing w:after="120"/>
        <w:jc w:val="both"/>
        <w:rPr>
          <w:sz w:val="20"/>
          <w:szCs w:val="20"/>
          <w:lang w:val="en-US"/>
        </w:rPr>
      </w:pPr>
    </w:p>
    <w:p w:rsidR="00FB5C78" w:rsidRPr="00FB5C78" w:rsidRDefault="00FB5C78" w:rsidP="00FB5C78">
      <w:pPr>
        <w:spacing w:after="120"/>
        <w:jc w:val="center"/>
        <w:rPr>
          <w:sz w:val="20"/>
          <w:szCs w:val="20"/>
          <w:lang w:val="en-US"/>
        </w:rPr>
      </w:pPr>
      <w:r w:rsidRPr="00FB5C78">
        <w:rPr>
          <w:sz w:val="20"/>
          <w:szCs w:val="20"/>
          <w:lang w:val="en-US"/>
        </w:rPr>
        <w:lastRenderedPageBreak/>
        <w:t>Table 7</w:t>
      </w:r>
    </w:p>
    <w:p w:rsidR="00FB5C78" w:rsidRPr="00FB5C78" w:rsidRDefault="00FB5C78" w:rsidP="00FB5C78">
      <w:pPr>
        <w:spacing w:after="120"/>
        <w:jc w:val="center"/>
        <w:rPr>
          <w:sz w:val="20"/>
          <w:szCs w:val="20"/>
          <w:lang w:val="en-US"/>
        </w:rPr>
      </w:pPr>
      <w:r w:rsidRPr="00FB5C78">
        <w:rPr>
          <w:sz w:val="20"/>
          <w:szCs w:val="20"/>
          <w:lang w:val="en-US"/>
        </w:rPr>
        <w:t xml:space="preserve">Regression Analysis Results of Country Specific Variables and </w:t>
      </w:r>
      <w:proofErr w:type="spellStart"/>
      <w:r w:rsidRPr="00FB5C78">
        <w:rPr>
          <w:sz w:val="20"/>
          <w:szCs w:val="20"/>
          <w:lang w:val="en-US"/>
        </w:rPr>
        <w:t>cds</w:t>
      </w:r>
      <w:proofErr w:type="spellEnd"/>
      <w:r w:rsidRPr="00FB5C78">
        <w:rPr>
          <w:sz w:val="20"/>
          <w:szCs w:val="20"/>
          <w:lang w:val="en-US"/>
        </w:rPr>
        <w:t xml:space="preserve"> Spreads of the Selected Sovereigns </w:t>
      </w:r>
      <w:r w:rsidRPr="00FB5C78">
        <w:rPr>
          <w:sz w:val="20"/>
          <w:szCs w:val="20"/>
          <w:vertAlign w:val="superscript"/>
          <w:lang w:val="en-US"/>
        </w:rPr>
        <w:t>1</w:t>
      </w:r>
    </w:p>
    <w:tbl>
      <w:tblPr>
        <w:tblStyle w:val="AkGlgeleme"/>
        <w:tblW w:w="7869" w:type="dxa"/>
        <w:jc w:val="center"/>
        <w:tblLook w:val="04A0" w:firstRow="1" w:lastRow="0" w:firstColumn="1" w:lastColumn="0" w:noHBand="0" w:noVBand="1"/>
      </w:tblPr>
      <w:tblGrid>
        <w:gridCol w:w="1398"/>
        <w:gridCol w:w="774"/>
        <w:gridCol w:w="316"/>
        <w:gridCol w:w="773"/>
        <w:gridCol w:w="266"/>
        <w:gridCol w:w="794"/>
        <w:gridCol w:w="316"/>
        <w:gridCol w:w="773"/>
        <w:gridCol w:w="316"/>
        <w:gridCol w:w="783"/>
        <w:gridCol w:w="316"/>
        <w:gridCol w:w="773"/>
        <w:gridCol w:w="271"/>
      </w:tblGrid>
      <w:tr w:rsidR="00FB5C78" w:rsidRPr="00FB5C78" w:rsidTr="00FB5C78">
        <w:trPr>
          <w:cnfStyle w:val="100000000000" w:firstRow="1" w:lastRow="0" w:firstColumn="0" w:lastColumn="0" w:oddVBand="0" w:evenVBand="0" w:oddHBand="0" w:evenHBand="0" w:firstRowFirstColumn="0" w:firstRowLastColumn="0" w:lastRowFirstColumn="0" w:lastRowLastColumn="0"/>
          <w:trHeight w:val="295"/>
          <w:jc w:val="center"/>
        </w:trPr>
        <w:tc>
          <w:tcPr>
            <w:cnfStyle w:val="001000000000" w:firstRow="0" w:lastRow="0" w:firstColumn="1" w:lastColumn="0" w:oddVBand="0" w:evenVBand="0" w:oddHBand="0" w:evenHBand="0" w:firstRowFirstColumn="0" w:firstRowLastColumn="0" w:lastRowFirstColumn="0" w:lastRowLastColumn="0"/>
            <w:tcW w:w="1658" w:type="dxa"/>
            <w:shd w:val="clear" w:color="auto" w:fill="auto"/>
            <w:hideMark/>
          </w:tcPr>
          <w:p w:rsidR="00FB5C78" w:rsidRPr="00FB5C78" w:rsidRDefault="00FB5C78" w:rsidP="00FF5AB8">
            <w:pPr>
              <w:spacing w:after="120"/>
              <w:jc w:val="both"/>
              <w:rPr>
                <w:b w:val="0"/>
                <w:bCs w:val="0"/>
                <w:sz w:val="20"/>
                <w:szCs w:val="20"/>
                <w:lang w:val="en-US"/>
              </w:rPr>
            </w:pPr>
            <w:r w:rsidRPr="00FB5C78">
              <w:rPr>
                <w:b w:val="0"/>
                <w:bCs w:val="0"/>
                <w:sz w:val="20"/>
                <w:szCs w:val="20"/>
                <w:lang w:val="en-US"/>
              </w:rPr>
              <w:t> </w:t>
            </w:r>
          </w:p>
        </w:tc>
        <w:tc>
          <w:tcPr>
            <w:tcW w:w="778" w:type="dxa"/>
            <w:shd w:val="clear" w:color="auto" w:fill="auto"/>
            <w:hideMark/>
          </w:tcPr>
          <w:p w:rsidR="00FB5C78" w:rsidRPr="00FB5C78" w:rsidRDefault="00FB5C78" w:rsidP="00FF5AB8">
            <w:pPr>
              <w:spacing w:after="120"/>
              <w:jc w:val="right"/>
              <w:cnfStyle w:val="100000000000" w:firstRow="1" w:lastRow="0" w:firstColumn="0" w:lastColumn="0" w:oddVBand="0" w:evenVBand="0" w:oddHBand="0" w:evenHBand="0" w:firstRowFirstColumn="0" w:firstRowLastColumn="0" w:lastRowFirstColumn="0" w:lastRowLastColumn="0"/>
              <w:rPr>
                <w:b w:val="0"/>
                <w:bCs w:val="0"/>
                <w:sz w:val="20"/>
                <w:szCs w:val="20"/>
                <w:lang w:val="en-US"/>
              </w:rPr>
            </w:pPr>
            <w:r w:rsidRPr="00FB5C78">
              <w:rPr>
                <w:b w:val="0"/>
                <w:bCs w:val="0"/>
                <w:sz w:val="20"/>
                <w:szCs w:val="20"/>
                <w:lang w:val="en-US"/>
              </w:rPr>
              <w:t>Russia</w:t>
            </w:r>
          </w:p>
        </w:tc>
        <w:tc>
          <w:tcPr>
            <w:tcW w:w="262" w:type="dxa"/>
            <w:shd w:val="clear" w:color="auto" w:fill="auto"/>
            <w:hideMark/>
          </w:tcPr>
          <w:p w:rsidR="00FB5C78" w:rsidRPr="00FB5C78" w:rsidRDefault="00FB5C78" w:rsidP="00FF5AB8">
            <w:pPr>
              <w:spacing w:after="120"/>
              <w:jc w:val="right"/>
              <w:cnfStyle w:val="100000000000" w:firstRow="1" w:lastRow="0" w:firstColumn="0" w:lastColumn="0" w:oddVBand="0" w:evenVBand="0" w:oddHBand="0" w:evenHBand="0" w:firstRowFirstColumn="0" w:firstRowLastColumn="0" w:lastRowFirstColumn="0" w:lastRowLastColumn="0"/>
              <w:rPr>
                <w:b w:val="0"/>
                <w:bCs w:val="0"/>
                <w:sz w:val="20"/>
                <w:szCs w:val="20"/>
                <w:lang w:val="en-US"/>
              </w:rPr>
            </w:pPr>
            <w:r w:rsidRPr="00FB5C78">
              <w:rPr>
                <w:b w:val="0"/>
                <w:bCs w:val="0"/>
                <w:sz w:val="20"/>
                <w:szCs w:val="20"/>
                <w:lang w:val="en-US"/>
              </w:rPr>
              <w:t> </w:t>
            </w:r>
          </w:p>
        </w:tc>
        <w:tc>
          <w:tcPr>
            <w:tcW w:w="777" w:type="dxa"/>
            <w:shd w:val="clear" w:color="auto" w:fill="auto"/>
            <w:hideMark/>
          </w:tcPr>
          <w:p w:rsidR="00FB5C78" w:rsidRPr="00FB5C78" w:rsidRDefault="00FB5C78" w:rsidP="00FF5AB8">
            <w:pPr>
              <w:spacing w:after="120"/>
              <w:jc w:val="right"/>
              <w:cnfStyle w:val="100000000000" w:firstRow="1" w:lastRow="0" w:firstColumn="0" w:lastColumn="0" w:oddVBand="0" w:evenVBand="0" w:oddHBand="0" w:evenHBand="0" w:firstRowFirstColumn="0" w:firstRowLastColumn="0" w:lastRowFirstColumn="0" w:lastRowLastColumn="0"/>
              <w:rPr>
                <w:b w:val="0"/>
                <w:bCs w:val="0"/>
                <w:sz w:val="20"/>
                <w:szCs w:val="20"/>
                <w:lang w:val="en-US"/>
              </w:rPr>
            </w:pPr>
            <w:r w:rsidRPr="00FB5C78">
              <w:rPr>
                <w:b w:val="0"/>
                <w:bCs w:val="0"/>
                <w:sz w:val="20"/>
                <w:szCs w:val="20"/>
                <w:lang w:val="en-US"/>
              </w:rPr>
              <w:t>Brazil</w:t>
            </w:r>
          </w:p>
        </w:tc>
        <w:tc>
          <w:tcPr>
            <w:tcW w:w="221" w:type="dxa"/>
            <w:shd w:val="clear" w:color="auto" w:fill="auto"/>
            <w:hideMark/>
          </w:tcPr>
          <w:p w:rsidR="00FB5C78" w:rsidRPr="00FB5C78" w:rsidRDefault="00FB5C78" w:rsidP="00FF5AB8">
            <w:pPr>
              <w:spacing w:after="120"/>
              <w:jc w:val="right"/>
              <w:cnfStyle w:val="100000000000" w:firstRow="1" w:lastRow="0" w:firstColumn="0" w:lastColumn="0" w:oddVBand="0" w:evenVBand="0" w:oddHBand="0" w:evenHBand="0" w:firstRowFirstColumn="0" w:firstRowLastColumn="0" w:lastRowFirstColumn="0" w:lastRowLastColumn="0"/>
              <w:rPr>
                <w:b w:val="0"/>
                <w:bCs w:val="0"/>
                <w:sz w:val="20"/>
                <w:szCs w:val="20"/>
                <w:lang w:val="en-US"/>
              </w:rPr>
            </w:pPr>
            <w:r w:rsidRPr="00FB5C78">
              <w:rPr>
                <w:b w:val="0"/>
                <w:bCs w:val="0"/>
                <w:sz w:val="20"/>
                <w:szCs w:val="20"/>
                <w:lang w:val="en-US"/>
              </w:rPr>
              <w:t> </w:t>
            </w:r>
          </w:p>
        </w:tc>
        <w:tc>
          <w:tcPr>
            <w:tcW w:w="780" w:type="dxa"/>
            <w:shd w:val="clear" w:color="auto" w:fill="auto"/>
            <w:hideMark/>
          </w:tcPr>
          <w:p w:rsidR="00FB5C78" w:rsidRPr="00FB5C78" w:rsidRDefault="00FB5C78" w:rsidP="00FF5AB8">
            <w:pPr>
              <w:spacing w:after="120"/>
              <w:jc w:val="right"/>
              <w:cnfStyle w:val="100000000000" w:firstRow="1" w:lastRow="0" w:firstColumn="0" w:lastColumn="0" w:oddVBand="0" w:evenVBand="0" w:oddHBand="0" w:evenHBand="0" w:firstRowFirstColumn="0" w:firstRowLastColumn="0" w:lastRowFirstColumn="0" w:lastRowLastColumn="0"/>
              <w:rPr>
                <w:b w:val="0"/>
                <w:bCs w:val="0"/>
                <w:sz w:val="20"/>
                <w:szCs w:val="20"/>
                <w:lang w:val="en-US"/>
              </w:rPr>
            </w:pPr>
            <w:r w:rsidRPr="00FB5C78">
              <w:rPr>
                <w:b w:val="0"/>
                <w:bCs w:val="0"/>
                <w:sz w:val="20"/>
                <w:szCs w:val="20"/>
                <w:lang w:val="en-US"/>
              </w:rPr>
              <w:t>Turkey</w:t>
            </w:r>
          </w:p>
        </w:tc>
        <w:tc>
          <w:tcPr>
            <w:tcW w:w="262" w:type="dxa"/>
            <w:shd w:val="clear" w:color="auto" w:fill="auto"/>
            <w:hideMark/>
          </w:tcPr>
          <w:p w:rsidR="00FB5C78" w:rsidRPr="00FB5C78" w:rsidRDefault="00FB5C78" w:rsidP="00FF5AB8">
            <w:pPr>
              <w:spacing w:after="120"/>
              <w:jc w:val="right"/>
              <w:cnfStyle w:val="100000000000" w:firstRow="1" w:lastRow="0" w:firstColumn="0" w:lastColumn="0" w:oddVBand="0" w:evenVBand="0" w:oddHBand="0" w:evenHBand="0" w:firstRowFirstColumn="0" w:firstRowLastColumn="0" w:lastRowFirstColumn="0" w:lastRowLastColumn="0"/>
              <w:rPr>
                <w:b w:val="0"/>
                <w:bCs w:val="0"/>
                <w:sz w:val="20"/>
                <w:szCs w:val="20"/>
                <w:lang w:val="en-US"/>
              </w:rPr>
            </w:pPr>
            <w:r w:rsidRPr="00FB5C78">
              <w:rPr>
                <w:b w:val="0"/>
                <w:bCs w:val="0"/>
                <w:sz w:val="20"/>
                <w:szCs w:val="20"/>
                <w:lang w:val="en-US"/>
              </w:rPr>
              <w:t> </w:t>
            </w:r>
          </w:p>
        </w:tc>
        <w:tc>
          <w:tcPr>
            <w:tcW w:w="777" w:type="dxa"/>
            <w:shd w:val="clear" w:color="auto" w:fill="auto"/>
            <w:hideMark/>
          </w:tcPr>
          <w:p w:rsidR="00FB5C78" w:rsidRPr="00FB5C78" w:rsidRDefault="00FB5C78" w:rsidP="00FF5AB8">
            <w:pPr>
              <w:spacing w:after="120"/>
              <w:jc w:val="right"/>
              <w:cnfStyle w:val="100000000000" w:firstRow="1" w:lastRow="0" w:firstColumn="0" w:lastColumn="0" w:oddVBand="0" w:evenVBand="0" w:oddHBand="0" w:evenHBand="0" w:firstRowFirstColumn="0" w:firstRowLastColumn="0" w:lastRowFirstColumn="0" w:lastRowLastColumn="0"/>
              <w:rPr>
                <w:b w:val="0"/>
                <w:bCs w:val="0"/>
                <w:sz w:val="20"/>
                <w:szCs w:val="20"/>
                <w:lang w:val="en-US"/>
              </w:rPr>
            </w:pPr>
            <w:r w:rsidRPr="00FB5C78">
              <w:rPr>
                <w:b w:val="0"/>
                <w:bCs w:val="0"/>
                <w:sz w:val="20"/>
                <w:szCs w:val="20"/>
                <w:lang w:val="en-US"/>
              </w:rPr>
              <w:t>Korea</w:t>
            </w:r>
          </w:p>
        </w:tc>
        <w:tc>
          <w:tcPr>
            <w:tcW w:w="262" w:type="dxa"/>
            <w:shd w:val="clear" w:color="auto" w:fill="auto"/>
            <w:hideMark/>
          </w:tcPr>
          <w:p w:rsidR="00FB5C78" w:rsidRPr="00FB5C78" w:rsidRDefault="00FB5C78" w:rsidP="00FF5AB8">
            <w:pPr>
              <w:spacing w:after="120"/>
              <w:jc w:val="right"/>
              <w:cnfStyle w:val="100000000000" w:firstRow="1" w:lastRow="0" w:firstColumn="0" w:lastColumn="0" w:oddVBand="0" w:evenVBand="0" w:oddHBand="0" w:evenHBand="0" w:firstRowFirstColumn="0" w:firstRowLastColumn="0" w:lastRowFirstColumn="0" w:lastRowLastColumn="0"/>
              <w:rPr>
                <w:b w:val="0"/>
                <w:bCs w:val="0"/>
                <w:sz w:val="20"/>
                <w:szCs w:val="20"/>
                <w:lang w:val="en-US"/>
              </w:rPr>
            </w:pPr>
            <w:r w:rsidRPr="00FB5C78">
              <w:rPr>
                <w:b w:val="0"/>
                <w:bCs w:val="0"/>
                <w:sz w:val="20"/>
                <w:szCs w:val="20"/>
                <w:lang w:val="en-US"/>
              </w:rPr>
              <w:t> </w:t>
            </w:r>
          </w:p>
        </w:tc>
        <w:tc>
          <w:tcPr>
            <w:tcW w:w="779" w:type="dxa"/>
            <w:shd w:val="clear" w:color="auto" w:fill="auto"/>
            <w:hideMark/>
          </w:tcPr>
          <w:p w:rsidR="00FB5C78" w:rsidRPr="00FB5C78" w:rsidRDefault="00FB5C78" w:rsidP="00FF5AB8">
            <w:pPr>
              <w:spacing w:after="120"/>
              <w:jc w:val="right"/>
              <w:cnfStyle w:val="100000000000" w:firstRow="1" w:lastRow="0" w:firstColumn="0" w:lastColumn="0" w:oddVBand="0" w:evenVBand="0" w:oddHBand="0" w:evenHBand="0" w:firstRowFirstColumn="0" w:firstRowLastColumn="0" w:lastRowFirstColumn="0" w:lastRowLastColumn="0"/>
              <w:rPr>
                <w:b w:val="0"/>
                <w:bCs w:val="0"/>
                <w:sz w:val="20"/>
                <w:szCs w:val="20"/>
                <w:lang w:val="en-US"/>
              </w:rPr>
            </w:pPr>
            <w:r w:rsidRPr="00FB5C78">
              <w:rPr>
                <w:b w:val="0"/>
                <w:bCs w:val="0"/>
                <w:sz w:val="20"/>
                <w:szCs w:val="20"/>
                <w:lang w:val="en-US"/>
              </w:rPr>
              <w:t>Greece</w:t>
            </w:r>
          </w:p>
        </w:tc>
        <w:tc>
          <w:tcPr>
            <w:tcW w:w="262" w:type="dxa"/>
            <w:shd w:val="clear" w:color="auto" w:fill="auto"/>
            <w:hideMark/>
          </w:tcPr>
          <w:p w:rsidR="00FB5C78" w:rsidRPr="00FB5C78" w:rsidRDefault="00FB5C78" w:rsidP="00FF5AB8">
            <w:pPr>
              <w:spacing w:after="120"/>
              <w:jc w:val="right"/>
              <w:cnfStyle w:val="100000000000" w:firstRow="1" w:lastRow="0" w:firstColumn="0" w:lastColumn="0" w:oddVBand="0" w:evenVBand="0" w:oddHBand="0" w:evenHBand="0" w:firstRowFirstColumn="0" w:firstRowLastColumn="0" w:lastRowFirstColumn="0" w:lastRowLastColumn="0"/>
              <w:rPr>
                <w:b w:val="0"/>
                <w:bCs w:val="0"/>
                <w:sz w:val="20"/>
                <w:szCs w:val="20"/>
                <w:lang w:val="en-US"/>
              </w:rPr>
            </w:pPr>
            <w:r w:rsidRPr="00FB5C78">
              <w:rPr>
                <w:b w:val="0"/>
                <w:bCs w:val="0"/>
                <w:sz w:val="20"/>
                <w:szCs w:val="20"/>
                <w:lang w:val="en-US"/>
              </w:rPr>
              <w:t> </w:t>
            </w:r>
          </w:p>
        </w:tc>
        <w:tc>
          <w:tcPr>
            <w:tcW w:w="777" w:type="dxa"/>
            <w:shd w:val="clear" w:color="auto" w:fill="auto"/>
            <w:hideMark/>
          </w:tcPr>
          <w:p w:rsidR="00FB5C78" w:rsidRPr="00FB5C78" w:rsidRDefault="00FB5C78" w:rsidP="00FF5AB8">
            <w:pPr>
              <w:spacing w:after="120"/>
              <w:jc w:val="right"/>
              <w:cnfStyle w:val="100000000000" w:firstRow="1" w:lastRow="0" w:firstColumn="0" w:lastColumn="0" w:oddVBand="0" w:evenVBand="0" w:oddHBand="0" w:evenHBand="0" w:firstRowFirstColumn="0" w:firstRowLastColumn="0" w:lastRowFirstColumn="0" w:lastRowLastColumn="0"/>
              <w:rPr>
                <w:b w:val="0"/>
                <w:bCs w:val="0"/>
                <w:sz w:val="20"/>
                <w:szCs w:val="20"/>
                <w:lang w:val="en-US"/>
              </w:rPr>
            </w:pPr>
            <w:r w:rsidRPr="00FB5C78">
              <w:rPr>
                <w:b w:val="0"/>
                <w:bCs w:val="0"/>
                <w:sz w:val="20"/>
                <w:szCs w:val="20"/>
                <w:lang w:val="en-US"/>
              </w:rPr>
              <w:t>Spain</w:t>
            </w:r>
          </w:p>
        </w:tc>
        <w:tc>
          <w:tcPr>
            <w:tcW w:w="274" w:type="dxa"/>
            <w:shd w:val="clear" w:color="auto" w:fill="auto"/>
            <w:hideMark/>
          </w:tcPr>
          <w:p w:rsidR="00FB5C78" w:rsidRPr="00FB5C78" w:rsidRDefault="00FB5C78" w:rsidP="00FF5AB8">
            <w:pPr>
              <w:spacing w:after="120"/>
              <w:jc w:val="both"/>
              <w:cnfStyle w:val="100000000000" w:firstRow="1" w:lastRow="0" w:firstColumn="0" w:lastColumn="0" w:oddVBand="0" w:evenVBand="0" w:oddHBand="0" w:evenHBand="0" w:firstRowFirstColumn="0" w:firstRowLastColumn="0" w:lastRowFirstColumn="0" w:lastRowLastColumn="0"/>
              <w:rPr>
                <w:b w:val="0"/>
                <w:bCs w:val="0"/>
                <w:sz w:val="20"/>
                <w:szCs w:val="20"/>
                <w:lang w:val="en-US"/>
              </w:rPr>
            </w:pPr>
            <w:r w:rsidRPr="00FB5C78">
              <w:rPr>
                <w:b w:val="0"/>
                <w:bCs w:val="0"/>
                <w:sz w:val="20"/>
                <w:szCs w:val="20"/>
                <w:lang w:val="en-US"/>
              </w:rPr>
              <w:t> </w:t>
            </w:r>
          </w:p>
        </w:tc>
      </w:tr>
      <w:tr w:rsidR="00FB5C78" w:rsidRPr="00FB5C78" w:rsidTr="00FB5C78">
        <w:trPr>
          <w:cnfStyle w:val="000000100000" w:firstRow="0" w:lastRow="0" w:firstColumn="0" w:lastColumn="0" w:oddVBand="0" w:evenVBand="0" w:oddHBand="1" w:evenHBand="0" w:firstRowFirstColumn="0" w:firstRowLastColumn="0" w:lastRowFirstColumn="0" w:lastRowLastColumn="0"/>
          <w:trHeight w:hRule="exact" w:val="296"/>
          <w:jc w:val="center"/>
        </w:trPr>
        <w:tc>
          <w:tcPr>
            <w:cnfStyle w:val="001000000000" w:firstRow="0" w:lastRow="0" w:firstColumn="1" w:lastColumn="0" w:oddVBand="0" w:evenVBand="0" w:oddHBand="0" w:evenHBand="0" w:firstRowFirstColumn="0" w:firstRowLastColumn="0" w:lastRowFirstColumn="0" w:lastRowLastColumn="0"/>
            <w:tcW w:w="1658" w:type="dxa"/>
            <w:shd w:val="clear" w:color="auto" w:fill="auto"/>
            <w:hideMark/>
          </w:tcPr>
          <w:p w:rsidR="00FB5C78" w:rsidRPr="00FB5C78" w:rsidRDefault="00FB5C78" w:rsidP="00FF5AB8">
            <w:pPr>
              <w:spacing w:after="120"/>
              <w:jc w:val="both"/>
              <w:rPr>
                <w:b w:val="0"/>
                <w:bCs w:val="0"/>
                <w:sz w:val="20"/>
                <w:szCs w:val="20"/>
                <w:lang w:val="en-US"/>
              </w:rPr>
            </w:pPr>
            <w:r w:rsidRPr="00FB5C78">
              <w:rPr>
                <w:b w:val="0"/>
                <w:bCs w:val="0"/>
                <w:sz w:val="20"/>
                <w:szCs w:val="20"/>
                <w:lang w:val="en-US"/>
              </w:rPr>
              <w:t>FX Rate</w:t>
            </w:r>
          </w:p>
        </w:tc>
        <w:tc>
          <w:tcPr>
            <w:tcW w:w="778" w:type="dxa"/>
            <w:shd w:val="clear" w:color="auto" w:fill="auto"/>
            <w:hideMark/>
          </w:tcPr>
          <w:p w:rsidR="00FB5C78" w:rsidRPr="00FB5C78" w:rsidRDefault="00FB5C78" w:rsidP="00FF5AB8">
            <w:pPr>
              <w:spacing w:after="120"/>
              <w:jc w:val="right"/>
              <w:cnfStyle w:val="000000100000" w:firstRow="0" w:lastRow="0" w:firstColumn="0" w:lastColumn="0" w:oddVBand="0" w:evenVBand="0" w:oddHBand="1" w:evenHBand="0" w:firstRowFirstColumn="0" w:firstRowLastColumn="0" w:lastRowFirstColumn="0" w:lastRowLastColumn="0"/>
              <w:rPr>
                <w:sz w:val="20"/>
                <w:szCs w:val="20"/>
                <w:lang w:val="en-US"/>
              </w:rPr>
            </w:pPr>
            <w:r w:rsidRPr="00FB5C78">
              <w:rPr>
                <w:sz w:val="20"/>
                <w:szCs w:val="20"/>
                <w:lang w:val="en-US"/>
              </w:rPr>
              <w:t>-1,25</w:t>
            </w:r>
          </w:p>
        </w:tc>
        <w:tc>
          <w:tcPr>
            <w:tcW w:w="262" w:type="dxa"/>
            <w:shd w:val="clear" w:color="auto" w:fill="auto"/>
            <w:hideMark/>
          </w:tcPr>
          <w:p w:rsidR="00FB5C78" w:rsidRPr="00FB5C78" w:rsidRDefault="00FB5C78" w:rsidP="00FF5AB8">
            <w:pPr>
              <w:spacing w:after="120"/>
              <w:jc w:val="right"/>
              <w:cnfStyle w:val="000000100000" w:firstRow="0" w:lastRow="0" w:firstColumn="0" w:lastColumn="0" w:oddVBand="0" w:evenVBand="0" w:oddHBand="1" w:evenHBand="0" w:firstRowFirstColumn="0" w:firstRowLastColumn="0" w:lastRowFirstColumn="0" w:lastRowLastColumn="0"/>
              <w:rPr>
                <w:sz w:val="20"/>
                <w:szCs w:val="20"/>
                <w:lang w:val="en-US"/>
              </w:rPr>
            </w:pPr>
            <w:r w:rsidRPr="00FB5C78">
              <w:rPr>
                <w:sz w:val="20"/>
                <w:szCs w:val="20"/>
                <w:lang w:val="en-US"/>
              </w:rPr>
              <w:t>*</w:t>
            </w:r>
          </w:p>
        </w:tc>
        <w:tc>
          <w:tcPr>
            <w:tcW w:w="777" w:type="dxa"/>
            <w:shd w:val="clear" w:color="auto" w:fill="auto"/>
            <w:hideMark/>
          </w:tcPr>
          <w:p w:rsidR="00FB5C78" w:rsidRPr="00FB5C78" w:rsidRDefault="00FB5C78" w:rsidP="00FF5AB8">
            <w:pPr>
              <w:spacing w:after="120"/>
              <w:jc w:val="right"/>
              <w:cnfStyle w:val="000000100000" w:firstRow="0" w:lastRow="0" w:firstColumn="0" w:lastColumn="0" w:oddVBand="0" w:evenVBand="0" w:oddHBand="1" w:evenHBand="0" w:firstRowFirstColumn="0" w:firstRowLastColumn="0" w:lastRowFirstColumn="0" w:lastRowLastColumn="0"/>
              <w:rPr>
                <w:sz w:val="20"/>
                <w:szCs w:val="20"/>
                <w:lang w:val="en-US"/>
              </w:rPr>
            </w:pPr>
            <w:r w:rsidRPr="00FB5C78">
              <w:rPr>
                <w:sz w:val="20"/>
                <w:szCs w:val="20"/>
                <w:lang w:val="en-US"/>
              </w:rPr>
              <w:t>5,6</w:t>
            </w:r>
          </w:p>
        </w:tc>
        <w:tc>
          <w:tcPr>
            <w:tcW w:w="221" w:type="dxa"/>
            <w:shd w:val="clear" w:color="auto" w:fill="auto"/>
            <w:hideMark/>
          </w:tcPr>
          <w:p w:rsidR="00FB5C78" w:rsidRPr="00FB5C78" w:rsidRDefault="00FB5C78" w:rsidP="00FF5AB8">
            <w:pPr>
              <w:spacing w:after="120"/>
              <w:jc w:val="right"/>
              <w:cnfStyle w:val="000000100000" w:firstRow="0" w:lastRow="0" w:firstColumn="0" w:lastColumn="0" w:oddVBand="0" w:evenVBand="0" w:oddHBand="1" w:evenHBand="0" w:firstRowFirstColumn="0" w:firstRowLastColumn="0" w:lastRowFirstColumn="0" w:lastRowLastColumn="0"/>
              <w:rPr>
                <w:sz w:val="20"/>
                <w:szCs w:val="20"/>
                <w:lang w:val="en-US"/>
              </w:rPr>
            </w:pPr>
            <w:r w:rsidRPr="00FB5C78">
              <w:rPr>
                <w:sz w:val="20"/>
                <w:szCs w:val="20"/>
                <w:lang w:val="en-US"/>
              </w:rPr>
              <w:t> </w:t>
            </w:r>
          </w:p>
        </w:tc>
        <w:tc>
          <w:tcPr>
            <w:tcW w:w="780" w:type="dxa"/>
            <w:shd w:val="clear" w:color="auto" w:fill="auto"/>
            <w:hideMark/>
          </w:tcPr>
          <w:p w:rsidR="00FB5C78" w:rsidRPr="00FB5C78" w:rsidRDefault="00FB5C78" w:rsidP="00FF5AB8">
            <w:pPr>
              <w:spacing w:after="120"/>
              <w:jc w:val="right"/>
              <w:cnfStyle w:val="000000100000" w:firstRow="0" w:lastRow="0" w:firstColumn="0" w:lastColumn="0" w:oddVBand="0" w:evenVBand="0" w:oddHBand="1" w:evenHBand="0" w:firstRowFirstColumn="0" w:firstRowLastColumn="0" w:lastRowFirstColumn="0" w:lastRowLastColumn="0"/>
              <w:rPr>
                <w:sz w:val="20"/>
                <w:szCs w:val="20"/>
                <w:lang w:val="en-US"/>
              </w:rPr>
            </w:pPr>
            <w:r w:rsidRPr="00FB5C78">
              <w:rPr>
                <w:sz w:val="20"/>
                <w:szCs w:val="20"/>
                <w:lang w:val="en-US"/>
              </w:rPr>
              <w:t>1,68</w:t>
            </w:r>
          </w:p>
        </w:tc>
        <w:tc>
          <w:tcPr>
            <w:tcW w:w="262" w:type="dxa"/>
            <w:shd w:val="clear" w:color="auto" w:fill="auto"/>
            <w:hideMark/>
          </w:tcPr>
          <w:p w:rsidR="00FB5C78" w:rsidRPr="00FB5C78" w:rsidRDefault="00FB5C78" w:rsidP="00FF5AB8">
            <w:pPr>
              <w:spacing w:after="120"/>
              <w:jc w:val="right"/>
              <w:cnfStyle w:val="000000100000" w:firstRow="0" w:lastRow="0" w:firstColumn="0" w:lastColumn="0" w:oddVBand="0" w:evenVBand="0" w:oddHBand="1" w:evenHBand="0" w:firstRowFirstColumn="0" w:firstRowLastColumn="0" w:lastRowFirstColumn="0" w:lastRowLastColumn="0"/>
              <w:rPr>
                <w:sz w:val="20"/>
                <w:szCs w:val="20"/>
                <w:lang w:val="en-US"/>
              </w:rPr>
            </w:pPr>
            <w:r w:rsidRPr="00FB5C78">
              <w:rPr>
                <w:sz w:val="20"/>
                <w:szCs w:val="20"/>
                <w:lang w:val="en-US"/>
              </w:rPr>
              <w:t>*</w:t>
            </w:r>
          </w:p>
        </w:tc>
        <w:tc>
          <w:tcPr>
            <w:tcW w:w="777" w:type="dxa"/>
            <w:shd w:val="clear" w:color="auto" w:fill="auto"/>
            <w:hideMark/>
          </w:tcPr>
          <w:p w:rsidR="00FB5C78" w:rsidRPr="00FB5C78" w:rsidRDefault="00FB5C78" w:rsidP="00FF5AB8">
            <w:pPr>
              <w:spacing w:after="120"/>
              <w:jc w:val="right"/>
              <w:cnfStyle w:val="000000100000" w:firstRow="0" w:lastRow="0" w:firstColumn="0" w:lastColumn="0" w:oddVBand="0" w:evenVBand="0" w:oddHBand="1" w:evenHBand="0" w:firstRowFirstColumn="0" w:firstRowLastColumn="0" w:lastRowFirstColumn="0" w:lastRowLastColumn="0"/>
              <w:rPr>
                <w:sz w:val="20"/>
                <w:szCs w:val="20"/>
                <w:lang w:val="en-US"/>
              </w:rPr>
            </w:pPr>
            <w:r w:rsidRPr="00FB5C78">
              <w:rPr>
                <w:sz w:val="20"/>
                <w:szCs w:val="20"/>
                <w:lang w:val="en-US"/>
              </w:rPr>
              <w:t>9,15</w:t>
            </w:r>
          </w:p>
        </w:tc>
        <w:tc>
          <w:tcPr>
            <w:tcW w:w="262" w:type="dxa"/>
            <w:shd w:val="clear" w:color="auto" w:fill="auto"/>
            <w:hideMark/>
          </w:tcPr>
          <w:p w:rsidR="00FB5C78" w:rsidRPr="00FB5C78" w:rsidRDefault="00FB5C78" w:rsidP="00FF5AB8">
            <w:pPr>
              <w:spacing w:after="120"/>
              <w:jc w:val="right"/>
              <w:cnfStyle w:val="000000100000" w:firstRow="0" w:lastRow="0" w:firstColumn="0" w:lastColumn="0" w:oddVBand="0" w:evenVBand="0" w:oddHBand="1" w:evenHBand="0" w:firstRowFirstColumn="0" w:firstRowLastColumn="0" w:lastRowFirstColumn="0" w:lastRowLastColumn="0"/>
              <w:rPr>
                <w:sz w:val="20"/>
                <w:szCs w:val="20"/>
                <w:lang w:val="en-US"/>
              </w:rPr>
            </w:pPr>
            <w:r w:rsidRPr="00FB5C78">
              <w:rPr>
                <w:sz w:val="20"/>
                <w:szCs w:val="20"/>
                <w:lang w:val="en-US"/>
              </w:rPr>
              <w:t> </w:t>
            </w:r>
          </w:p>
        </w:tc>
        <w:tc>
          <w:tcPr>
            <w:tcW w:w="779" w:type="dxa"/>
            <w:shd w:val="clear" w:color="auto" w:fill="auto"/>
            <w:hideMark/>
          </w:tcPr>
          <w:p w:rsidR="00FB5C78" w:rsidRPr="00FB5C78" w:rsidRDefault="00FB5C78" w:rsidP="00FF5AB8">
            <w:pPr>
              <w:spacing w:after="120"/>
              <w:jc w:val="right"/>
              <w:cnfStyle w:val="000000100000" w:firstRow="0" w:lastRow="0" w:firstColumn="0" w:lastColumn="0" w:oddVBand="0" w:evenVBand="0" w:oddHBand="1" w:evenHBand="0" w:firstRowFirstColumn="0" w:firstRowLastColumn="0" w:lastRowFirstColumn="0" w:lastRowLastColumn="0"/>
              <w:rPr>
                <w:sz w:val="20"/>
                <w:szCs w:val="20"/>
                <w:lang w:val="en-US"/>
              </w:rPr>
            </w:pPr>
            <w:r w:rsidRPr="00FB5C78">
              <w:rPr>
                <w:sz w:val="20"/>
                <w:szCs w:val="20"/>
                <w:lang w:val="en-US"/>
              </w:rPr>
              <w:t>-0,94</w:t>
            </w:r>
          </w:p>
        </w:tc>
        <w:tc>
          <w:tcPr>
            <w:tcW w:w="262" w:type="dxa"/>
            <w:shd w:val="clear" w:color="auto" w:fill="auto"/>
            <w:hideMark/>
          </w:tcPr>
          <w:p w:rsidR="00FB5C78" w:rsidRPr="00FB5C78" w:rsidRDefault="00FB5C78" w:rsidP="00FF5AB8">
            <w:pPr>
              <w:spacing w:after="120"/>
              <w:jc w:val="right"/>
              <w:cnfStyle w:val="000000100000" w:firstRow="0" w:lastRow="0" w:firstColumn="0" w:lastColumn="0" w:oddVBand="0" w:evenVBand="0" w:oddHBand="1" w:evenHBand="0" w:firstRowFirstColumn="0" w:firstRowLastColumn="0" w:lastRowFirstColumn="0" w:lastRowLastColumn="0"/>
              <w:rPr>
                <w:sz w:val="20"/>
                <w:szCs w:val="20"/>
                <w:lang w:val="en-US"/>
              </w:rPr>
            </w:pPr>
            <w:r w:rsidRPr="00FB5C78">
              <w:rPr>
                <w:sz w:val="20"/>
                <w:szCs w:val="20"/>
                <w:lang w:val="en-US"/>
              </w:rPr>
              <w:t>*</w:t>
            </w:r>
          </w:p>
        </w:tc>
        <w:tc>
          <w:tcPr>
            <w:tcW w:w="777" w:type="dxa"/>
            <w:shd w:val="clear" w:color="auto" w:fill="auto"/>
            <w:hideMark/>
          </w:tcPr>
          <w:p w:rsidR="00FB5C78" w:rsidRPr="00FB5C78" w:rsidRDefault="00FB5C78" w:rsidP="00FF5AB8">
            <w:pPr>
              <w:spacing w:after="120"/>
              <w:jc w:val="right"/>
              <w:cnfStyle w:val="000000100000" w:firstRow="0" w:lastRow="0" w:firstColumn="0" w:lastColumn="0" w:oddVBand="0" w:evenVBand="0" w:oddHBand="1" w:evenHBand="0" w:firstRowFirstColumn="0" w:firstRowLastColumn="0" w:lastRowFirstColumn="0" w:lastRowLastColumn="0"/>
              <w:rPr>
                <w:sz w:val="20"/>
                <w:szCs w:val="20"/>
                <w:lang w:val="en-US"/>
              </w:rPr>
            </w:pPr>
            <w:r w:rsidRPr="00FB5C78">
              <w:rPr>
                <w:sz w:val="20"/>
                <w:szCs w:val="20"/>
                <w:lang w:val="en-US"/>
              </w:rPr>
              <w:t>5,6</w:t>
            </w:r>
          </w:p>
        </w:tc>
        <w:tc>
          <w:tcPr>
            <w:tcW w:w="274" w:type="dxa"/>
            <w:shd w:val="clear" w:color="auto" w:fill="auto"/>
            <w:hideMark/>
          </w:tcPr>
          <w:p w:rsidR="00FB5C78" w:rsidRPr="00FB5C78" w:rsidRDefault="00FB5C78" w:rsidP="00FF5AB8">
            <w:pPr>
              <w:spacing w:after="120"/>
              <w:jc w:val="both"/>
              <w:cnfStyle w:val="000000100000" w:firstRow="0" w:lastRow="0" w:firstColumn="0" w:lastColumn="0" w:oddVBand="0" w:evenVBand="0" w:oddHBand="1" w:evenHBand="0" w:firstRowFirstColumn="0" w:firstRowLastColumn="0" w:lastRowFirstColumn="0" w:lastRowLastColumn="0"/>
              <w:rPr>
                <w:sz w:val="20"/>
                <w:szCs w:val="20"/>
                <w:lang w:val="en-US"/>
              </w:rPr>
            </w:pPr>
            <w:r w:rsidRPr="00FB5C78">
              <w:rPr>
                <w:sz w:val="20"/>
                <w:szCs w:val="20"/>
                <w:lang w:val="en-US"/>
              </w:rPr>
              <w:t> </w:t>
            </w:r>
          </w:p>
        </w:tc>
      </w:tr>
      <w:tr w:rsidR="00FB5C78" w:rsidRPr="00FB5C78" w:rsidTr="00FB5C78">
        <w:trPr>
          <w:trHeight w:hRule="exact" w:val="296"/>
          <w:jc w:val="center"/>
        </w:trPr>
        <w:tc>
          <w:tcPr>
            <w:cnfStyle w:val="001000000000" w:firstRow="0" w:lastRow="0" w:firstColumn="1" w:lastColumn="0" w:oddVBand="0" w:evenVBand="0" w:oddHBand="0" w:evenHBand="0" w:firstRowFirstColumn="0" w:firstRowLastColumn="0" w:lastRowFirstColumn="0" w:lastRowLastColumn="0"/>
            <w:tcW w:w="1658" w:type="dxa"/>
            <w:shd w:val="clear" w:color="auto" w:fill="auto"/>
            <w:hideMark/>
          </w:tcPr>
          <w:p w:rsidR="00FB5C78" w:rsidRPr="00FB5C78" w:rsidRDefault="00FB5C78" w:rsidP="00FF5AB8">
            <w:pPr>
              <w:spacing w:after="120"/>
              <w:jc w:val="both"/>
              <w:rPr>
                <w:b w:val="0"/>
                <w:bCs w:val="0"/>
                <w:sz w:val="20"/>
                <w:szCs w:val="20"/>
                <w:lang w:val="en-US"/>
              </w:rPr>
            </w:pPr>
            <w:r w:rsidRPr="00FB5C78">
              <w:rPr>
                <w:b w:val="0"/>
                <w:bCs w:val="0"/>
                <w:sz w:val="20"/>
                <w:szCs w:val="20"/>
                <w:lang w:val="en-US"/>
              </w:rPr>
              <w:t>Equity Index</w:t>
            </w:r>
          </w:p>
        </w:tc>
        <w:tc>
          <w:tcPr>
            <w:tcW w:w="778" w:type="dxa"/>
            <w:shd w:val="clear" w:color="auto" w:fill="auto"/>
            <w:hideMark/>
          </w:tcPr>
          <w:p w:rsidR="00FB5C78" w:rsidRPr="00FB5C78" w:rsidRDefault="00FB5C78" w:rsidP="00FF5AB8">
            <w:pPr>
              <w:spacing w:after="120"/>
              <w:jc w:val="right"/>
              <w:cnfStyle w:val="000000000000" w:firstRow="0" w:lastRow="0" w:firstColumn="0" w:lastColumn="0" w:oddVBand="0" w:evenVBand="0" w:oddHBand="0" w:evenHBand="0" w:firstRowFirstColumn="0" w:firstRowLastColumn="0" w:lastRowFirstColumn="0" w:lastRowLastColumn="0"/>
              <w:rPr>
                <w:sz w:val="20"/>
                <w:szCs w:val="20"/>
                <w:lang w:val="en-US"/>
              </w:rPr>
            </w:pPr>
            <w:r w:rsidRPr="00FB5C78">
              <w:rPr>
                <w:sz w:val="20"/>
                <w:szCs w:val="20"/>
                <w:lang w:val="en-US"/>
              </w:rPr>
              <w:t>-11,22</w:t>
            </w:r>
          </w:p>
        </w:tc>
        <w:tc>
          <w:tcPr>
            <w:tcW w:w="262" w:type="dxa"/>
            <w:shd w:val="clear" w:color="auto" w:fill="auto"/>
            <w:hideMark/>
          </w:tcPr>
          <w:p w:rsidR="00FB5C78" w:rsidRPr="00FB5C78" w:rsidRDefault="00FB5C78" w:rsidP="00FF5AB8">
            <w:pPr>
              <w:spacing w:after="120"/>
              <w:jc w:val="right"/>
              <w:cnfStyle w:val="000000000000" w:firstRow="0" w:lastRow="0" w:firstColumn="0" w:lastColumn="0" w:oddVBand="0" w:evenVBand="0" w:oddHBand="0" w:evenHBand="0" w:firstRowFirstColumn="0" w:firstRowLastColumn="0" w:lastRowFirstColumn="0" w:lastRowLastColumn="0"/>
              <w:rPr>
                <w:sz w:val="20"/>
                <w:szCs w:val="20"/>
                <w:lang w:val="en-US"/>
              </w:rPr>
            </w:pPr>
            <w:r w:rsidRPr="00FB5C78">
              <w:rPr>
                <w:sz w:val="20"/>
                <w:szCs w:val="20"/>
                <w:lang w:val="en-US"/>
              </w:rPr>
              <w:t> </w:t>
            </w:r>
          </w:p>
        </w:tc>
        <w:tc>
          <w:tcPr>
            <w:tcW w:w="777" w:type="dxa"/>
            <w:shd w:val="clear" w:color="auto" w:fill="auto"/>
            <w:hideMark/>
          </w:tcPr>
          <w:p w:rsidR="00FB5C78" w:rsidRPr="00FB5C78" w:rsidRDefault="00FB5C78" w:rsidP="00FF5AB8">
            <w:pPr>
              <w:spacing w:after="120"/>
              <w:jc w:val="right"/>
              <w:cnfStyle w:val="000000000000" w:firstRow="0" w:lastRow="0" w:firstColumn="0" w:lastColumn="0" w:oddVBand="0" w:evenVBand="0" w:oddHBand="0" w:evenHBand="0" w:firstRowFirstColumn="0" w:firstRowLastColumn="0" w:lastRowFirstColumn="0" w:lastRowLastColumn="0"/>
              <w:rPr>
                <w:sz w:val="20"/>
                <w:szCs w:val="20"/>
                <w:lang w:val="en-US"/>
              </w:rPr>
            </w:pPr>
            <w:r w:rsidRPr="00FB5C78">
              <w:rPr>
                <w:sz w:val="20"/>
                <w:szCs w:val="20"/>
                <w:lang w:val="en-US"/>
              </w:rPr>
              <w:t>-1,12</w:t>
            </w:r>
          </w:p>
        </w:tc>
        <w:tc>
          <w:tcPr>
            <w:tcW w:w="221" w:type="dxa"/>
            <w:shd w:val="clear" w:color="auto" w:fill="auto"/>
            <w:hideMark/>
          </w:tcPr>
          <w:p w:rsidR="00FB5C78" w:rsidRPr="00FB5C78" w:rsidRDefault="00FB5C78" w:rsidP="00FF5AB8">
            <w:pPr>
              <w:spacing w:after="120"/>
              <w:jc w:val="right"/>
              <w:cnfStyle w:val="000000000000" w:firstRow="0" w:lastRow="0" w:firstColumn="0" w:lastColumn="0" w:oddVBand="0" w:evenVBand="0" w:oddHBand="0" w:evenHBand="0" w:firstRowFirstColumn="0" w:firstRowLastColumn="0" w:lastRowFirstColumn="0" w:lastRowLastColumn="0"/>
              <w:rPr>
                <w:sz w:val="20"/>
                <w:szCs w:val="20"/>
                <w:lang w:val="en-US"/>
              </w:rPr>
            </w:pPr>
            <w:r w:rsidRPr="00FB5C78">
              <w:rPr>
                <w:sz w:val="20"/>
                <w:szCs w:val="20"/>
                <w:lang w:val="en-US"/>
              </w:rPr>
              <w:t> </w:t>
            </w:r>
          </w:p>
        </w:tc>
        <w:tc>
          <w:tcPr>
            <w:tcW w:w="780" w:type="dxa"/>
            <w:shd w:val="clear" w:color="auto" w:fill="auto"/>
            <w:hideMark/>
          </w:tcPr>
          <w:p w:rsidR="00FB5C78" w:rsidRPr="00FB5C78" w:rsidRDefault="00FB5C78" w:rsidP="00FF5AB8">
            <w:pPr>
              <w:spacing w:after="120"/>
              <w:jc w:val="right"/>
              <w:cnfStyle w:val="000000000000" w:firstRow="0" w:lastRow="0" w:firstColumn="0" w:lastColumn="0" w:oddVBand="0" w:evenVBand="0" w:oddHBand="0" w:evenHBand="0" w:firstRowFirstColumn="0" w:firstRowLastColumn="0" w:lastRowFirstColumn="0" w:lastRowLastColumn="0"/>
              <w:rPr>
                <w:sz w:val="20"/>
                <w:szCs w:val="20"/>
                <w:lang w:val="en-US"/>
              </w:rPr>
            </w:pPr>
            <w:r w:rsidRPr="00FB5C78">
              <w:rPr>
                <w:sz w:val="20"/>
                <w:szCs w:val="20"/>
                <w:lang w:val="en-US"/>
              </w:rPr>
              <w:t>-13,74</w:t>
            </w:r>
          </w:p>
        </w:tc>
        <w:tc>
          <w:tcPr>
            <w:tcW w:w="262" w:type="dxa"/>
            <w:shd w:val="clear" w:color="auto" w:fill="auto"/>
            <w:hideMark/>
          </w:tcPr>
          <w:p w:rsidR="00FB5C78" w:rsidRPr="00FB5C78" w:rsidRDefault="00FB5C78" w:rsidP="00FF5AB8">
            <w:pPr>
              <w:spacing w:after="120"/>
              <w:jc w:val="right"/>
              <w:cnfStyle w:val="000000000000" w:firstRow="0" w:lastRow="0" w:firstColumn="0" w:lastColumn="0" w:oddVBand="0" w:evenVBand="0" w:oddHBand="0" w:evenHBand="0" w:firstRowFirstColumn="0" w:firstRowLastColumn="0" w:lastRowFirstColumn="0" w:lastRowLastColumn="0"/>
              <w:rPr>
                <w:sz w:val="20"/>
                <w:szCs w:val="20"/>
                <w:lang w:val="en-US"/>
              </w:rPr>
            </w:pPr>
            <w:r w:rsidRPr="00FB5C78">
              <w:rPr>
                <w:sz w:val="20"/>
                <w:szCs w:val="20"/>
                <w:lang w:val="en-US"/>
              </w:rPr>
              <w:t> </w:t>
            </w:r>
          </w:p>
        </w:tc>
        <w:tc>
          <w:tcPr>
            <w:tcW w:w="777" w:type="dxa"/>
            <w:shd w:val="clear" w:color="auto" w:fill="auto"/>
            <w:hideMark/>
          </w:tcPr>
          <w:p w:rsidR="00FB5C78" w:rsidRPr="00FB5C78" w:rsidRDefault="00FB5C78" w:rsidP="00FF5AB8">
            <w:pPr>
              <w:spacing w:after="120"/>
              <w:jc w:val="right"/>
              <w:cnfStyle w:val="000000000000" w:firstRow="0" w:lastRow="0" w:firstColumn="0" w:lastColumn="0" w:oddVBand="0" w:evenVBand="0" w:oddHBand="0" w:evenHBand="0" w:firstRowFirstColumn="0" w:firstRowLastColumn="0" w:lastRowFirstColumn="0" w:lastRowLastColumn="0"/>
              <w:rPr>
                <w:sz w:val="20"/>
                <w:szCs w:val="20"/>
                <w:lang w:val="en-US"/>
              </w:rPr>
            </w:pPr>
            <w:r w:rsidRPr="00FB5C78">
              <w:rPr>
                <w:sz w:val="20"/>
                <w:szCs w:val="20"/>
                <w:lang w:val="en-US"/>
              </w:rPr>
              <w:t>-1,28</w:t>
            </w:r>
          </w:p>
        </w:tc>
        <w:tc>
          <w:tcPr>
            <w:tcW w:w="262" w:type="dxa"/>
            <w:shd w:val="clear" w:color="auto" w:fill="auto"/>
            <w:hideMark/>
          </w:tcPr>
          <w:p w:rsidR="00FB5C78" w:rsidRPr="00FB5C78" w:rsidRDefault="00FB5C78" w:rsidP="00FF5AB8">
            <w:pPr>
              <w:spacing w:after="120"/>
              <w:jc w:val="right"/>
              <w:cnfStyle w:val="000000000000" w:firstRow="0" w:lastRow="0" w:firstColumn="0" w:lastColumn="0" w:oddVBand="0" w:evenVBand="0" w:oddHBand="0" w:evenHBand="0" w:firstRowFirstColumn="0" w:firstRowLastColumn="0" w:lastRowFirstColumn="0" w:lastRowLastColumn="0"/>
              <w:rPr>
                <w:sz w:val="20"/>
                <w:szCs w:val="20"/>
                <w:lang w:val="en-US"/>
              </w:rPr>
            </w:pPr>
            <w:r w:rsidRPr="00FB5C78">
              <w:rPr>
                <w:sz w:val="20"/>
                <w:szCs w:val="20"/>
                <w:lang w:val="en-US"/>
              </w:rPr>
              <w:t> </w:t>
            </w:r>
          </w:p>
        </w:tc>
        <w:tc>
          <w:tcPr>
            <w:tcW w:w="779" w:type="dxa"/>
            <w:shd w:val="clear" w:color="auto" w:fill="auto"/>
            <w:hideMark/>
          </w:tcPr>
          <w:p w:rsidR="00FB5C78" w:rsidRPr="00FB5C78" w:rsidRDefault="00FB5C78" w:rsidP="00FF5AB8">
            <w:pPr>
              <w:spacing w:after="120"/>
              <w:jc w:val="right"/>
              <w:cnfStyle w:val="000000000000" w:firstRow="0" w:lastRow="0" w:firstColumn="0" w:lastColumn="0" w:oddVBand="0" w:evenVBand="0" w:oddHBand="0" w:evenHBand="0" w:firstRowFirstColumn="0" w:firstRowLastColumn="0" w:lastRowFirstColumn="0" w:lastRowLastColumn="0"/>
              <w:rPr>
                <w:sz w:val="20"/>
                <w:szCs w:val="20"/>
                <w:lang w:val="en-US"/>
              </w:rPr>
            </w:pPr>
            <w:r w:rsidRPr="00FB5C78">
              <w:rPr>
                <w:sz w:val="20"/>
                <w:szCs w:val="20"/>
                <w:lang w:val="en-US"/>
              </w:rPr>
              <w:t>-7,71</w:t>
            </w:r>
          </w:p>
        </w:tc>
        <w:tc>
          <w:tcPr>
            <w:tcW w:w="262" w:type="dxa"/>
            <w:shd w:val="clear" w:color="auto" w:fill="auto"/>
            <w:hideMark/>
          </w:tcPr>
          <w:p w:rsidR="00FB5C78" w:rsidRPr="00FB5C78" w:rsidRDefault="00FB5C78" w:rsidP="00FF5AB8">
            <w:pPr>
              <w:spacing w:after="120"/>
              <w:jc w:val="right"/>
              <w:cnfStyle w:val="000000000000" w:firstRow="0" w:lastRow="0" w:firstColumn="0" w:lastColumn="0" w:oddVBand="0" w:evenVBand="0" w:oddHBand="0" w:evenHBand="0" w:firstRowFirstColumn="0" w:firstRowLastColumn="0" w:lastRowFirstColumn="0" w:lastRowLastColumn="0"/>
              <w:rPr>
                <w:sz w:val="20"/>
                <w:szCs w:val="20"/>
                <w:lang w:val="en-US"/>
              </w:rPr>
            </w:pPr>
            <w:r w:rsidRPr="00FB5C78">
              <w:rPr>
                <w:sz w:val="20"/>
                <w:szCs w:val="20"/>
                <w:lang w:val="en-US"/>
              </w:rPr>
              <w:t> </w:t>
            </w:r>
          </w:p>
        </w:tc>
        <w:tc>
          <w:tcPr>
            <w:tcW w:w="777" w:type="dxa"/>
            <w:shd w:val="clear" w:color="auto" w:fill="auto"/>
            <w:hideMark/>
          </w:tcPr>
          <w:p w:rsidR="00FB5C78" w:rsidRPr="00FB5C78" w:rsidRDefault="00FB5C78" w:rsidP="00FF5AB8">
            <w:pPr>
              <w:spacing w:after="120"/>
              <w:jc w:val="right"/>
              <w:cnfStyle w:val="000000000000" w:firstRow="0" w:lastRow="0" w:firstColumn="0" w:lastColumn="0" w:oddVBand="0" w:evenVBand="0" w:oddHBand="0" w:evenHBand="0" w:firstRowFirstColumn="0" w:firstRowLastColumn="0" w:lastRowFirstColumn="0" w:lastRowLastColumn="0"/>
              <w:rPr>
                <w:sz w:val="20"/>
                <w:szCs w:val="20"/>
                <w:lang w:val="en-US"/>
              </w:rPr>
            </w:pPr>
            <w:r w:rsidRPr="00FB5C78">
              <w:rPr>
                <w:sz w:val="20"/>
                <w:szCs w:val="20"/>
                <w:lang w:val="en-US"/>
              </w:rPr>
              <w:t>-1,12</w:t>
            </w:r>
          </w:p>
        </w:tc>
        <w:tc>
          <w:tcPr>
            <w:tcW w:w="274" w:type="dxa"/>
            <w:shd w:val="clear" w:color="auto" w:fill="auto"/>
            <w:hideMark/>
          </w:tcPr>
          <w:p w:rsidR="00FB5C78" w:rsidRPr="00FB5C78" w:rsidRDefault="00FB5C78" w:rsidP="00FF5AB8">
            <w:pPr>
              <w:spacing w:after="120"/>
              <w:jc w:val="both"/>
              <w:cnfStyle w:val="000000000000" w:firstRow="0" w:lastRow="0" w:firstColumn="0" w:lastColumn="0" w:oddVBand="0" w:evenVBand="0" w:oddHBand="0" w:evenHBand="0" w:firstRowFirstColumn="0" w:firstRowLastColumn="0" w:lastRowFirstColumn="0" w:lastRowLastColumn="0"/>
              <w:rPr>
                <w:sz w:val="20"/>
                <w:szCs w:val="20"/>
                <w:lang w:val="en-US"/>
              </w:rPr>
            </w:pPr>
            <w:r w:rsidRPr="00FB5C78">
              <w:rPr>
                <w:sz w:val="20"/>
                <w:szCs w:val="20"/>
                <w:lang w:val="en-US"/>
              </w:rPr>
              <w:t> </w:t>
            </w:r>
          </w:p>
        </w:tc>
      </w:tr>
      <w:tr w:rsidR="00FB5C78" w:rsidRPr="00FB5C78" w:rsidTr="00FB5C78">
        <w:trPr>
          <w:cnfStyle w:val="000000100000" w:firstRow="0" w:lastRow="0" w:firstColumn="0" w:lastColumn="0" w:oddVBand="0" w:evenVBand="0" w:oddHBand="1" w:evenHBand="0" w:firstRowFirstColumn="0" w:firstRowLastColumn="0" w:lastRowFirstColumn="0" w:lastRowLastColumn="0"/>
          <w:trHeight w:hRule="exact" w:val="296"/>
          <w:jc w:val="center"/>
        </w:trPr>
        <w:tc>
          <w:tcPr>
            <w:cnfStyle w:val="001000000000" w:firstRow="0" w:lastRow="0" w:firstColumn="1" w:lastColumn="0" w:oddVBand="0" w:evenVBand="0" w:oddHBand="0" w:evenHBand="0" w:firstRowFirstColumn="0" w:firstRowLastColumn="0" w:lastRowFirstColumn="0" w:lastRowLastColumn="0"/>
            <w:tcW w:w="1658" w:type="dxa"/>
            <w:shd w:val="clear" w:color="auto" w:fill="auto"/>
            <w:hideMark/>
          </w:tcPr>
          <w:p w:rsidR="00FB5C78" w:rsidRPr="00FB5C78" w:rsidRDefault="00FB5C78" w:rsidP="00FF5AB8">
            <w:pPr>
              <w:spacing w:after="120"/>
              <w:jc w:val="both"/>
              <w:rPr>
                <w:b w:val="0"/>
                <w:bCs w:val="0"/>
                <w:sz w:val="20"/>
                <w:szCs w:val="20"/>
                <w:lang w:val="en-US"/>
              </w:rPr>
            </w:pPr>
            <w:r w:rsidRPr="00FB5C78">
              <w:rPr>
                <w:b w:val="0"/>
                <w:bCs w:val="0"/>
                <w:sz w:val="20"/>
                <w:szCs w:val="20"/>
                <w:lang w:val="en-US"/>
              </w:rPr>
              <w:t>FX Reserves</w:t>
            </w:r>
          </w:p>
        </w:tc>
        <w:tc>
          <w:tcPr>
            <w:tcW w:w="778" w:type="dxa"/>
            <w:shd w:val="clear" w:color="auto" w:fill="auto"/>
            <w:hideMark/>
          </w:tcPr>
          <w:p w:rsidR="00FB5C78" w:rsidRPr="00FB5C78" w:rsidRDefault="00FB5C78" w:rsidP="00FF5AB8">
            <w:pPr>
              <w:spacing w:after="120"/>
              <w:jc w:val="right"/>
              <w:cnfStyle w:val="000000100000" w:firstRow="0" w:lastRow="0" w:firstColumn="0" w:lastColumn="0" w:oddVBand="0" w:evenVBand="0" w:oddHBand="1" w:evenHBand="0" w:firstRowFirstColumn="0" w:firstRowLastColumn="0" w:lastRowFirstColumn="0" w:lastRowLastColumn="0"/>
              <w:rPr>
                <w:sz w:val="20"/>
                <w:szCs w:val="20"/>
                <w:lang w:val="en-US"/>
              </w:rPr>
            </w:pPr>
            <w:r w:rsidRPr="00FB5C78">
              <w:rPr>
                <w:sz w:val="20"/>
                <w:szCs w:val="20"/>
                <w:lang w:val="en-US"/>
              </w:rPr>
              <w:t>-3,12</w:t>
            </w:r>
          </w:p>
        </w:tc>
        <w:tc>
          <w:tcPr>
            <w:tcW w:w="262" w:type="dxa"/>
            <w:shd w:val="clear" w:color="auto" w:fill="auto"/>
            <w:hideMark/>
          </w:tcPr>
          <w:p w:rsidR="00FB5C78" w:rsidRPr="00FB5C78" w:rsidRDefault="00FB5C78" w:rsidP="00FF5AB8">
            <w:pPr>
              <w:spacing w:after="120"/>
              <w:jc w:val="right"/>
              <w:cnfStyle w:val="000000100000" w:firstRow="0" w:lastRow="0" w:firstColumn="0" w:lastColumn="0" w:oddVBand="0" w:evenVBand="0" w:oddHBand="1" w:evenHBand="0" w:firstRowFirstColumn="0" w:firstRowLastColumn="0" w:lastRowFirstColumn="0" w:lastRowLastColumn="0"/>
              <w:rPr>
                <w:sz w:val="20"/>
                <w:szCs w:val="20"/>
                <w:lang w:val="en-US"/>
              </w:rPr>
            </w:pPr>
            <w:r w:rsidRPr="00FB5C78">
              <w:rPr>
                <w:sz w:val="20"/>
                <w:szCs w:val="20"/>
                <w:lang w:val="en-US"/>
              </w:rPr>
              <w:t> </w:t>
            </w:r>
          </w:p>
        </w:tc>
        <w:tc>
          <w:tcPr>
            <w:tcW w:w="777" w:type="dxa"/>
            <w:shd w:val="clear" w:color="auto" w:fill="auto"/>
            <w:hideMark/>
          </w:tcPr>
          <w:p w:rsidR="00FB5C78" w:rsidRPr="00FB5C78" w:rsidRDefault="00FB5C78" w:rsidP="00FF5AB8">
            <w:pPr>
              <w:spacing w:after="120"/>
              <w:jc w:val="right"/>
              <w:cnfStyle w:val="000000100000" w:firstRow="0" w:lastRow="0" w:firstColumn="0" w:lastColumn="0" w:oddVBand="0" w:evenVBand="0" w:oddHBand="1" w:evenHBand="0" w:firstRowFirstColumn="0" w:firstRowLastColumn="0" w:lastRowFirstColumn="0" w:lastRowLastColumn="0"/>
              <w:rPr>
                <w:sz w:val="20"/>
                <w:szCs w:val="20"/>
                <w:lang w:val="en-US"/>
              </w:rPr>
            </w:pPr>
            <w:r w:rsidRPr="00FB5C78">
              <w:rPr>
                <w:sz w:val="20"/>
                <w:szCs w:val="20"/>
                <w:lang w:val="en-US"/>
              </w:rPr>
              <w:t>-3,76</w:t>
            </w:r>
          </w:p>
        </w:tc>
        <w:tc>
          <w:tcPr>
            <w:tcW w:w="221" w:type="dxa"/>
            <w:shd w:val="clear" w:color="auto" w:fill="auto"/>
            <w:hideMark/>
          </w:tcPr>
          <w:p w:rsidR="00FB5C78" w:rsidRPr="00FB5C78" w:rsidRDefault="00FB5C78" w:rsidP="00FF5AB8">
            <w:pPr>
              <w:spacing w:after="120"/>
              <w:jc w:val="right"/>
              <w:cnfStyle w:val="000000100000" w:firstRow="0" w:lastRow="0" w:firstColumn="0" w:lastColumn="0" w:oddVBand="0" w:evenVBand="0" w:oddHBand="1" w:evenHBand="0" w:firstRowFirstColumn="0" w:firstRowLastColumn="0" w:lastRowFirstColumn="0" w:lastRowLastColumn="0"/>
              <w:rPr>
                <w:sz w:val="20"/>
                <w:szCs w:val="20"/>
                <w:lang w:val="en-US"/>
              </w:rPr>
            </w:pPr>
            <w:r w:rsidRPr="00FB5C78">
              <w:rPr>
                <w:sz w:val="20"/>
                <w:szCs w:val="20"/>
                <w:lang w:val="en-US"/>
              </w:rPr>
              <w:t> </w:t>
            </w:r>
          </w:p>
        </w:tc>
        <w:tc>
          <w:tcPr>
            <w:tcW w:w="780" w:type="dxa"/>
            <w:shd w:val="clear" w:color="auto" w:fill="auto"/>
            <w:hideMark/>
          </w:tcPr>
          <w:p w:rsidR="00FB5C78" w:rsidRPr="00FB5C78" w:rsidRDefault="00FB5C78" w:rsidP="00FF5AB8">
            <w:pPr>
              <w:spacing w:after="120"/>
              <w:jc w:val="right"/>
              <w:cnfStyle w:val="000000100000" w:firstRow="0" w:lastRow="0" w:firstColumn="0" w:lastColumn="0" w:oddVBand="0" w:evenVBand="0" w:oddHBand="1" w:evenHBand="0" w:firstRowFirstColumn="0" w:firstRowLastColumn="0" w:lastRowFirstColumn="0" w:lastRowLastColumn="0"/>
              <w:rPr>
                <w:sz w:val="20"/>
                <w:szCs w:val="20"/>
                <w:lang w:val="en-US"/>
              </w:rPr>
            </w:pPr>
            <w:r w:rsidRPr="00FB5C78">
              <w:rPr>
                <w:sz w:val="20"/>
                <w:szCs w:val="20"/>
                <w:lang w:val="en-US"/>
              </w:rPr>
              <w:t>-1,33</w:t>
            </w:r>
          </w:p>
        </w:tc>
        <w:tc>
          <w:tcPr>
            <w:tcW w:w="262" w:type="dxa"/>
            <w:shd w:val="clear" w:color="auto" w:fill="auto"/>
            <w:hideMark/>
          </w:tcPr>
          <w:p w:rsidR="00FB5C78" w:rsidRPr="00FB5C78" w:rsidRDefault="00FB5C78" w:rsidP="00FF5AB8">
            <w:pPr>
              <w:spacing w:after="120"/>
              <w:jc w:val="right"/>
              <w:cnfStyle w:val="000000100000" w:firstRow="0" w:lastRow="0" w:firstColumn="0" w:lastColumn="0" w:oddVBand="0" w:evenVBand="0" w:oddHBand="1" w:evenHBand="0" w:firstRowFirstColumn="0" w:firstRowLastColumn="0" w:lastRowFirstColumn="0" w:lastRowLastColumn="0"/>
              <w:rPr>
                <w:sz w:val="20"/>
                <w:szCs w:val="20"/>
                <w:lang w:val="en-US"/>
              </w:rPr>
            </w:pPr>
            <w:r w:rsidRPr="00FB5C78">
              <w:rPr>
                <w:sz w:val="20"/>
                <w:szCs w:val="20"/>
                <w:lang w:val="en-US"/>
              </w:rPr>
              <w:t> </w:t>
            </w:r>
          </w:p>
        </w:tc>
        <w:tc>
          <w:tcPr>
            <w:tcW w:w="777" w:type="dxa"/>
            <w:shd w:val="clear" w:color="auto" w:fill="auto"/>
            <w:hideMark/>
          </w:tcPr>
          <w:p w:rsidR="00FB5C78" w:rsidRPr="00FB5C78" w:rsidRDefault="00FB5C78" w:rsidP="00FF5AB8">
            <w:pPr>
              <w:spacing w:after="120"/>
              <w:jc w:val="right"/>
              <w:cnfStyle w:val="000000100000" w:firstRow="0" w:lastRow="0" w:firstColumn="0" w:lastColumn="0" w:oddVBand="0" w:evenVBand="0" w:oddHBand="1" w:evenHBand="0" w:firstRowFirstColumn="0" w:firstRowLastColumn="0" w:lastRowFirstColumn="0" w:lastRowLastColumn="0"/>
              <w:rPr>
                <w:sz w:val="20"/>
                <w:szCs w:val="20"/>
                <w:lang w:val="en-US"/>
              </w:rPr>
            </w:pPr>
            <w:r w:rsidRPr="00FB5C78">
              <w:rPr>
                <w:sz w:val="20"/>
                <w:szCs w:val="20"/>
                <w:lang w:val="en-US"/>
              </w:rPr>
              <w:t>-3,64</w:t>
            </w:r>
          </w:p>
        </w:tc>
        <w:tc>
          <w:tcPr>
            <w:tcW w:w="262" w:type="dxa"/>
            <w:shd w:val="clear" w:color="auto" w:fill="auto"/>
            <w:hideMark/>
          </w:tcPr>
          <w:p w:rsidR="00FB5C78" w:rsidRPr="00FB5C78" w:rsidRDefault="00FB5C78" w:rsidP="00FF5AB8">
            <w:pPr>
              <w:spacing w:after="120"/>
              <w:jc w:val="right"/>
              <w:cnfStyle w:val="000000100000" w:firstRow="0" w:lastRow="0" w:firstColumn="0" w:lastColumn="0" w:oddVBand="0" w:evenVBand="0" w:oddHBand="1" w:evenHBand="0" w:firstRowFirstColumn="0" w:firstRowLastColumn="0" w:lastRowFirstColumn="0" w:lastRowLastColumn="0"/>
              <w:rPr>
                <w:sz w:val="20"/>
                <w:szCs w:val="20"/>
                <w:lang w:val="en-US"/>
              </w:rPr>
            </w:pPr>
            <w:r w:rsidRPr="00FB5C78">
              <w:rPr>
                <w:sz w:val="20"/>
                <w:szCs w:val="20"/>
                <w:lang w:val="en-US"/>
              </w:rPr>
              <w:t> </w:t>
            </w:r>
          </w:p>
        </w:tc>
        <w:tc>
          <w:tcPr>
            <w:tcW w:w="779" w:type="dxa"/>
            <w:shd w:val="clear" w:color="auto" w:fill="auto"/>
            <w:hideMark/>
          </w:tcPr>
          <w:p w:rsidR="00FB5C78" w:rsidRPr="00FB5C78" w:rsidRDefault="00FB5C78" w:rsidP="00FF5AB8">
            <w:pPr>
              <w:spacing w:after="120"/>
              <w:jc w:val="right"/>
              <w:cnfStyle w:val="000000100000" w:firstRow="0" w:lastRow="0" w:firstColumn="0" w:lastColumn="0" w:oddVBand="0" w:evenVBand="0" w:oddHBand="1" w:evenHBand="0" w:firstRowFirstColumn="0" w:firstRowLastColumn="0" w:lastRowFirstColumn="0" w:lastRowLastColumn="0"/>
              <w:rPr>
                <w:sz w:val="20"/>
                <w:szCs w:val="20"/>
                <w:lang w:val="en-US"/>
              </w:rPr>
            </w:pPr>
            <w:r w:rsidRPr="00FB5C78">
              <w:rPr>
                <w:sz w:val="20"/>
                <w:szCs w:val="20"/>
                <w:lang w:val="en-US"/>
              </w:rPr>
              <w:t>-3,14</w:t>
            </w:r>
          </w:p>
        </w:tc>
        <w:tc>
          <w:tcPr>
            <w:tcW w:w="262" w:type="dxa"/>
            <w:shd w:val="clear" w:color="auto" w:fill="auto"/>
            <w:hideMark/>
          </w:tcPr>
          <w:p w:rsidR="00FB5C78" w:rsidRPr="00FB5C78" w:rsidRDefault="00FB5C78" w:rsidP="00FF5AB8">
            <w:pPr>
              <w:spacing w:after="120"/>
              <w:jc w:val="right"/>
              <w:cnfStyle w:val="000000100000" w:firstRow="0" w:lastRow="0" w:firstColumn="0" w:lastColumn="0" w:oddVBand="0" w:evenVBand="0" w:oddHBand="1" w:evenHBand="0" w:firstRowFirstColumn="0" w:firstRowLastColumn="0" w:lastRowFirstColumn="0" w:lastRowLastColumn="0"/>
              <w:rPr>
                <w:sz w:val="20"/>
                <w:szCs w:val="20"/>
                <w:lang w:val="en-US"/>
              </w:rPr>
            </w:pPr>
            <w:r w:rsidRPr="00FB5C78">
              <w:rPr>
                <w:sz w:val="20"/>
                <w:szCs w:val="20"/>
                <w:lang w:val="en-US"/>
              </w:rPr>
              <w:t> </w:t>
            </w:r>
          </w:p>
        </w:tc>
        <w:tc>
          <w:tcPr>
            <w:tcW w:w="777" w:type="dxa"/>
            <w:shd w:val="clear" w:color="auto" w:fill="auto"/>
            <w:hideMark/>
          </w:tcPr>
          <w:p w:rsidR="00FB5C78" w:rsidRPr="00FB5C78" w:rsidRDefault="00FB5C78" w:rsidP="00FF5AB8">
            <w:pPr>
              <w:spacing w:after="120"/>
              <w:jc w:val="right"/>
              <w:cnfStyle w:val="000000100000" w:firstRow="0" w:lastRow="0" w:firstColumn="0" w:lastColumn="0" w:oddVBand="0" w:evenVBand="0" w:oddHBand="1" w:evenHBand="0" w:firstRowFirstColumn="0" w:firstRowLastColumn="0" w:lastRowFirstColumn="0" w:lastRowLastColumn="0"/>
              <w:rPr>
                <w:sz w:val="20"/>
                <w:szCs w:val="20"/>
                <w:lang w:val="en-US"/>
              </w:rPr>
            </w:pPr>
            <w:r w:rsidRPr="00FB5C78">
              <w:rPr>
                <w:sz w:val="20"/>
                <w:szCs w:val="20"/>
                <w:lang w:val="en-US"/>
              </w:rPr>
              <w:t>-3,76</w:t>
            </w:r>
          </w:p>
        </w:tc>
        <w:tc>
          <w:tcPr>
            <w:tcW w:w="274" w:type="dxa"/>
            <w:shd w:val="clear" w:color="auto" w:fill="auto"/>
            <w:hideMark/>
          </w:tcPr>
          <w:p w:rsidR="00FB5C78" w:rsidRPr="00FB5C78" w:rsidRDefault="00FB5C78" w:rsidP="00FF5AB8">
            <w:pPr>
              <w:spacing w:after="120"/>
              <w:jc w:val="both"/>
              <w:cnfStyle w:val="000000100000" w:firstRow="0" w:lastRow="0" w:firstColumn="0" w:lastColumn="0" w:oddVBand="0" w:evenVBand="0" w:oddHBand="1" w:evenHBand="0" w:firstRowFirstColumn="0" w:firstRowLastColumn="0" w:lastRowFirstColumn="0" w:lastRowLastColumn="0"/>
              <w:rPr>
                <w:sz w:val="20"/>
                <w:szCs w:val="20"/>
                <w:lang w:val="en-US"/>
              </w:rPr>
            </w:pPr>
            <w:r w:rsidRPr="00FB5C78">
              <w:rPr>
                <w:sz w:val="20"/>
                <w:szCs w:val="20"/>
                <w:lang w:val="en-US"/>
              </w:rPr>
              <w:t> </w:t>
            </w:r>
          </w:p>
        </w:tc>
      </w:tr>
      <w:tr w:rsidR="00FB5C78" w:rsidRPr="00FB5C78" w:rsidTr="00FB5C78">
        <w:trPr>
          <w:trHeight w:hRule="exact" w:val="296"/>
          <w:jc w:val="center"/>
        </w:trPr>
        <w:tc>
          <w:tcPr>
            <w:cnfStyle w:val="001000000000" w:firstRow="0" w:lastRow="0" w:firstColumn="1" w:lastColumn="0" w:oddVBand="0" w:evenVBand="0" w:oddHBand="0" w:evenHBand="0" w:firstRowFirstColumn="0" w:firstRowLastColumn="0" w:lastRowFirstColumn="0" w:lastRowLastColumn="0"/>
            <w:tcW w:w="1658" w:type="dxa"/>
            <w:shd w:val="clear" w:color="auto" w:fill="auto"/>
            <w:hideMark/>
          </w:tcPr>
          <w:p w:rsidR="00FB5C78" w:rsidRPr="00FB5C78" w:rsidRDefault="00FB5C78" w:rsidP="00FF5AB8">
            <w:pPr>
              <w:spacing w:after="120"/>
              <w:jc w:val="both"/>
              <w:rPr>
                <w:b w:val="0"/>
                <w:bCs w:val="0"/>
                <w:sz w:val="20"/>
                <w:szCs w:val="20"/>
                <w:lang w:val="en-US"/>
              </w:rPr>
            </w:pPr>
            <w:r w:rsidRPr="00FB5C78">
              <w:rPr>
                <w:b w:val="0"/>
                <w:bCs w:val="0"/>
                <w:sz w:val="20"/>
                <w:szCs w:val="20"/>
                <w:lang w:val="en-US"/>
              </w:rPr>
              <w:t>External Debt</w:t>
            </w:r>
          </w:p>
        </w:tc>
        <w:tc>
          <w:tcPr>
            <w:tcW w:w="778" w:type="dxa"/>
            <w:shd w:val="clear" w:color="auto" w:fill="auto"/>
            <w:hideMark/>
          </w:tcPr>
          <w:p w:rsidR="00FB5C78" w:rsidRPr="00FB5C78" w:rsidRDefault="00FB5C78" w:rsidP="00FF5AB8">
            <w:pPr>
              <w:spacing w:after="120"/>
              <w:jc w:val="right"/>
              <w:cnfStyle w:val="000000000000" w:firstRow="0" w:lastRow="0" w:firstColumn="0" w:lastColumn="0" w:oddVBand="0" w:evenVBand="0" w:oddHBand="0" w:evenHBand="0" w:firstRowFirstColumn="0" w:firstRowLastColumn="0" w:lastRowFirstColumn="0" w:lastRowLastColumn="0"/>
              <w:rPr>
                <w:sz w:val="20"/>
                <w:szCs w:val="20"/>
                <w:lang w:val="en-US"/>
              </w:rPr>
            </w:pPr>
            <w:r w:rsidRPr="00FB5C78">
              <w:rPr>
                <w:sz w:val="20"/>
                <w:szCs w:val="20"/>
                <w:lang w:val="en-US"/>
              </w:rPr>
              <w:t>5,79</w:t>
            </w:r>
          </w:p>
        </w:tc>
        <w:tc>
          <w:tcPr>
            <w:tcW w:w="262" w:type="dxa"/>
            <w:shd w:val="clear" w:color="auto" w:fill="auto"/>
            <w:hideMark/>
          </w:tcPr>
          <w:p w:rsidR="00FB5C78" w:rsidRPr="00FB5C78" w:rsidRDefault="00FB5C78" w:rsidP="00FF5AB8">
            <w:pPr>
              <w:spacing w:after="120"/>
              <w:jc w:val="right"/>
              <w:cnfStyle w:val="000000000000" w:firstRow="0" w:lastRow="0" w:firstColumn="0" w:lastColumn="0" w:oddVBand="0" w:evenVBand="0" w:oddHBand="0" w:evenHBand="0" w:firstRowFirstColumn="0" w:firstRowLastColumn="0" w:lastRowFirstColumn="0" w:lastRowLastColumn="0"/>
              <w:rPr>
                <w:sz w:val="20"/>
                <w:szCs w:val="20"/>
                <w:lang w:val="en-US"/>
              </w:rPr>
            </w:pPr>
            <w:r w:rsidRPr="00FB5C78">
              <w:rPr>
                <w:sz w:val="20"/>
                <w:szCs w:val="20"/>
                <w:lang w:val="en-US"/>
              </w:rPr>
              <w:t> </w:t>
            </w:r>
          </w:p>
        </w:tc>
        <w:tc>
          <w:tcPr>
            <w:tcW w:w="777" w:type="dxa"/>
            <w:shd w:val="clear" w:color="auto" w:fill="auto"/>
            <w:hideMark/>
          </w:tcPr>
          <w:p w:rsidR="00FB5C78" w:rsidRPr="00FB5C78" w:rsidRDefault="00FB5C78" w:rsidP="00FF5AB8">
            <w:pPr>
              <w:spacing w:after="120"/>
              <w:jc w:val="right"/>
              <w:cnfStyle w:val="000000000000" w:firstRow="0" w:lastRow="0" w:firstColumn="0" w:lastColumn="0" w:oddVBand="0" w:evenVBand="0" w:oddHBand="0" w:evenHBand="0" w:firstRowFirstColumn="0" w:firstRowLastColumn="0" w:lastRowFirstColumn="0" w:lastRowLastColumn="0"/>
              <w:rPr>
                <w:sz w:val="20"/>
                <w:szCs w:val="20"/>
                <w:lang w:val="en-US"/>
              </w:rPr>
            </w:pPr>
            <w:r w:rsidRPr="00FB5C78">
              <w:rPr>
                <w:sz w:val="20"/>
                <w:szCs w:val="20"/>
                <w:lang w:val="en-US"/>
              </w:rPr>
              <w:t>2,46</w:t>
            </w:r>
          </w:p>
        </w:tc>
        <w:tc>
          <w:tcPr>
            <w:tcW w:w="221" w:type="dxa"/>
            <w:shd w:val="clear" w:color="auto" w:fill="auto"/>
            <w:hideMark/>
          </w:tcPr>
          <w:p w:rsidR="00FB5C78" w:rsidRPr="00FB5C78" w:rsidRDefault="00FB5C78" w:rsidP="00FF5AB8">
            <w:pPr>
              <w:spacing w:after="120"/>
              <w:jc w:val="right"/>
              <w:cnfStyle w:val="000000000000" w:firstRow="0" w:lastRow="0" w:firstColumn="0" w:lastColumn="0" w:oddVBand="0" w:evenVBand="0" w:oddHBand="0" w:evenHBand="0" w:firstRowFirstColumn="0" w:firstRowLastColumn="0" w:lastRowFirstColumn="0" w:lastRowLastColumn="0"/>
              <w:rPr>
                <w:sz w:val="20"/>
                <w:szCs w:val="20"/>
                <w:lang w:val="en-US"/>
              </w:rPr>
            </w:pPr>
            <w:r w:rsidRPr="00FB5C78">
              <w:rPr>
                <w:sz w:val="20"/>
                <w:szCs w:val="20"/>
                <w:lang w:val="en-US"/>
              </w:rPr>
              <w:t> </w:t>
            </w:r>
          </w:p>
        </w:tc>
        <w:tc>
          <w:tcPr>
            <w:tcW w:w="780" w:type="dxa"/>
            <w:shd w:val="clear" w:color="auto" w:fill="auto"/>
            <w:hideMark/>
          </w:tcPr>
          <w:p w:rsidR="00FB5C78" w:rsidRPr="00FB5C78" w:rsidRDefault="00FB5C78" w:rsidP="00FF5AB8">
            <w:pPr>
              <w:spacing w:after="120"/>
              <w:jc w:val="right"/>
              <w:cnfStyle w:val="000000000000" w:firstRow="0" w:lastRow="0" w:firstColumn="0" w:lastColumn="0" w:oddVBand="0" w:evenVBand="0" w:oddHBand="0" w:evenHBand="0" w:firstRowFirstColumn="0" w:firstRowLastColumn="0" w:lastRowFirstColumn="0" w:lastRowLastColumn="0"/>
              <w:rPr>
                <w:sz w:val="20"/>
                <w:szCs w:val="20"/>
                <w:lang w:val="en-US"/>
              </w:rPr>
            </w:pPr>
            <w:r w:rsidRPr="00FB5C78">
              <w:rPr>
                <w:sz w:val="20"/>
                <w:szCs w:val="20"/>
                <w:lang w:val="en-US"/>
              </w:rPr>
              <w:t>5,48</w:t>
            </w:r>
          </w:p>
        </w:tc>
        <w:tc>
          <w:tcPr>
            <w:tcW w:w="262" w:type="dxa"/>
            <w:shd w:val="clear" w:color="auto" w:fill="auto"/>
            <w:hideMark/>
          </w:tcPr>
          <w:p w:rsidR="00FB5C78" w:rsidRPr="00FB5C78" w:rsidRDefault="00FB5C78" w:rsidP="00FF5AB8">
            <w:pPr>
              <w:spacing w:after="120"/>
              <w:jc w:val="right"/>
              <w:cnfStyle w:val="000000000000" w:firstRow="0" w:lastRow="0" w:firstColumn="0" w:lastColumn="0" w:oddVBand="0" w:evenVBand="0" w:oddHBand="0" w:evenHBand="0" w:firstRowFirstColumn="0" w:firstRowLastColumn="0" w:lastRowFirstColumn="0" w:lastRowLastColumn="0"/>
              <w:rPr>
                <w:sz w:val="20"/>
                <w:szCs w:val="20"/>
                <w:lang w:val="en-US"/>
              </w:rPr>
            </w:pPr>
            <w:r w:rsidRPr="00FB5C78">
              <w:rPr>
                <w:sz w:val="20"/>
                <w:szCs w:val="20"/>
                <w:lang w:val="en-US"/>
              </w:rPr>
              <w:t> </w:t>
            </w:r>
          </w:p>
        </w:tc>
        <w:tc>
          <w:tcPr>
            <w:tcW w:w="777" w:type="dxa"/>
            <w:shd w:val="clear" w:color="auto" w:fill="auto"/>
            <w:hideMark/>
          </w:tcPr>
          <w:p w:rsidR="00FB5C78" w:rsidRPr="00FB5C78" w:rsidRDefault="00FB5C78" w:rsidP="00FF5AB8">
            <w:pPr>
              <w:spacing w:after="120"/>
              <w:jc w:val="right"/>
              <w:cnfStyle w:val="000000000000" w:firstRow="0" w:lastRow="0" w:firstColumn="0" w:lastColumn="0" w:oddVBand="0" w:evenVBand="0" w:oddHBand="0" w:evenHBand="0" w:firstRowFirstColumn="0" w:firstRowLastColumn="0" w:lastRowFirstColumn="0" w:lastRowLastColumn="0"/>
              <w:rPr>
                <w:sz w:val="20"/>
                <w:szCs w:val="20"/>
                <w:lang w:val="en-US"/>
              </w:rPr>
            </w:pPr>
            <w:r w:rsidRPr="00FB5C78">
              <w:rPr>
                <w:sz w:val="20"/>
                <w:szCs w:val="20"/>
                <w:lang w:val="en-US"/>
              </w:rPr>
              <w:t>4,31</w:t>
            </w:r>
          </w:p>
        </w:tc>
        <w:tc>
          <w:tcPr>
            <w:tcW w:w="262" w:type="dxa"/>
            <w:shd w:val="clear" w:color="auto" w:fill="auto"/>
            <w:hideMark/>
          </w:tcPr>
          <w:p w:rsidR="00FB5C78" w:rsidRPr="00FB5C78" w:rsidRDefault="00FB5C78" w:rsidP="00FF5AB8">
            <w:pPr>
              <w:spacing w:after="120"/>
              <w:jc w:val="right"/>
              <w:cnfStyle w:val="000000000000" w:firstRow="0" w:lastRow="0" w:firstColumn="0" w:lastColumn="0" w:oddVBand="0" w:evenVBand="0" w:oddHBand="0" w:evenHBand="0" w:firstRowFirstColumn="0" w:firstRowLastColumn="0" w:lastRowFirstColumn="0" w:lastRowLastColumn="0"/>
              <w:rPr>
                <w:sz w:val="20"/>
                <w:szCs w:val="20"/>
                <w:lang w:val="en-US"/>
              </w:rPr>
            </w:pPr>
            <w:r w:rsidRPr="00FB5C78">
              <w:rPr>
                <w:sz w:val="20"/>
                <w:szCs w:val="20"/>
                <w:lang w:val="en-US"/>
              </w:rPr>
              <w:t> </w:t>
            </w:r>
          </w:p>
        </w:tc>
        <w:tc>
          <w:tcPr>
            <w:tcW w:w="779" w:type="dxa"/>
            <w:shd w:val="clear" w:color="auto" w:fill="auto"/>
            <w:hideMark/>
          </w:tcPr>
          <w:p w:rsidR="00FB5C78" w:rsidRPr="00FB5C78" w:rsidRDefault="00FB5C78" w:rsidP="00FF5AB8">
            <w:pPr>
              <w:spacing w:after="120"/>
              <w:jc w:val="right"/>
              <w:cnfStyle w:val="000000000000" w:firstRow="0" w:lastRow="0" w:firstColumn="0" w:lastColumn="0" w:oddVBand="0" w:evenVBand="0" w:oddHBand="0" w:evenHBand="0" w:firstRowFirstColumn="0" w:firstRowLastColumn="0" w:lastRowFirstColumn="0" w:lastRowLastColumn="0"/>
              <w:rPr>
                <w:sz w:val="20"/>
                <w:szCs w:val="20"/>
                <w:lang w:val="en-US"/>
              </w:rPr>
            </w:pPr>
            <w:r w:rsidRPr="00FB5C78">
              <w:rPr>
                <w:sz w:val="20"/>
                <w:szCs w:val="20"/>
                <w:lang w:val="en-US"/>
              </w:rPr>
              <w:t>-4,57</w:t>
            </w:r>
          </w:p>
        </w:tc>
        <w:tc>
          <w:tcPr>
            <w:tcW w:w="262" w:type="dxa"/>
            <w:shd w:val="clear" w:color="auto" w:fill="auto"/>
            <w:hideMark/>
          </w:tcPr>
          <w:p w:rsidR="00FB5C78" w:rsidRPr="00FB5C78" w:rsidRDefault="00FB5C78" w:rsidP="00FF5AB8">
            <w:pPr>
              <w:spacing w:after="120"/>
              <w:jc w:val="right"/>
              <w:cnfStyle w:val="000000000000" w:firstRow="0" w:lastRow="0" w:firstColumn="0" w:lastColumn="0" w:oddVBand="0" w:evenVBand="0" w:oddHBand="0" w:evenHBand="0" w:firstRowFirstColumn="0" w:firstRowLastColumn="0" w:lastRowFirstColumn="0" w:lastRowLastColumn="0"/>
              <w:rPr>
                <w:sz w:val="20"/>
                <w:szCs w:val="20"/>
                <w:lang w:val="en-US"/>
              </w:rPr>
            </w:pPr>
            <w:r w:rsidRPr="00FB5C78">
              <w:rPr>
                <w:sz w:val="20"/>
                <w:szCs w:val="20"/>
                <w:lang w:val="en-US"/>
              </w:rPr>
              <w:t> </w:t>
            </w:r>
          </w:p>
        </w:tc>
        <w:tc>
          <w:tcPr>
            <w:tcW w:w="777" w:type="dxa"/>
            <w:shd w:val="clear" w:color="auto" w:fill="auto"/>
            <w:hideMark/>
          </w:tcPr>
          <w:p w:rsidR="00FB5C78" w:rsidRPr="00FB5C78" w:rsidRDefault="00FB5C78" w:rsidP="00FF5AB8">
            <w:pPr>
              <w:spacing w:after="120"/>
              <w:jc w:val="right"/>
              <w:cnfStyle w:val="000000000000" w:firstRow="0" w:lastRow="0" w:firstColumn="0" w:lastColumn="0" w:oddVBand="0" w:evenVBand="0" w:oddHBand="0" w:evenHBand="0" w:firstRowFirstColumn="0" w:firstRowLastColumn="0" w:lastRowFirstColumn="0" w:lastRowLastColumn="0"/>
              <w:rPr>
                <w:sz w:val="20"/>
                <w:szCs w:val="20"/>
                <w:lang w:val="en-US"/>
              </w:rPr>
            </w:pPr>
            <w:r w:rsidRPr="00FB5C78">
              <w:rPr>
                <w:sz w:val="20"/>
                <w:szCs w:val="20"/>
                <w:lang w:val="en-US"/>
              </w:rPr>
              <w:t>2,46</w:t>
            </w:r>
          </w:p>
        </w:tc>
        <w:tc>
          <w:tcPr>
            <w:tcW w:w="274" w:type="dxa"/>
            <w:shd w:val="clear" w:color="auto" w:fill="auto"/>
            <w:hideMark/>
          </w:tcPr>
          <w:p w:rsidR="00FB5C78" w:rsidRPr="00FB5C78" w:rsidRDefault="00FB5C78" w:rsidP="00FF5AB8">
            <w:pPr>
              <w:spacing w:after="120"/>
              <w:jc w:val="both"/>
              <w:cnfStyle w:val="000000000000" w:firstRow="0" w:lastRow="0" w:firstColumn="0" w:lastColumn="0" w:oddVBand="0" w:evenVBand="0" w:oddHBand="0" w:evenHBand="0" w:firstRowFirstColumn="0" w:firstRowLastColumn="0" w:lastRowFirstColumn="0" w:lastRowLastColumn="0"/>
              <w:rPr>
                <w:sz w:val="20"/>
                <w:szCs w:val="20"/>
                <w:lang w:val="en-US"/>
              </w:rPr>
            </w:pPr>
            <w:r w:rsidRPr="00FB5C78">
              <w:rPr>
                <w:sz w:val="20"/>
                <w:szCs w:val="20"/>
                <w:lang w:val="en-US"/>
              </w:rPr>
              <w:t> </w:t>
            </w:r>
          </w:p>
        </w:tc>
      </w:tr>
      <w:tr w:rsidR="00FB5C78" w:rsidRPr="00FB5C78" w:rsidTr="00FB5C78">
        <w:trPr>
          <w:cnfStyle w:val="000000100000" w:firstRow="0" w:lastRow="0" w:firstColumn="0" w:lastColumn="0" w:oddVBand="0" w:evenVBand="0" w:oddHBand="1" w:evenHBand="0" w:firstRowFirstColumn="0" w:firstRowLastColumn="0" w:lastRowFirstColumn="0" w:lastRowLastColumn="0"/>
          <w:trHeight w:hRule="exact" w:val="655"/>
          <w:jc w:val="center"/>
        </w:trPr>
        <w:tc>
          <w:tcPr>
            <w:cnfStyle w:val="001000000000" w:firstRow="0" w:lastRow="0" w:firstColumn="1" w:lastColumn="0" w:oddVBand="0" w:evenVBand="0" w:oddHBand="0" w:evenHBand="0" w:firstRowFirstColumn="0" w:firstRowLastColumn="0" w:lastRowFirstColumn="0" w:lastRowLastColumn="0"/>
            <w:tcW w:w="1658" w:type="dxa"/>
            <w:shd w:val="clear" w:color="auto" w:fill="auto"/>
            <w:hideMark/>
          </w:tcPr>
          <w:p w:rsidR="00FB5C78" w:rsidRPr="00FB5C78" w:rsidRDefault="00FB5C78" w:rsidP="00FF5AB8">
            <w:pPr>
              <w:spacing w:after="120"/>
              <w:jc w:val="both"/>
              <w:rPr>
                <w:b w:val="0"/>
                <w:bCs w:val="0"/>
                <w:sz w:val="20"/>
                <w:szCs w:val="20"/>
                <w:lang w:val="en-US"/>
              </w:rPr>
            </w:pPr>
            <w:r w:rsidRPr="00FB5C78">
              <w:rPr>
                <w:b w:val="0"/>
                <w:bCs w:val="0"/>
                <w:sz w:val="20"/>
                <w:szCs w:val="20"/>
                <w:lang w:val="en-US"/>
              </w:rPr>
              <w:t>Balance of Payment as % of GDP</w:t>
            </w:r>
          </w:p>
        </w:tc>
        <w:tc>
          <w:tcPr>
            <w:tcW w:w="778" w:type="dxa"/>
            <w:shd w:val="clear" w:color="auto" w:fill="auto"/>
            <w:hideMark/>
          </w:tcPr>
          <w:p w:rsidR="00FB5C78" w:rsidRPr="00FB5C78" w:rsidRDefault="00FB5C78" w:rsidP="00FF5AB8">
            <w:pPr>
              <w:spacing w:after="120"/>
              <w:jc w:val="right"/>
              <w:cnfStyle w:val="000000100000" w:firstRow="0" w:lastRow="0" w:firstColumn="0" w:lastColumn="0" w:oddVBand="0" w:evenVBand="0" w:oddHBand="1" w:evenHBand="0" w:firstRowFirstColumn="0" w:firstRowLastColumn="0" w:lastRowFirstColumn="0" w:lastRowLastColumn="0"/>
              <w:rPr>
                <w:sz w:val="20"/>
                <w:szCs w:val="20"/>
                <w:lang w:val="en-US"/>
              </w:rPr>
            </w:pPr>
            <w:r w:rsidRPr="00FB5C78">
              <w:rPr>
                <w:sz w:val="20"/>
                <w:szCs w:val="20"/>
                <w:lang w:val="en-US"/>
              </w:rPr>
              <w:t>-3,02</w:t>
            </w:r>
          </w:p>
        </w:tc>
        <w:tc>
          <w:tcPr>
            <w:tcW w:w="262" w:type="dxa"/>
            <w:shd w:val="clear" w:color="auto" w:fill="auto"/>
            <w:hideMark/>
          </w:tcPr>
          <w:p w:rsidR="00FB5C78" w:rsidRPr="00FB5C78" w:rsidRDefault="00FB5C78" w:rsidP="00FF5AB8">
            <w:pPr>
              <w:spacing w:after="120"/>
              <w:jc w:val="right"/>
              <w:cnfStyle w:val="000000100000" w:firstRow="0" w:lastRow="0" w:firstColumn="0" w:lastColumn="0" w:oddVBand="0" w:evenVBand="0" w:oddHBand="1" w:evenHBand="0" w:firstRowFirstColumn="0" w:firstRowLastColumn="0" w:lastRowFirstColumn="0" w:lastRowLastColumn="0"/>
              <w:rPr>
                <w:sz w:val="20"/>
                <w:szCs w:val="20"/>
                <w:lang w:val="en-US"/>
              </w:rPr>
            </w:pPr>
            <w:r w:rsidRPr="00FB5C78">
              <w:rPr>
                <w:sz w:val="20"/>
                <w:szCs w:val="20"/>
                <w:lang w:val="en-US"/>
              </w:rPr>
              <w:t> </w:t>
            </w:r>
          </w:p>
        </w:tc>
        <w:tc>
          <w:tcPr>
            <w:tcW w:w="777" w:type="dxa"/>
            <w:shd w:val="clear" w:color="auto" w:fill="auto"/>
            <w:hideMark/>
          </w:tcPr>
          <w:p w:rsidR="00FB5C78" w:rsidRPr="00FB5C78" w:rsidRDefault="00FB5C78" w:rsidP="00FF5AB8">
            <w:pPr>
              <w:spacing w:after="120"/>
              <w:jc w:val="right"/>
              <w:cnfStyle w:val="000000100000" w:firstRow="0" w:lastRow="0" w:firstColumn="0" w:lastColumn="0" w:oddVBand="0" w:evenVBand="0" w:oddHBand="1" w:evenHBand="0" w:firstRowFirstColumn="0" w:firstRowLastColumn="0" w:lastRowFirstColumn="0" w:lastRowLastColumn="0"/>
              <w:rPr>
                <w:sz w:val="20"/>
                <w:szCs w:val="20"/>
                <w:lang w:val="en-US"/>
              </w:rPr>
            </w:pPr>
            <w:r w:rsidRPr="00FB5C78">
              <w:rPr>
                <w:sz w:val="20"/>
                <w:szCs w:val="20"/>
                <w:lang w:val="en-US"/>
              </w:rPr>
              <w:t>-4,45</w:t>
            </w:r>
          </w:p>
        </w:tc>
        <w:tc>
          <w:tcPr>
            <w:tcW w:w="221" w:type="dxa"/>
            <w:shd w:val="clear" w:color="auto" w:fill="auto"/>
            <w:hideMark/>
          </w:tcPr>
          <w:p w:rsidR="00FB5C78" w:rsidRPr="00FB5C78" w:rsidRDefault="00FB5C78" w:rsidP="00FF5AB8">
            <w:pPr>
              <w:spacing w:after="120"/>
              <w:jc w:val="right"/>
              <w:cnfStyle w:val="000000100000" w:firstRow="0" w:lastRow="0" w:firstColumn="0" w:lastColumn="0" w:oddVBand="0" w:evenVBand="0" w:oddHBand="1" w:evenHBand="0" w:firstRowFirstColumn="0" w:firstRowLastColumn="0" w:lastRowFirstColumn="0" w:lastRowLastColumn="0"/>
              <w:rPr>
                <w:sz w:val="20"/>
                <w:szCs w:val="20"/>
                <w:lang w:val="en-US"/>
              </w:rPr>
            </w:pPr>
            <w:r w:rsidRPr="00FB5C78">
              <w:rPr>
                <w:sz w:val="20"/>
                <w:szCs w:val="20"/>
                <w:lang w:val="en-US"/>
              </w:rPr>
              <w:t> </w:t>
            </w:r>
          </w:p>
        </w:tc>
        <w:tc>
          <w:tcPr>
            <w:tcW w:w="780" w:type="dxa"/>
            <w:shd w:val="clear" w:color="auto" w:fill="auto"/>
            <w:hideMark/>
          </w:tcPr>
          <w:p w:rsidR="00FB5C78" w:rsidRPr="00FB5C78" w:rsidRDefault="00FB5C78" w:rsidP="00FF5AB8">
            <w:pPr>
              <w:spacing w:after="120"/>
              <w:jc w:val="right"/>
              <w:cnfStyle w:val="000000100000" w:firstRow="0" w:lastRow="0" w:firstColumn="0" w:lastColumn="0" w:oddVBand="0" w:evenVBand="0" w:oddHBand="1" w:evenHBand="0" w:firstRowFirstColumn="0" w:firstRowLastColumn="0" w:lastRowFirstColumn="0" w:lastRowLastColumn="0"/>
              <w:rPr>
                <w:sz w:val="20"/>
                <w:szCs w:val="20"/>
                <w:lang w:val="en-US"/>
              </w:rPr>
            </w:pPr>
            <w:r w:rsidRPr="00FB5C78">
              <w:rPr>
                <w:sz w:val="20"/>
                <w:szCs w:val="20"/>
                <w:lang w:val="en-US"/>
              </w:rPr>
              <w:t>-1,58</w:t>
            </w:r>
          </w:p>
        </w:tc>
        <w:tc>
          <w:tcPr>
            <w:tcW w:w="262" w:type="dxa"/>
            <w:shd w:val="clear" w:color="auto" w:fill="auto"/>
            <w:hideMark/>
          </w:tcPr>
          <w:p w:rsidR="00FB5C78" w:rsidRPr="00FB5C78" w:rsidRDefault="00FB5C78" w:rsidP="00FF5AB8">
            <w:pPr>
              <w:spacing w:after="120"/>
              <w:jc w:val="right"/>
              <w:cnfStyle w:val="000000100000" w:firstRow="0" w:lastRow="0" w:firstColumn="0" w:lastColumn="0" w:oddVBand="0" w:evenVBand="0" w:oddHBand="1" w:evenHBand="0" w:firstRowFirstColumn="0" w:firstRowLastColumn="0" w:lastRowFirstColumn="0" w:lastRowLastColumn="0"/>
              <w:rPr>
                <w:sz w:val="20"/>
                <w:szCs w:val="20"/>
                <w:lang w:val="en-US"/>
              </w:rPr>
            </w:pPr>
            <w:r w:rsidRPr="00FB5C78">
              <w:rPr>
                <w:sz w:val="20"/>
                <w:szCs w:val="20"/>
                <w:lang w:val="en-US"/>
              </w:rPr>
              <w:t>*</w:t>
            </w:r>
          </w:p>
        </w:tc>
        <w:tc>
          <w:tcPr>
            <w:tcW w:w="777" w:type="dxa"/>
            <w:shd w:val="clear" w:color="auto" w:fill="auto"/>
            <w:hideMark/>
          </w:tcPr>
          <w:p w:rsidR="00FB5C78" w:rsidRPr="00FB5C78" w:rsidRDefault="00FB5C78" w:rsidP="00FF5AB8">
            <w:pPr>
              <w:spacing w:after="120"/>
              <w:jc w:val="right"/>
              <w:cnfStyle w:val="000000100000" w:firstRow="0" w:lastRow="0" w:firstColumn="0" w:lastColumn="0" w:oddVBand="0" w:evenVBand="0" w:oddHBand="1" w:evenHBand="0" w:firstRowFirstColumn="0" w:firstRowLastColumn="0" w:lastRowFirstColumn="0" w:lastRowLastColumn="0"/>
              <w:rPr>
                <w:sz w:val="20"/>
                <w:szCs w:val="20"/>
                <w:lang w:val="en-US"/>
              </w:rPr>
            </w:pPr>
            <w:r w:rsidRPr="00FB5C78">
              <w:rPr>
                <w:sz w:val="20"/>
                <w:szCs w:val="20"/>
                <w:lang w:val="en-US"/>
              </w:rPr>
              <w:t>-1,92</w:t>
            </w:r>
          </w:p>
        </w:tc>
        <w:tc>
          <w:tcPr>
            <w:tcW w:w="262" w:type="dxa"/>
            <w:shd w:val="clear" w:color="auto" w:fill="auto"/>
            <w:hideMark/>
          </w:tcPr>
          <w:p w:rsidR="00FB5C78" w:rsidRPr="00FB5C78" w:rsidRDefault="00FB5C78" w:rsidP="00FF5AB8">
            <w:pPr>
              <w:spacing w:after="120"/>
              <w:jc w:val="right"/>
              <w:cnfStyle w:val="000000100000" w:firstRow="0" w:lastRow="0" w:firstColumn="0" w:lastColumn="0" w:oddVBand="0" w:evenVBand="0" w:oddHBand="1" w:evenHBand="0" w:firstRowFirstColumn="0" w:firstRowLastColumn="0" w:lastRowFirstColumn="0" w:lastRowLastColumn="0"/>
              <w:rPr>
                <w:sz w:val="20"/>
                <w:szCs w:val="20"/>
                <w:lang w:val="en-US"/>
              </w:rPr>
            </w:pPr>
            <w:r w:rsidRPr="00FB5C78">
              <w:rPr>
                <w:sz w:val="20"/>
                <w:szCs w:val="20"/>
                <w:lang w:val="en-US"/>
              </w:rPr>
              <w:t>*</w:t>
            </w:r>
          </w:p>
        </w:tc>
        <w:tc>
          <w:tcPr>
            <w:tcW w:w="779" w:type="dxa"/>
            <w:shd w:val="clear" w:color="auto" w:fill="auto"/>
            <w:hideMark/>
          </w:tcPr>
          <w:p w:rsidR="00FB5C78" w:rsidRPr="00FB5C78" w:rsidRDefault="00FB5C78" w:rsidP="00FF5AB8">
            <w:pPr>
              <w:spacing w:after="120"/>
              <w:jc w:val="right"/>
              <w:cnfStyle w:val="000000100000" w:firstRow="0" w:lastRow="0" w:firstColumn="0" w:lastColumn="0" w:oddVBand="0" w:evenVBand="0" w:oddHBand="1" w:evenHBand="0" w:firstRowFirstColumn="0" w:firstRowLastColumn="0" w:lastRowFirstColumn="0" w:lastRowLastColumn="0"/>
              <w:rPr>
                <w:sz w:val="20"/>
                <w:szCs w:val="20"/>
                <w:lang w:val="en-US"/>
              </w:rPr>
            </w:pPr>
            <w:r w:rsidRPr="00FB5C78">
              <w:rPr>
                <w:sz w:val="20"/>
                <w:szCs w:val="20"/>
                <w:lang w:val="en-US"/>
              </w:rPr>
              <w:t>-2,9</w:t>
            </w:r>
          </w:p>
        </w:tc>
        <w:tc>
          <w:tcPr>
            <w:tcW w:w="262" w:type="dxa"/>
            <w:shd w:val="clear" w:color="auto" w:fill="auto"/>
            <w:hideMark/>
          </w:tcPr>
          <w:p w:rsidR="00FB5C78" w:rsidRPr="00FB5C78" w:rsidRDefault="00FB5C78" w:rsidP="00FF5AB8">
            <w:pPr>
              <w:spacing w:after="120"/>
              <w:jc w:val="right"/>
              <w:cnfStyle w:val="000000100000" w:firstRow="0" w:lastRow="0" w:firstColumn="0" w:lastColumn="0" w:oddVBand="0" w:evenVBand="0" w:oddHBand="1" w:evenHBand="0" w:firstRowFirstColumn="0" w:firstRowLastColumn="0" w:lastRowFirstColumn="0" w:lastRowLastColumn="0"/>
              <w:rPr>
                <w:sz w:val="20"/>
                <w:szCs w:val="20"/>
                <w:lang w:val="en-US"/>
              </w:rPr>
            </w:pPr>
            <w:r w:rsidRPr="00FB5C78">
              <w:rPr>
                <w:sz w:val="20"/>
                <w:szCs w:val="20"/>
                <w:lang w:val="en-US"/>
              </w:rPr>
              <w:t> </w:t>
            </w:r>
          </w:p>
        </w:tc>
        <w:tc>
          <w:tcPr>
            <w:tcW w:w="777" w:type="dxa"/>
            <w:shd w:val="clear" w:color="auto" w:fill="auto"/>
            <w:hideMark/>
          </w:tcPr>
          <w:p w:rsidR="00FB5C78" w:rsidRPr="00FB5C78" w:rsidRDefault="00FB5C78" w:rsidP="00FF5AB8">
            <w:pPr>
              <w:spacing w:after="120"/>
              <w:jc w:val="right"/>
              <w:cnfStyle w:val="000000100000" w:firstRow="0" w:lastRow="0" w:firstColumn="0" w:lastColumn="0" w:oddVBand="0" w:evenVBand="0" w:oddHBand="1" w:evenHBand="0" w:firstRowFirstColumn="0" w:firstRowLastColumn="0" w:lastRowFirstColumn="0" w:lastRowLastColumn="0"/>
              <w:rPr>
                <w:sz w:val="20"/>
                <w:szCs w:val="20"/>
                <w:lang w:val="en-US"/>
              </w:rPr>
            </w:pPr>
            <w:r w:rsidRPr="00FB5C78">
              <w:rPr>
                <w:sz w:val="20"/>
                <w:szCs w:val="20"/>
                <w:lang w:val="en-US"/>
              </w:rPr>
              <w:t>-4,45</w:t>
            </w:r>
          </w:p>
        </w:tc>
        <w:tc>
          <w:tcPr>
            <w:tcW w:w="274" w:type="dxa"/>
            <w:shd w:val="clear" w:color="auto" w:fill="auto"/>
            <w:hideMark/>
          </w:tcPr>
          <w:p w:rsidR="00FB5C78" w:rsidRPr="00FB5C78" w:rsidRDefault="00FB5C78" w:rsidP="00FF5AB8">
            <w:pPr>
              <w:spacing w:after="120"/>
              <w:jc w:val="both"/>
              <w:cnfStyle w:val="000000100000" w:firstRow="0" w:lastRow="0" w:firstColumn="0" w:lastColumn="0" w:oddVBand="0" w:evenVBand="0" w:oddHBand="1" w:evenHBand="0" w:firstRowFirstColumn="0" w:firstRowLastColumn="0" w:lastRowFirstColumn="0" w:lastRowLastColumn="0"/>
              <w:rPr>
                <w:sz w:val="20"/>
                <w:szCs w:val="20"/>
                <w:lang w:val="en-US"/>
              </w:rPr>
            </w:pPr>
            <w:r w:rsidRPr="00FB5C78">
              <w:rPr>
                <w:sz w:val="20"/>
                <w:szCs w:val="20"/>
                <w:lang w:val="en-US"/>
              </w:rPr>
              <w:t> </w:t>
            </w:r>
          </w:p>
        </w:tc>
      </w:tr>
      <w:tr w:rsidR="00FB5C78" w:rsidRPr="00FB5C78" w:rsidTr="00FB5C78">
        <w:trPr>
          <w:trHeight w:hRule="exact" w:val="296"/>
          <w:jc w:val="center"/>
        </w:trPr>
        <w:tc>
          <w:tcPr>
            <w:cnfStyle w:val="001000000000" w:firstRow="0" w:lastRow="0" w:firstColumn="1" w:lastColumn="0" w:oddVBand="0" w:evenVBand="0" w:oddHBand="0" w:evenHBand="0" w:firstRowFirstColumn="0" w:firstRowLastColumn="0" w:lastRowFirstColumn="0" w:lastRowLastColumn="0"/>
            <w:tcW w:w="1658" w:type="dxa"/>
            <w:shd w:val="clear" w:color="auto" w:fill="auto"/>
            <w:hideMark/>
          </w:tcPr>
          <w:p w:rsidR="00FB5C78" w:rsidRPr="00FB5C78" w:rsidRDefault="00FB5C78" w:rsidP="00FF5AB8">
            <w:pPr>
              <w:spacing w:after="120"/>
              <w:jc w:val="both"/>
              <w:rPr>
                <w:b w:val="0"/>
                <w:bCs w:val="0"/>
                <w:sz w:val="20"/>
                <w:szCs w:val="20"/>
                <w:lang w:val="en-US"/>
              </w:rPr>
            </w:pPr>
            <w:r w:rsidRPr="00FB5C78">
              <w:rPr>
                <w:b w:val="0"/>
                <w:bCs w:val="0"/>
                <w:sz w:val="20"/>
                <w:szCs w:val="20"/>
                <w:lang w:val="en-US"/>
              </w:rPr>
              <w:t>Adjusted R</w:t>
            </w:r>
            <w:r w:rsidRPr="00FB5C78">
              <w:rPr>
                <w:b w:val="0"/>
                <w:bCs w:val="0"/>
                <w:sz w:val="20"/>
                <w:szCs w:val="20"/>
                <w:vertAlign w:val="superscript"/>
                <w:lang w:val="en-US"/>
              </w:rPr>
              <w:t>2</w:t>
            </w:r>
          </w:p>
        </w:tc>
        <w:tc>
          <w:tcPr>
            <w:tcW w:w="778" w:type="dxa"/>
            <w:shd w:val="clear" w:color="auto" w:fill="auto"/>
            <w:hideMark/>
          </w:tcPr>
          <w:p w:rsidR="00FB5C78" w:rsidRPr="00FB5C78" w:rsidRDefault="00FB5C78" w:rsidP="00FF5AB8">
            <w:pPr>
              <w:spacing w:after="120"/>
              <w:jc w:val="right"/>
              <w:cnfStyle w:val="000000000000" w:firstRow="0" w:lastRow="0" w:firstColumn="0" w:lastColumn="0" w:oddVBand="0" w:evenVBand="0" w:oddHBand="0" w:evenHBand="0" w:firstRowFirstColumn="0" w:firstRowLastColumn="0" w:lastRowFirstColumn="0" w:lastRowLastColumn="0"/>
              <w:rPr>
                <w:sz w:val="20"/>
                <w:szCs w:val="20"/>
                <w:lang w:val="en-US"/>
              </w:rPr>
            </w:pPr>
            <w:r w:rsidRPr="00FB5C78">
              <w:rPr>
                <w:sz w:val="20"/>
                <w:szCs w:val="20"/>
                <w:lang w:val="en-US"/>
              </w:rPr>
              <w:t>0,7674</w:t>
            </w:r>
          </w:p>
        </w:tc>
        <w:tc>
          <w:tcPr>
            <w:tcW w:w="262" w:type="dxa"/>
            <w:shd w:val="clear" w:color="auto" w:fill="auto"/>
            <w:hideMark/>
          </w:tcPr>
          <w:p w:rsidR="00FB5C78" w:rsidRPr="00FB5C78" w:rsidRDefault="00FB5C78" w:rsidP="00FF5AB8">
            <w:pPr>
              <w:spacing w:after="120"/>
              <w:jc w:val="right"/>
              <w:cnfStyle w:val="000000000000" w:firstRow="0" w:lastRow="0" w:firstColumn="0" w:lastColumn="0" w:oddVBand="0" w:evenVBand="0" w:oddHBand="0" w:evenHBand="0" w:firstRowFirstColumn="0" w:firstRowLastColumn="0" w:lastRowFirstColumn="0" w:lastRowLastColumn="0"/>
              <w:rPr>
                <w:sz w:val="20"/>
                <w:szCs w:val="20"/>
                <w:lang w:val="en-US"/>
              </w:rPr>
            </w:pPr>
            <w:r w:rsidRPr="00FB5C78">
              <w:rPr>
                <w:sz w:val="20"/>
                <w:szCs w:val="20"/>
                <w:lang w:val="en-US"/>
              </w:rPr>
              <w:t> </w:t>
            </w:r>
          </w:p>
        </w:tc>
        <w:tc>
          <w:tcPr>
            <w:tcW w:w="777" w:type="dxa"/>
            <w:shd w:val="clear" w:color="auto" w:fill="auto"/>
            <w:hideMark/>
          </w:tcPr>
          <w:p w:rsidR="00FB5C78" w:rsidRPr="00FB5C78" w:rsidRDefault="00FB5C78" w:rsidP="00FF5AB8">
            <w:pPr>
              <w:spacing w:after="120"/>
              <w:jc w:val="right"/>
              <w:cnfStyle w:val="000000000000" w:firstRow="0" w:lastRow="0" w:firstColumn="0" w:lastColumn="0" w:oddVBand="0" w:evenVBand="0" w:oddHBand="0" w:evenHBand="0" w:firstRowFirstColumn="0" w:firstRowLastColumn="0" w:lastRowFirstColumn="0" w:lastRowLastColumn="0"/>
              <w:rPr>
                <w:sz w:val="20"/>
                <w:szCs w:val="20"/>
                <w:lang w:val="en-US"/>
              </w:rPr>
            </w:pPr>
            <w:r w:rsidRPr="00FB5C78">
              <w:rPr>
                <w:sz w:val="20"/>
                <w:szCs w:val="20"/>
                <w:lang w:val="en-US"/>
              </w:rPr>
              <w:t>0,7206</w:t>
            </w:r>
          </w:p>
        </w:tc>
        <w:tc>
          <w:tcPr>
            <w:tcW w:w="221" w:type="dxa"/>
            <w:shd w:val="clear" w:color="auto" w:fill="auto"/>
            <w:hideMark/>
          </w:tcPr>
          <w:p w:rsidR="00FB5C78" w:rsidRPr="00FB5C78" w:rsidRDefault="00FB5C78" w:rsidP="00FF5AB8">
            <w:pPr>
              <w:spacing w:after="120"/>
              <w:jc w:val="right"/>
              <w:cnfStyle w:val="000000000000" w:firstRow="0" w:lastRow="0" w:firstColumn="0" w:lastColumn="0" w:oddVBand="0" w:evenVBand="0" w:oddHBand="0" w:evenHBand="0" w:firstRowFirstColumn="0" w:firstRowLastColumn="0" w:lastRowFirstColumn="0" w:lastRowLastColumn="0"/>
              <w:rPr>
                <w:sz w:val="20"/>
                <w:szCs w:val="20"/>
                <w:lang w:val="en-US"/>
              </w:rPr>
            </w:pPr>
            <w:r w:rsidRPr="00FB5C78">
              <w:rPr>
                <w:sz w:val="20"/>
                <w:szCs w:val="20"/>
                <w:lang w:val="en-US"/>
              </w:rPr>
              <w:t> </w:t>
            </w:r>
          </w:p>
        </w:tc>
        <w:tc>
          <w:tcPr>
            <w:tcW w:w="780" w:type="dxa"/>
            <w:shd w:val="clear" w:color="auto" w:fill="auto"/>
            <w:hideMark/>
          </w:tcPr>
          <w:p w:rsidR="00FB5C78" w:rsidRPr="00FB5C78" w:rsidRDefault="00FB5C78" w:rsidP="00FF5AB8">
            <w:pPr>
              <w:spacing w:after="120"/>
              <w:jc w:val="right"/>
              <w:cnfStyle w:val="000000000000" w:firstRow="0" w:lastRow="0" w:firstColumn="0" w:lastColumn="0" w:oddVBand="0" w:evenVBand="0" w:oddHBand="0" w:evenHBand="0" w:firstRowFirstColumn="0" w:firstRowLastColumn="0" w:lastRowFirstColumn="0" w:lastRowLastColumn="0"/>
              <w:rPr>
                <w:sz w:val="20"/>
                <w:szCs w:val="20"/>
                <w:lang w:val="en-US"/>
              </w:rPr>
            </w:pPr>
            <w:r w:rsidRPr="00FB5C78">
              <w:rPr>
                <w:sz w:val="20"/>
                <w:szCs w:val="20"/>
                <w:lang w:val="en-US"/>
              </w:rPr>
              <w:t>0,8121</w:t>
            </w:r>
          </w:p>
        </w:tc>
        <w:tc>
          <w:tcPr>
            <w:tcW w:w="262" w:type="dxa"/>
            <w:shd w:val="clear" w:color="auto" w:fill="auto"/>
            <w:hideMark/>
          </w:tcPr>
          <w:p w:rsidR="00FB5C78" w:rsidRPr="00FB5C78" w:rsidRDefault="00FB5C78" w:rsidP="00FF5AB8">
            <w:pPr>
              <w:spacing w:after="120"/>
              <w:jc w:val="right"/>
              <w:cnfStyle w:val="000000000000" w:firstRow="0" w:lastRow="0" w:firstColumn="0" w:lastColumn="0" w:oddVBand="0" w:evenVBand="0" w:oddHBand="0" w:evenHBand="0" w:firstRowFirstColumn="0" w:firstRowLastColumn="0" w:lastRowFirstColumn="0" w:lastRowLastColumn="0"/>
              <w:rPr>
                <w:sz w:val="20"/>
                <w:szCs w:val="20"/>
                <w:lang w:val="en-US"/>
              </w:rPr>
            </w:pPr>
            <w:r w:rsidRPr="00FB5C78">
              <w:rPr>
                <w:sz w:val="20"/>
                <w:szCs w:val="20"/>
                <w:lang w:val="en-US"/>
              </w:rPr>
              <w:t> </w:t>
            </w:r>
          </w:p>
        </w:tc>
        <w:tc>
          <w:tcPr>
            <w:tcW w:w="777" w:type="dxa"/>
            <w:shd w:val="clear" w:color="auto" w:fill="auto"/>
            <w:hideMark/>
          </w:tcPr>
          <w:p w:rsidR="00FB5C78" w:rsidRPr="00FB5C78" w:rsidRDefault="00FB5C78" w:rsidP="00FF5AB8">
            <w:pPr>
              <w:spacing w:after="120"/>
              <w:jc w:val="right"/>
              <w:cnfStyle w:val="000000000000" w:firstRow="0" w:lastRow="0" w:firstColumn="0" w:lastColumn="0" w:oddVBand="0" w:evenVBand="0" w:oddHBand="0" w:evenHBand="0" w:firstRowFirstColumn="0" w:firstRowLastColumn="0" w:lastRowFirstColumn="0" w:lastRowLastColumn="0"/>
              <w:rPr>
                <w:sz w:val="20"/>
                <w:szCs w:val="20"/>
                <w:lang w:val="en-US"/>
              </w:rPr>
            </w:pPr>
            <w:r w:rsidRPr="00FB5C78">
              <w:rPr>
                <w:sz w:val="20"/>
                <w:szCs w:val="20"/>
                <w:lang w:val="en-US"/>
              </w:rPr>
              <w:t>0,8809</w:t>
            </w:r>
          </w:p>
        </w:tc>
        <w:tc>
          <w:tcPr>
            <w:tcW w:w="262" w:type="dxa"/>
            <w:shd w:val="clear" w:color="auto" w:fill="auto"/>
            <w:hideMark/>
          </w:tcPr>
          <w:p w:rsidR="00FB5C78" w:rsidRPr="00FB5C78" w:rsidRDefault="00FB5C78" w:rsidP="00FF5AB8">
            <w:pPr>
              <w:spacing w:after="120"/>
              <w:jc w:val="right"/>
              <w:cnfStyle w:val="000000000000" w:firstRow="0" w:lastRow="0" w:firstColumn="0" w:lastColumn="0" w:oddVBand="0" w:evenVBand="0" w:oddHBand="0" w:evenHBand="0" w:firstRowFirstColumn="0" w:firstRowLastColumn="0" w:lastRowFirstColumn="0" w:lastRowLastColumn="0"/>
              <w:rPr>
                <w:sz w:val="20"/>
                <w:szCs w:val="20"/>
                <w:lang w:val="en-US"/>
              </w:rPr>
            </w:pPr>
            <w:r w:rsidRPr="00FB5C78">
              <w:rPr>
                <w:sz w:val="20"/>
                <w:szCs w:val="20"/>
                <w:lang w:val="en-US"/>
              </w:rPr>
              <w:t> </w:t>
            </w:r>
          </w:p>
        </w:tc>
        <w:tc>
          <w:tcPr>
            <w:tcW w:w="779" w:type="dxa"/>
            <w:shd w:val="clear" w:color="auto" w:fill="auto"/>
            <w:hideMark/>
          </w:tcPr>
          <w:p w:rsidR="00FB5C78" w:rsidRPr="00FB5C78" w:rsidRDefault="00FB5C78" w:rsidP="00FF5AB8">
            <w:pPr>
              <w:spacing w:after="120"/>
              <w:jc w:val="right"/>
              <w:cnfStyle w:val="000000000000" w:firstRow="0" w:lastRow="0" w:firstColumn="0" w:lastColumn="0" w:oddVBand="0" w:evenVBand="0" w:oddHBand="0" w:evenHBand="0" w:firstRowFirstColumn="0" w:firstRowLastColumn="0" w:lastRowFirstColumn="0" w:lastRowLastColumn="0"/>
              <w:rPr>
                <w:sz w:val="20"/>
                <w:szCs w:val="20"/>
                <w:lang w:val="en-US"/>
              </w:rPr>
            </w:pPr>
            <w:r w:rsidRPr="00FB5C78">
              <w:rPr>
                <w:sz w:val="20"/>
                <w:szCs w:val="20"/>
                <w:lang w:val="en-US"/>
              </w:rPr>
              <w:t>0,4701</w:t>
            </w:r>
          </w:p>
        </w:tc>
        <w:tc>
          <w:tcPr>
            <w:tcW w:w="262" w:type="dxa"/>
            <w:shd w:val="clear" w:color="auto" w:fill="auto"/>
            <w:hideMark/>
          </w:tcPr>
          <w:p w:rsidR="00FB5C78" w:rsidRPr="00FB5C78" w:rsidRDefault="00FB5C78" w:rsidP="00FF5AB8">
            <w:pPr>
              <w:spacing w:after="120"/>
              <w:jc w:val="right"/>
              <w:cnfStyle w:val="000000000000" w:firstRow="0" w:lastRow="0" w:firstColumn="0" w:lastColumn="0" w:oddVBand="0" w:evenVBand="0" w:oddHBand="0" w:evenHBand="0" w:firstRowFirstColumn="0" w:firstRowLastColumn="0" w:lastRowFirstColumn="0" w:lastRowLastColumn="0"/>
              <w:rPr>
                <w:sz w:val="20"/>
                <w:szCs w:val="20"/>
                <w:lang w:val="en-US"/>
              </w:rPr>
            </w:pPr>
            <w:r w:rsidRPr="00FB5C78">
              <w:rPr>
                <w:sz w:val="20"/>
                <w:szCs w:val="20"/>
                <w:lang w:val="en-US"/>
              </w:rPr>
              <w:t> </w:t>
            </w:r>
          </w:p>
        </w:tc>
        <w:tc>
          <w:tcPr>
            <w:tcW w:w="777" w:type="dxa"/>
            <w:shd w:val="clear" w:color="auto" w:fill="auto"/>
            <w:hideMark/>
          </w:tcPr>
          <w:p w:rsidR="00FB5C78" w:rsidRPr="00FB5C78" w:rsidRDefault="00FB5C78" w:rsidP="00FF5AB8">
            <w:pPr>
              <w:spacing w:after="120"/>
              <w:jc w:val="right"/>
              <w:cnfStyle w:val="000000000000" w:firstRow="0" w:lastRow="0" w:firstColumn="0" w:lastColumn="0" w:oddVBand="0" w:evenVBand="0" w:oddHBand="0" w:evenHBand="0" w:firstRowFirstColumn="0" w:firstRowLastColumn="0" w:lastRowFirstColumn="0" w:lastRowLastColumn="0"/>
              <w:rPr>
                <w:sz w:val="20"/>
                <w:szCs w:val="20"/>
                <w:lang w:val="en-US"/>
              </w:rPr>
            </w:pPr>
            <w:r w:rsidRPr="00FB5C78">
              <w:rPr>
                <w:sz w:val="20"/>
                <w:szCs w:val="20"/>
                <w:lang w:val="en-US"/>
              </w:rPr>
              <w:t>0,7206</w:t>
            </w:r>
          </w:p>
        </w:tc>
        <w:tc>
          <w:tcPr>
            <w:tcW w:w="274" w:type="dxa"/>
            <w:shd w:val="clear" w:color="auto" w:fill="auto"/>
            <w:hideMark/>
          </w:tcPr>
          <w:p w:rsidR="00FB5C78" w:rsidRPr="00FB5C78" w:rsidRDefault="00FB5C78" w:rsidP="00FF5AB8">
            <w:pPr>
              <w:spacing w:after="120"/>
              <w:jc w:val="both"/>
              <w:cnfStyle w:val="000000000000" w:firstRow="0" w:lastRow="0" w:firstColumn="0" w:lastColumn="0" w:oddVBand="0" w:evenVBand="0" w:oddHBand="0" w:evenHBand="0" w:firstRowFirstColumn="0" w:firstRowLastColumn="0" w:lastRowFirstColumn="0" w:lastRowLastColumn="0"/>
              <w:rPr>
                <w:sz w:val="20"/>
                <w:szCs w:val="20"/>
                <w:lang w:val="en-US"/>
              </w:rPr>
            </w:pPr>
            <w:r w:rsidRPr="00FB5C78">
              <w:rPr>
                <w:sz w:val="20"/>
                <w:szCs w:val="20"/>
                <w:lang w:val="en-US"/>
              </w:rPr>
              <w:t> </w:t>
            </w:r>
          </w:p>
        </w:tc>
      </w:tr>
    </w:tbl>
    <w:p w:rsidR="00FB5C78" w:rsidRPr="00FB5C78" w:rsidRDefault="00FB5C78" w:rsidP="00FB5C78">
      <w:pPr>
        <w:spacing w:after="120"/>
        <w:jc w:val="both"/>
        <w:rPr>
          <w:sz w:val="20"/>
          <w:szCs w:val="20"/>
          <w:lang w:val="en-US"/>
        </w:rPr>
      </w:pPr>
      <w:r w:rsidRPr="00FB5C78">
        <w:rPr>
          <w:sz w:val="20"/>
          <w:szCs w:val="20"/>
          <w:vertAlign w:val="superscript"/>
          <w:lang w:val="en-US"/>
        </w:rPr>
        <w:t>1</w:t>
      </w:r>
      <w:r w:rsidRPr="00FB5C78">
        <w:rPr>
          <w:sz w:val="20"/>
          <w:szCs w:val="20"/>
          <w:lang w:val="en-US"/>
        </w:rPr>
        <w:t xml:space="preserve"> t statistics having significance at 95percent confidence level is denoted by *,</w:t>
      </w:r>
    </w:p>
    <w:p w:rsidR="00FB5C78" w:rsidRPr="00FB5C78" w:rsidRDefault="00FB5C78" w:rsidP="00FB5C78">
      <w:pPr>
        <w:spacing w:after="120"/>
        <w:jc w:val="both"/>
        <w:rPr>
          <w:sz w:val="20"/>
          <w:szCs w:val="20"/>
          <w:lang w:val="en-US"/>
        </w:rPr>
      </w:pPr>
    </w:p>
    <w:p w:rsidR="00FB5C78" w:rsidRPr="00FB5C78" w:rsidRDefault="00FB5C78" w:rsidP="00FB5C78">
      <w:pPr>
        <w:spacing w:after="120"/>
        <w:jc w:val="center"/>
        <w:rPr>
          <w:sz w:val="20"/>
          <w:szCs w:val="20"/>
          <w:lang w:val="en-US"/>
        </w:rPr>
      </w:pPr>
      <w:r w:rsidRPr="00FB5C78">
        <w:rPr>
          <w:sz w:val="20"/>
          <w:szCs w:val="20"/>
          <w:lang w:val="en-US"/>
        </w:rPr>
        <w:t>Table 8</w:t>
      </w:r>
    </w:p>
    <w:p w:rsidR="00FB5C78" w:rsidRPr="00FB5C78" w:rsidRDefault="00FB5C78" w:rsidP="00FB5C78">
      <w:pPr>
        <w:spacing w:after="120"/>
        <w:jc w:val="center"/>
        <w:rPr>
          <w:sz w:val="20"/>
          <w:szCs w:val="20"/>
          <w:vertAlign w:val="superscript"/>
          <w:lang w:val="en-US"/>
        </w:rPr>
      </w:pPr>
      <w:r w:rsidRPr="00FB5C78">
        <w:rPr>
          <w:sz w:val="20"/>
          <w:szCs w:val="20"/>
          <w:lang w:val="en-US"/>
        </w:rPr>
        <w:t xml:space="preserve">Regression Analysis Results of Country Specific and Global Variables and </w:t>
      </w:r>
      <w:proofErr w:type="spellStart"/>
      <w:r w:rsidRPr="00FB5C78">
        <w:rPr>
          <w:sz w:val="20"/>
          <w:szCs w:val="20"/>
          <w:lang w:val="en-US"/>
        </w:rPr>
        <w:t>cds</w:t>
      </w:r>
      <w:proofErr w:type="spellEnd"/>
      <w:r w:rsidRPr="00FB5C78">
        <w:rPr>
          <w:sz w:val="20"/>
          <w:szCs w:val="20"/>
          <w:lang w:val="en-US"/>
        </w:rPr>
        <w:t xml:space="preserve"> Spreads of the Selected Sovereigns </w:t>
      </w:r>
      <w:r w:rsidRPr="00FB5C78">
        <w:rPr>
          <w:sz w:val="20"/>
          <w:szCs w:val="20"/>
          <w:vertAlign w:val="superscript"/>
          <w:lang w:val="en-US"/>
        </w:rPr>
        <w:t>1</w:t>
      </w:r>
    </w:p>
    <w:tbl>
      <w:tblPr>
        <w:tblStyle w:val="AkGlgeleme"/>
        <w:tblW w:w="7726" w:type="dxa"/>
        <w:jc w:val="center"/>
        <w:tblLook w:val="04A0" w:firstRow="1" w:lastRow="0" w:firstColumn="1" w:lastColumn="0" w:noHBand="0" w:noVBand="1"/>
      </w:tblPr>
      <w:tblGrid>
        <w:gridCol w:w="1103"/>
        <w:gridCol w:w="766"/>
        <w:gridCol w:w="316"/>
        <w:gridCol w:w="767"/>
        <w:gridCol w:w="316"/>
        <w:gridCol w:w="794"/>
        <w:gridCol w:w="316"/>
        <w:gridCol w:w="767"/>
        <w:gridCol w:w="316"/>
        <w:gridCol w:w="866"/>
        <w:gridCol w:w="316"/>
        <w:gridCol w:w="767"/>
        <w:gridCol w:w="316"/>
      </w:tblGrid>
      <w:tr w:rsidR="00FB5C78" w:rsidRPr="00FB5C78" w:rsidTr="00FB5C78">
        <w:trPr>
          <w:cnfStyle w:val="100000000000" w:firstRow="1" w:lastRow="0" w:firstColumn="0" w:lastColumn="0" w:oddVBand="0" w:evenVBand="0" w:oddHBand="0"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1718" w:type="dxa"/>
            <w:shd w:val="clear" w:color="auto" w:fill="auto"/>
            <w:hideMark/>
          </w:tcPr>
          <w:p w:rsidR="00FB5C78" w:rsidRPr="00FB5C78" w:rsidRDefault="00FB5C78" w:rsidP="00FB5C78">
            <w:pPr>
              <w:spacing w:after="120"/>
              <w:jc w:val="center"/>
              <w:rPr>
                <w:b w:val="0"/>
                <w:bCs w:val="0"/>
                <w:sz w:val="20"/>
                <w:szCs w:val="20"/>
              </w:rPr>
            </w:pPr>
          </w:p>
        </w:tc>
        <w:tc>
          <w:tcPr>
            <w:tcW w:w="697" w:type="dxa"/>
            <w:shd w:val="clear" w:color="auto" w:fill="auto"/>
            <w:hideMark/>
          </w:tcPr>
          <w:p w:rsidR="00FB5C78" w:rsidRPr="00FB5C78" w:rsidRDefault="00FB5C78" w:rsidP="00FF5AB8">
            <w:pPr>
              <w:spacing w:after="120"/>
              <w:jc w:val="right"/>
              <w:cnfStyle w:val="100000000000" w:firstRow="1" w:lastRow="0" w:firstColumn="0" w:lastColumn="0" w:oddVBand="0" w:evenVBand="0" w:oddHBand="0" w:evenHBand="0" w:firstRowFirstColumn="0" w:firstRowLastColumn="0" w:lastRowFirstColumn="0" w:lastRowLastColumn="0"/>
              <w:rPr>
                <w:b w:val="0"/>
                <w:bCs w:val="0"/>
                <w:sz w:val="20"/>
                <w:szCs w:val="20"/>
              </w:rPr>
            </w:pPr>
            <w:proofErr w:type="spellStart"/>
            <w:r w:rsidRPr="00FB5C78">
              <w:rPr>
                <w:b w:val="0"/>
                <w:bCs w:val="0"/>
                <w:sz w:val="20"/>
                <w:szCs w:val="20"/>
              </w:rPr>
              <w:t>Russia</w:t>
            </w:r>
            <w:proofErr w:type="spellEnd"/>
          </w:p>
        </w:tc>
        <w:tc>
          <w:tcPr>
            <w:tcW w:w="243" w:type="dxa"/>
            <w:shd w:val="clear" w:color="auto" w:fill="auto"/>
            <w:hideMark/>
          </w:tcPr>
          <w:p w:rsidR="00FB5C78" w:rsidRPr="00FB5C78" w:rsidRDefault="00FB5C78" w:rsidP="00FF5AB8">
            <w:pPr>
              <w:spacing w:after="120"/>
              <w:jc w:val="right"/>
              <w:cnfStyle w:val="100000000000" w:firstRow="1" w:lastRow="0" w:firstColumn="0" w:lastColumn="0" w:oddVBand="0" w:evenVBand="0" w:oddHBand="0" w:evenHBand="0" w:firstRowFirstColumn="0" w:firstRowLastColumn="0" w:lastRowFirstColumn="0" w:lastRowLastColumn="0"/>
              <w:rPr>
                <w:b w:val="0"/>
                <w:bCs w:val="0"/>
                <w:sz w:val="20"/>
                <w:szCs w:val="20"/>
              </w:rPr>
            </w:pPr>
            <w:r w:rsidRPr="00FB5C78">
              <w:rPr>
                <w:b w:val="0"/>
                <w:bCs w:val="0"/>
                <w:sz w:val="20"/>
                <w:szCs w:val="20"/>
              </w:rPr>
              <w:t> </w:t>
            </w:r>
          </w:p>
        </w:tc>
        <w:tc>
          <w:tcPr>
            <w:tcW w:w="775" w:type="dxa"/>
            <w:shd w:val="clear" w:color="auto" w:fill="auto"/>
            <w:hideMark/>
          </w:tcPr>
          <w:p w:rsidR="00FB5C78" w:rsidRPr="00FB5C78" w:rsidRDefault="00FB5C78" w:rsidP="00FF5AB8">
            <w:pPr>
              <w:spacing w:after="120"/>
              <w:jc w:val="right"/>
              <w:cnfStyle w:val="100000000000" w:firstRow="1" w:lastRow="0" w:firstColumn="0" w:lastColumn="0" w:oddVBand="0" w:evenVBand="0" w:oddHBand="0" w:evenHBand="0" w:firstRowFirstColumn="0" w:firstRowLastColumn="0" w:lastRowFirstColumn="0" w:lastRowLastColumn="0"/>
              <w:rPr>
                <w:b w:val="0"/>
                <w:bCs w:val="0"/>
                <w:sz w:val="20"/>
                <w:szCs w:val="20"/>
              </w:rPr>
            </w:pPr>
            <w:proofErr w:type="spellStart"/>
            <w:r w:rsidRPr="00FB5C78">
              <w:rPr>
                <w:b w:val="0"/>
                <w:bCs w:val="0"/>
                <w:sz w:val="20"/>
                <w:szCs w:val="20"/>
              </w:rPr>
              <w:t>Brazil</w:t>
            </w:r>
            <w:proofErr w:type="spellEnd"/>
          </w:p>
        </w:tc>
        <w:tc>
          <w:tcPr>
            <w:tcW w:w="203" w:type="dxa"/>
            <w:shd w:val="clear" w:color="auto" w:fill="auto"/>
            <w:hideMark/>
          </w:tcPr>
          <w:p w:rsidR="00FB5C78" w:rsidRPr="00FB5C78" w:rsidRDefault="00FB5C78" w:rsidP="00FF5AB8">
            <w:pPr>
              <w:spacing w:after="120"/>
              <w:jc w:val="right"/>
              <w:cnfStyle w:val="100000000000" w:firstRow="1" w:lastRow="0" w:firstColumn="0" w:lastColumn="0" w:oddVBand="0" w:evenVBand="0" w:oddHBand="0" w:evenHBand="0" w:firstRowFirstColumn="0" w:firstRowLastColumn="0" w:lastRowFirstColumn="0" w:lastRowLastColumn="0"/>
              <w:rPr>
                <w:b w:val="0"/>
                <w:bCs w:val="0"/>
                <w:sz w:val="20"/>
                <w:szCs w:val="20"/>
              </w:rPr>
            </w:pPr>
            <w:r w:rsidRPr="00FB5C78">
              <w:rPr>
                <w:b w:val="0"/>
                <w:bCs w:val="0"/>
                <w:sz w:val="20"/>
                <w:szCs w:val="20"/>
              </w:rPr>
              <w:t> </w:t>
            </w:r>
          </w:p>
        </w:tc>
        <w:tc>
          <w:tcPr>
            <w:tcW w:w="777" w:type="dxa"/>
            <w:shd w:val="clear" w:color="auto" w:fill="auto"/>
            <w:hideMark/>
          </w:tcPr>
          <w:p w:rsidR="00FB5C78" w:rsidRPr="00FB5C78" w:rsidRDefault="00FB5C78" w:rsidP="00FF5AB8">
            <w:pPr>
              <w:spacing w:after="120"/>
              <w:jc w:val="right"/>
              <w:cnfStyle w:val="100000000000" w:firstRow="1" w:lastRow="0" w:firstColumn="0" w:lastColumn="0" w:oddVBand="0" w:evenVBand="0" w:oddHBand="0" w:evenHBand="0" w:firstRowFirstColumn="0" w:firstRowLastColumn="0" w:lastRowFirstColumn="0" w:lastRowLastColumn="0"/>
              <w:rPr>
                <w:b w:val="0"/>
                <w:bCs w:val="0"/>
                <w:sz w:val="20"/>
                <w:szCs w:val="20"/>
              </w:rPr>
            </w:pPr>
            <w:proofErr w:type="spellStart"/>
            <w:r w:rsidRPr="00FB5C78">
              <w:rPr>
                <w:b w:val="0"/>
                <w:bCs w:val="0"/>
                <w:sz w:val="20"/>
                <w:szCs w:val="20"/>
              </w:rPr>
              <w:t>Turkey</w:t>
            </w:r>
            <w:proofErr w:type="spellEnd"/>
          </w:p>
        </w:tc>
        <w:tc>
          <w:tcPr>
            <w:tcW w:w="226" w:type="dxa"/>
            <w:shd w:val="clear" w:color="auto" w:fill="auto"/>
            <w:hideMark/>
          </w:tcPr>
          <w:p w:rsidR="00FB5C78" w:rsidRPr="00FB5C78" w:rsidRDefault="00FB5C78" w:rsidP="00FF5AB8">
            <w:pPr>
              <w:spacing w:after="120"/>
              <w:jc w:val="right"/>
              <w:cnfStyle w:val="100000000000" w:firstRow="1" w:lastRow="0" w:firstColumn="0" w:lastColumn="0" w:oddVBand="0" w:evenVBand="0" w:oddHBand="0" w:evenHBand="0" w:firstRowFirstColumn="0" w:firstRowLastColumn="0" w:lastRowFirstColumn="0" w:lastRowLastColumn="0"/>
              <w:rPr>
                <w:b w:val="0"/>
                <w:bCs w:val="0"/>
                <w:sz w:val="20"/>
                <w:szCs w:val="20"/>
              </w:rPr>
            </w:pPr>
            <w:r w:rsidRPr="00FB5C78">
              <w:rPr>
                <w:b w:val="0"/>
                <w:bCs w:val="0"/>
                <w:sz w:val="20"/>
                <w:szCs w:val="20"/>
              </w:rPr>
              <w:t> </w:t>
            </w:r>
          </w:p>
        </w:tc>
        <w:tc>
          <w:tcPr>
            <w:tcW w:w="775" w:type="dxa"/>
            <w:shd w:val="clear" w:color="auto" w:fill="auto"/>
            <w:hideMark/>
          </w:tcPr>
          <w:p w:rsidR="00FB5C78" w:rsidRPr="00FB5C78" w:rsidRDefault="00FB5C78" w:rsidP="00FF5AB8">
            <w:pPr>
              <w:spacing w:after="120"/>
              <w:jc w:val="right"/>
              <w:cnfStyle w:val="100000000000" w:firstRow="1" w:lastRow="0" w:firstColumn="0" w:lastColumn="0" w:oddVBand="0" w:evenVBand="0" w:oddHBand="0" w:evenHBand="0" w:firstRowFirstColumn="0" w:firstRowLastColumn="0" w:lastRowFirstColumn="0" w:lastRowLastColumn="0"/>
              <w:rPr>
                <w:b w:val="0"/>
                <w:bCs w:val="0"/>
                <w:sz w:val="20"/>
                <w:szCs w:val="20"/>
              </w:rPr>
            </w:pPr>
            <w:proofErr w:type="spellStart"/>
            <w:r w:rsidRPr="00FB5C78">
              <w:rPr>
                <w:b w:val="0"/>
                <w:bCs w:val="0"/>
                <w:sz w:val="20"/>
                <w:szCs w:val="20"/>
              </w:rPr>
              <w:t>Korea</w:t>
            </w:r>
            <w:proofErr w:type="spellEnd"/>
          </w:p>
        </w:tc>
        <w:tc>
          <w:tcPr>
            <w:tcW w:w="226" w:type="dxa"/>
            <w:shd w:val="clear" w:color="auto" w:fill="auto"/>
            <w:hideMark/>
          </w:tcPr>
          <w:p w:rsidR="00FB5C78" w:rsidRPr="00FB5C78" w:rsidRDefault="00FB5C78" w:rsidP="00FF5AB8">
            <w:pPr>
              <w:spacing w:after="120"/>
              <w:jc w:val="right"/>
              <w:cnfStyle w:val="100000000000" w:firstRow="1" w:lastRow="0" w:firstColumn="0" w:lastColumn="0" w:oddVBand="0" w:evenVBand="0" w:oddHBand="0" w:evenHBand="0" w:firstRowFirstColumn="0" w:firstRowLastColumn="0" w:lastRowFirstColumn="0" w:lastRowLastColumn="0"/>
              <w:rPr>
                <w:b w:val="0"/>
                <w:bCs w:val="0"/>
                <w:sz w:val="20"/>
                <w:szCs w:val="20"/>
              </w:rPr>
            </w:pPr>
            <w:r w:rsidRPr="00FB5C78">
              <w:rPr>
                <w:b w:val="0"/>
                <w:bCs w:val="0"/>
                <w:sz w:val="20"/>
                <w:szCs w:val="20"/>
              </w:rPr>
              <w:t> </w:t>
            </w:r>
          </w:p>
        </w:tc>
        <w:tc>
          <w:tcPr>
            <w:tcW w:w="778" w:type="dxa"/>
            <w:shd w:val="clear" w:color="auto" w:fill="auto"/>
            <w:hideMark/>
          </w:tcPr>
          <w:p w:rsidR="00FB5C78" w:rsidRPr="00FB5C78" w:rsidRDefault="00FB5C78" w:rsidP="00FF5AB8">
            <w:pPr>
              <w:spacing w:after="120"/>
              <w:jc w:val="right"/>
              <w:cnfStyle w:val="100000000000" w:firstRow="1" w:lastRow="0" w:firstColumn="0" w:lastColumn="0" w:oddVBand="0" w:evenVBand="0" w:oddHBand="0" w:evenHBand="0" w:firstRowFirstColumn="0" w:firstRowLastColumn="0" w:lastRowFirstColumn="0" w:lastRowLastColumn="0"/>
              <w:rPr>
                <w:b w:val="0"/>
                <w:bCs w:val="0"/>
                <w:sz w:val="20"/>
                <w:szCs w:val="20"/>
              </w:rPr>
            </w:pPr>
            <w:proofErr w:type="spellStart"/>
            <w:r w:rsidRPr="00FB5C78">
              <w:rPr>
                <w:b w:val="0"/>
                <w:bCs w:val="0"/>
                <w:sz w:val="20"/>
                <w:szCs w:val="20"/>
              </w:rPr>
              <w:t>Greece</w:t>
            </w:r>
            <w:proofErr w:type="spellEnd"/>
          </w:p>
        </w:tc>
        <w:tc>
          <w:tcPr>
            <w:tcW w:w="259" w:type="dxa"/>
            <w:shd w:val="clear" w:color="auto" w:fill="auto"/>
            <w:hideMark/>
          </w:tcPr>
          <w:p w:rsidR="00FB5C78" w:rsidRPr="00FB5C78" w:rsidRDefault="00FB5C78" w:rsidP="00FF5AB8">
            <w:pPr>
              <w:spacing w:after="120"/>
              <w:jc w:val="right"/>
              <w:cnfStyle w:val="100000000000" w:firstRow="1" w:lastRow="0" w:firstColumn="0" w:lastColumn="0" w:oddVBand="0" w:evenVBand="0" w:oddHBand="0" w:evenHBand="0" w:firstRowFirstColumn="0" w:firstRowLastColumn="0" w:lastRowFirstColumn="0" w:lastRowLastColumn="0"/>
              <w:rPr>
                <w:b w:val="0"/>
                <w:bCs w:val="0"/>
                <w:sz w:val="20"/>
                <w:szCs w:val="20"/>
              </w:rPr>
            </w:pPr>
            <w:r w:rsidRPr="00FB5C78">
              <w:rPr>
                <w:b w:val="0"/>
                <w:bCs w:val="0"/>
                <w:sz w:val="20"/>
                <w:szCs w:val="20"/>
              </w:rPr>
              <w:t> </w:t>
            </w:r>
          </w:p>
        </w:tc>
        <w:tc>
          <w:tcPr>
            <w:tcW w:w="775" w:type="dxa"/>
            <w:shd w:val="clear" w:color="auto" w:fill="auto"/>
            <w:hideMark/>
          </w:tcPr>
          <w:p w:rsidR="00FB5C78" w:rsidRPr="00FB5C78" w:rsidRDefault="00FB5C78" w:rsidP="00FF5AB8">
            <w:pPr>
              <w:spacing w:after="120"/>
              <w:jc w:val="right"/>
              <w:cnfStyle w:val="100000000000" w:firstRow="1" w:lastRow="0" w:firstColumn="0" w:lastColumn="0" w:oddVBand="0" w:evenVBand="0" w:oddHBand="0" w:evenHBand="0" w:firstRowFirstColumn="0" w:firstRowLastColumn="0" w:lastRowFirstColumn="0" w:lastRowLastColumn="0"/>
              <w:rPr>
                <w:b w:val="0"/>
                <w:bCs w:val="0"/>
                <w:sz w:val="20"/>
                <w:szCs w:val="20"/>
              </w:rPr>
            </w:pPr>
            <w:proofErr w:type="spellStart"/>
            <w:r w:rsidRPr="00FB5C78">
              <w:rPr>
                <w:b w:val="0"/>
                <w:bCs w:val="0"/>
                <w:sz w:val="20"/>
                <w:szCs w:val="20"/>
              </w:rPr>
              <w:t>Spain</w:t>
            </w:r>
            <w:proofErr w:type="spellEnd"/>
          </w:p>
        </w:tc>
        <w:tc>
          <w:tcPr>
            <w:tcW w:w="274" w:type="dxa"/>
            <w:shd w:val="clear" w:color="auto" w:fill="auto"/>
            <w:hideMark/>
          </w:tcPr>
          <w:p w:rsidR="00FB5C78" w:rsidRPr="00FB5C78" w:rsidRDefault="00FB5C78" w:rsidP="00FF5AB8">
            <w:pPr>
              <w:spacing w:after="120"/>
              <w:jc w:val="right"/>
              <w:cnfStyle w:val="100000000000" w:firstRow="1" w:lastRow="0" w:firstColumn="0" w:lastColumn="0" w:oddVBand="0" w:evenVBand="0" w:oddHBand="0" w:evenHBand="0" w:firstRowFirstColumn="0" w:firstRowLastColumn="0" w:lastRowFirstColumn="0" w:lastRowLastColumn="0"/>
              <w:rPr>
                <w:b w:val="0"/>
                <w:bCs w:val="0"/>
                <w:sz w:val="20"/>
                <w:szCs w:val="20"/>
              </w:rPr>
            </w:pPr>
            <w:r w:rsidRPr="00FB5C78">
              <w:rPr>
                <w:b w:val="0"/>
                <w:bCs w:val="0"/>
                <w:sz w:val="20"/>
                <w:szCs w:val="20"/>
              </w:rPr>
              <w:t> </w:t>
            </w:r>
          </w:p>
        </w:tc>
      </w:tr>
      <w:tr w:rsidR="00FB5C78" w:rsidRPr="00FB5C78" w:rsidTr="00FB5C78">
        <w:trPr>
          <w:cnfStyle w:val="000000100000" w:firstRow="0" w:lastRow="0" w:firstColumn="0" w:lastColumn="0" w:oddVBand="0" w:evenVBand="0" w:oddHBand="1" w:evenHBand="0" w:firstRowFirstColumn="0" w:firstRowLastColumn="0" w:lastRowFirstColumn="0" w:lastRowLastColumn="0"/>
          <w:trHeight w:hRule="exact" w:val="306"/>
          <w:jc w:val="center"/>
        </w:trPr>
        <w:tc>
          <w:tcPr>
            <w:cnfStyle w:val="001000000000" w:firstRow="0" w:lastRow="0" w:firstColumn="1" w:lastColumn="0" w:oddVBand="0" w:evenVBand="0" w:oddHBand="0" w:evenHBand="0" w:firstRowFirstColumn="0" w:firstRowLastColumn="0" w:lastRowFirstColumn="0" w:lastRowLastColumn="0"/>
            <w:tcW w:w="1718" w:type="dxa"/>
            <w:shd w:val="clear" w:color="auto" w:fill="auto"/>
            <w:hideMark/>
          </w:tcPr>
          <w:p w:rsidR="00FB5C78" w:rsidRPr="00FB5C78" w:rsidRDefault="00FB5C78" w:rsidP="00FF5AB8">
            <w:pPr>
              <w:spacing w:after="120"/>
              <w:jc w:val="both"/>
              <w:rPr>
                <w:b w:val="0"/>
                <w:bCs w:val="0"/>
                <w:sz w:val="20"/>
                <w:szCs w:val="20"/>
              </w:rPr>
            </w:pPr>
            <w:r w:rsidRPr="00FB5C78">
              <w:rPr>
                <w:b w:val="0"/>
                <w:bCs w:val="0"/>
                <w:sz w:val="20"/>
                <w:szCs w:val="20"/>
              </w:rPr>
              <w:t>FX Rate</w:t>
            </w:r>
          </w:p>
        </w:tc>
        <w:tc>
          <w:tcPr>
            <w:tcW w:w="697" w:type="dxa"/>
            <w:shd w:val="clear" w:color="auto" w:fill="auto"/>
            <w:hideMark/>
          </w:tcPr>
          <w:p w:rsidR="00FB5C78" w:rsidRPr="00FB5C78" w:rsidRDefault="00FB5C78" w:rsidP="00FF5AB8">
            <w:pPr>
              <w:spacing w:after="120"/>
              <w:jc w:val="right"/>
              <w:cnfStyle w:val="000000100000" w:firstRow="0" w:lastRow="0" w:firstColumn="0" w:lastColumn="0" w:oddVBand="0" w:evenVBand="0" w:oddHBand="1" w:evenHBand="0" w:firstRowFirstColumn="0" w:firstRowLastColumn="0" w:lastRowFirstColumn="0" w:lastRowLastColumn="0"/>
              <w:rPr>
                <w:sz w:val="20"/>
                <w:szCs w:val="20"/>
              </w:rPr>
            </w:pPr>
            <w:r w:rsidRPr="00FB5C78">
              <w:rPr>
                <w:sz w:val="20"/>
                <w:szCs w:val="20"/>
              </w:rPr>
              <w:t>0,98</w:t>
            </w:r>
          </w:p>
        </w:tc>
        <w:tc>
          <w:tcPr>
            <w:tcW w:w="243" w:type="dxa"/>
            <w:shd w:val="clear" w:color="auto" w:fill="auto"/>
            <w:hideMark/>
          </w:tcPr>
          <w:p w:rsidR="00FB5C78" w:rsidRPr="00FB5C78" w:rsidRDefault="00FB5C78" w:rsidP="00FF5AB8">
            <w:pPr>
              <w:spacing w:after="120"/>
              <w:jc w:val="right"/>
              <w:cnfStyle w:val="000000100000" w:firstRow="0" w:lastRow="0" w:firstColumn="0" w:lastColumn="0" w:oddVBand="0" w:evenVBand="0" w:oddHBand="1" w:evenHBand="0" w:firstRowFirstColumn="0" w:firstRowLastColumn="0" w:lastRowFirstColumn="0" w:lastRowLastColumn="0"/>
              <w:rPr>
                <w:sz w:val="20"/>
                <w:szCs w:val="20"/>
              </w:rPr>
            </w:pPr>
            <w:r w:rsidRPr="00FB5C78">
              <w:rPr>
                <w:sz w:val="20"/>
                <w:szCs w:val="20"/>
              </w:rPr>
              <w:t>*</w:t>
            </w:r>
          </w:p>
        </w:tc>
        <w:tc>
          <w:tcPr>
            <w:tcW w:w="775" w:type="dxa"/>
            <w:shd w:val="clear" w:color="auto" w:fill="auto"/>
            <w:hideMark/>
          </w:tcPr>
          <w:p w:rsidR="00FB5C78" w:rsidRPr="00FB5C78" w:rsidRDefault="00FB5C78" w:rsidP="00FF5AB8">
            <w:pPr>
              <w:spacing w:after="120"/>
              <w:jc w:val="right"/>
              <w:cnfStyle w:val="000000100000" w:firstRow="0" w:lastRow="0" w:firstColumn="0" w:lastColumn="0" w:oddVBand="0" w:evenVBand="0" w:oddHBand="1" w:evenHBand="0" w:firstRowFirstColumn="0" w:firstRowLastColumn="0" w:lastRowFirstColumn="0" w:lastRowLastColumn="0"/>
              <w:rPr>
                <w:sz w:val="20"/>
                <w:szCs w:val="20"/>
              </w:rPr>
            </w:pPr>
            <w:r w:rsidRPr="00FB5C78">
              <w:rPr>
                <w:sz w:val="20"/>
                <w:szCs w:val="20"/>
              </w:rPr>
              <w:t>6,23</w:t>
            </w:r>
          </w:p>
        </w:tc>
        <w:tc>
          <w:tcPr>
            <w:tcW w:w="203" w:type="dxa"/>
            <w:shd w:val="clear" w:color="auto" w:fill="auto"/>
            <w:hideMark/>
          </w:tcPr>
          <w:p w:rsidR="00FB5C78" w:rsidRPr="00FB5C78" w:rsidRDefault="00FB5C78" w:rsidP="00FF5AB8">
            <w:pPr>
              <w:spacing w:after="120"/>
              <w:jc w:val="right"/>
              <w:cnfStyle w:val="000000100000" w:firstRow="0" w:lastRow="0" w:firstColumn="0" w:lastColumn="0" w:oddVBand="0" w:evenVBand="0" w:oddHBand="1" w:evenHBand="0" w:firstRowFirstColumn="0" w:firstRowLastColumn="0" w:lastRowFirstColumn="0" w:lastRowLastColumn="0"/>
              <w:rPr>
                <w:sz w:val="20"/>
                <w:szCs w:val="20"/>
              </w:rPr>
            </w:pPr>
            <w:r w:rsidRPr="00FB5C78">
              <w:rPr>
                <w:sz w:val="20"/>
                <w:szCs w:val="20"/>
              </w:rPr>
              <w:t> </w:t>
            </w:r>
          </w:p>
        </w:tc>
        <w:tc>
          <w:tcPr>
            <w:tcW w:w="777" w:type="dxa"/>
            <w:shd w:val="clear" w:color="auto" w:fill="auto"/>
            <w:hideMark/>
          </w:tcPr>
          <w:p w:rsidR="00FB5C78" w:rsidRPr="00FB5C78" w:rsidRDefault="00FB5C78" w:rsidP="00FF5AB8">
            <w:pPr>
              <w:spacing w:after="120"/>
              <w:jc w:val="right"/>
              <w:cnfStyle w:val="000000100000" w:firstRow="0" w:lastRow="0" w:firstColumn="0" w:lastColumn="0" w:oddVBand="0" w:evenVBand="0" w:oddHBand="1" w:evenHBand="0" w:firstRowFirstColumn="0" w:firstRowLastColumn="0" w:lastRowFirstColumn="0" w:lastRowLastColumn="0"/>
              <w:rPr>
                <w:sz w:val="20"/>
                <w:szCs w:val="20"/>
              </w:rPr>
            </w:pPr>
            <w:r w:rsidRPr="00FB5C78">
              <w:rPr>
                <w:sz w:val="20"/>
                <w:szCs w:val="20"/>
              </w:rPr>
              <w:t>4,35</w:t>
            </w:r>
          </w:p>
        </w:tc>
        <w:tc>
          <w:tcPr>
            <w:tcW w:w="226" w:type="dxa"/>
            <w:shd w:val="clear" w:color="auto" w:fill="auto"/>
            <w:hideMark/>
          </w:tcPr>
          <w:p w:rsidR="00FB5C78" w:rsidRPr="00FB5C78" w:rsidRDefault="00FB5C78" w:rsidP="00FF5AB8">
            <w:pPr>
              <w:spacing w:after="120"/>
              <w:jc w:val="right"/>
              <w:cnfStyle w:val="000000100000" w:firstRow="0" w:lastRow="0" w:firstColumn="0" w:lastColumn="0" w:oddVBand="0" w:evenVBand="0" w:oddHBand="1" w:evenHBand="0" w:firstRowFirstColumn="0" w:firstRowLastColumn="0" w:lastRowFirstColumn="0" w:lastRowLastColumn="0"/>
              <w:rPr>
                <w:sz w:val="20"/>
                <w:szCs w:val="20"/>
              </w:rPr>
            </w:pPr>
            <w:r w:rsidRPr="00FB5C78">
              <w:rPr>
                <w:sz w:val="20"/>
                <w:szCs w:val="20"/>
              </w:rPr>
              <w:t> </w:t>
            </w:r>
          </w:p>
        </w:tc>
        <w:tc>
          <w:tcPr>
            <w:tcW w:w="775" w:type="dxa"/>
            <w:shd w:val="clear" w:color="auto" w:fill="auto"/>
            <w:hideMark/>
          </w:tcPr>
          <w:p w:rsidR="00FB5C78" w:rsidRPr="00FB5C78" w:rsidRDefault="00FB5C78" w:rsidP="00FF5AB8">
            <w:pPr>
              <w:spacing w:after="120"/>
              <w:jc w:val="right"/>
              <w:cnfStyle w:val="000000100000" w:firstRow="0" w:lastRow="0" w:firstColumn="0" w:lastColumn="0" w:oddVBand="0" w:evenVBand="0" w:oddHBand="1" w:evenHBand="0" w:firstRowFirstColumn="0" w:firstRowLastColumn="0" w:lastRowFirstColumn="0" w:lastRowLastColumn="0"/>
              <w:rPr>
                <w:sz w:val="20"/>
                <w:szCs w:val="20"/>
              </w:rPr>
            </w:pPr>
            <w:r w:rsidRPr="00FB5C78">
              <w:rPr>
                <w:sz w:val="20"/>
                <w:szCs w:val="20"/>
              </w:rPr>
              <w:t>6,66</w:t>
            </w:r>
          </w:p>
        </w:tc>
        <w:tc>
          <w:tcPr>
            <w:tcW w:w="226" w:type="dxa"/>
            <w:shd w:val="clear" w:color="auto" w:fill="auto"/>
            <w:hideMark/>
          </w:tcPr>
          <w:p w:rsidR="00FB5C78" w:rsidRPr="00FB5C78" w:rsidRDefault="00FB5C78" w:rsidP="00FF5AB8">
            <w:pPr>
              <w:spacing w:after="120"/>
              <w:jc w:val="right"/>
              <w:cnfStyle w:val="000000100000" w:firstRow="0" w:lastRow="0" w:firstColumn="0" w:lastColumn="0" w:oddVBand="0" w:evenVBand="0" w:oddHBand="1" w:evenHBand="0" w:firstRowFirstColumn="0" w:firstRowLastColumn="0" w:lastRowFirstColumn="0" w:lastRowLastColumn="0"/>
              <w:rPr>
                <w:sz w:val="20"/>
                <w:szCs w:val="20"/>
              </w:rPr>
            </w:pPr>
            <w:r w:rsidRPr="00FB5C78">
              <w:rPr>
                <w:sz w:val="20"/>
                <w:szCs w:val="20"/>
              </w:rPr>
              <w:t> </w:t>
            </w:r>
          </w:p>
        </w:tc>
        <w:tc>
          <w:tcPr>
            <w:tcW w:w="778" w:type="dxa"/>
            <w:shd w:val="clear" w:color="auto" w:fill="auto"/>
            <w:hideMark/>
          </w:tcPr>
          <w:p w:rsidR="00FB5C78" w:rsidRPr="00FB5C78" w:rsidRDefault="00FB5C78" w:rsidP="00FF5AB8">
            <w:pPr>
              <w:spacing w:after="120"/>
              <w:jc w:val="right"/>
              <w:cnfStyle w:val="000000100000" w:firstRow="0" w:lastRow="0" w:firstColumn="0" w:lastColumn="0" w:oddVBand="0" w:evenVBand="0" w:oddHBand="1" w:evenHBand="0" w:firstRowFirstColumn="0" w:firstRowLastColumn="0" w:lastRowFirstColumn="0" w:lastRowLastColumn="0"/>
              <w:rPr>
                <w:sz w:val="20"/>
                <w:szCs w:val="20"/>
              </w:rPr>
            </w:pPr>
            <w:r w:rsidRPr="00FB5C78">
              <w:rPr>
                <w:sz w:val="20"/>
                <w:szCs w:val="20"/>
              </w:rPr>
              <w:t>0,63</w:t>
            </w:r>
          </w:p>
        </w:tc>
        <w:tc>
          <w:tcPr>
            <w:tcW w:w="259" w:type="dxa"/>
            <w:shd w:val="clear" w:color="auto" w:fill="auto"/>
            <w:hideMark/>
          </w:tcPr>
          <w:p w:rsidR="00FB5C78" w:rsidRPr="00FB5C78" w:rsidRDefault="00FB5C78" w:rsidP="00FF5AB8">
            <w:pPr>
              <w:spacing w:after="120"/>
              <w:jc w:val="right"/>
              <w:cnfStyle w:val="000000100000" w:firstRow="0" w:lastRow="0" w:firstColumn="0" w:lastColumn="0" w:oddVBand="0" w:evenVBand="0" w:oddHBand="1" w:evenHBand="0" w:firstRowFirstColumn="0" w:firstRowLastColumn="0" w:lastRowFirstColumn="0" w:lastRowLastColumn="0"/>
              <w:rPr>
                <w:sz w:val="20"/>
                <w:szCs w:val="20"/>
              </w:rPr>
            </w:pPr>
            <w:r w:rsidRPr="00FB5C78">
              <w:rPr>
                <w:sz w:val="20"/>
                <w:szCs w:val="20"/>
              </w:rPr>
              <w:t>*</w:t>
            </w:r>
          </w:p>
        </w:tc>
        <w:tc>
          <w:tcPr>
            <w:tcW w:w="775" w:type="dxa"/>
            <w:shd w:val="clear" w:color="auto" w:fill="auto"/>
            <w:hideMark/>
          </w:tcPr>
          <w:p w:rsidR="00FB5C78" w:rsidRPr="00FB5C78" w:rsidRDefault="00FB5C78" w:rsidP="00FF5AB8">
            <w:pPr>
              <w:spacing w:after="120"/>
              <w:jc w:val="right"/>
              <w:cnfStyle w:val="000000100000" w:firstRow="0" w:lastRow="0" w:firstColumn="0" w:lastColumn="0" w:oddVBand="0" w:evenVBand="0" w:oddHBand="1" w:evenHBand="0" w:firstRowFirstColumn="0" w:firstRowLastColumn="0" w:lastRowFirstColumn="0" w:lastRowLastColumn="0"/>
              <w:rPr>
                <w:sz w:val="20"/>
                <w:szCs w:val="20"/>
              </w:rPr>
            </w:pPr>
            <w:r w:rsidRPr="00FB5C78">
              <w:rPr>
                <w:sz w:val="20"/>
                <w:szCs w:val="20"/>
              </w:rPr>
              <w:t>-0,05</w:t>
            </w:r>
          </w:p>
        </w:tc>
        <w:tc>
          <w:tcPr>
            <w:tcW w:w="274" w:type="dxa"/>
            <w:shd w:val="clear" w:color="auto" w:fill="auto"/>
            <w:hideMark/>
          </w:tcPr>
          <w:p w:rsidR="00FB5C78" w:rsidRPr="00FB5C78" w:rsidRDefault="00FB5C78" w:rsidP="00FF5AB8">
            <w:pPr>
              <w:spacing w:after="120"/>
              <w:jc w:val="right"/>
              <w:cnfStyle w:val="000000100000" w:firstRow="0" w:lastRow="0" w:firstColumn="0" w:lastColumn="0" w:oddVBand="0" w:evenVBand="0" w:oddHBand="1" w:evenHBand="0" w:firstRowFirstColumn="0" w:firstRowLastColumn="0" w:lastRowFirstColumn="0" w:lastRowLastColumn="0"/>
              <w:rPr>
                <w:sz w:val="20"/>
                <w:szCs w:val="20"/>
              </w:rPr>
            </w:pPr>
            <w:r w:rsidRPr="00FB5C78">
              <w:rPr>
                <w:sz w:val="20"/>
                <w:szCs w:val="20"/>
              </w:rPr>
              <w:t>*</w:t>
            </w:r>
          </w:p>
        </w:tc>
      </w:tr>
      <w:tr w:rsidR="00FB5C78" w:rsidRPr="00FB5C78" w:rsidTr="00FB5C78">
        <w:trPr>
          <w:trHeight w:hRule="exact" w:val="306"/>
          <w:jc w:val="center"/>
        </w:trPr>
        <w:tc>
          <w:tcPr>
            <w:cnfStyle w:val="001000000000" w:firstRow="0" w:lastRow="0" w:firstColumn="1" w:lastColumn="0" w:oddVBand="0" w:evenVBand="0" w:oddHBand="0" w:evenHBand="0" w:firstRowFirstColumn="0" w:firstRowLastColumn="0" w:lastRowFirstColumn="0" w:lastRowLastColumn="0"/>
            <w:tcW w:w="1718" w:type="dxa"/>
            <w:shd w:val="clear" w:color="auto" w:fill="auto"/>
            <w:hideMark/>
          </w:tcPr>
          <w:p w:rsidR="00FB5C78" w:rsidRPr="00FB5C78" w:rsidRDefault="00FB5C78" w:rsidP="00FF5AB8">
            <w:pPr>
              <w:spacing w:after="120"/>
              <w:jc w:val="both"/>
              <w:rPr>
                <w:b w:val="0"/>
                <w:bCs w:val="0"/>
                <w:sz w:val="20"/>
                <w:szCs w:val="20"/>
              </w:rPr>
            </w:pPr>
            <w:r w:rsidRPr="00FB5C78">
              <w:rPr>
                <w:b w:val="0"/>
                <w:bCs w:val="0"/>
                <w:sz w:val="20"/>
                <w:szCs w:val="20"/>
              </w:rPr>
              <w:t xml:space="preserve">FX </w:t>
            </w:r>
            <w:proofErr w:type="spellStart"/>
            <w:r w:rsidRPr="00FB5C78">
              <w:rPr>
                <w:b w:val="0"/>
                <w:bCs w:val="0"/>
                <w:sz w:val="20"/>
                <w:szCs w:val="20"/>
              </w:rPr>
              <w:t>Reserves</w:t>
            </w:r>
            <w:proofErr w:type="spellEnd"/>
          </w:p>
        </w:tc>
        <w:tc>
          <w:tcPr>
            <w:tcW w:w="697" w:type="dxa"/>
            <w:shd w:val="clear" w:color="auto" w:fill="auto"/>
            <w:hideMark/>
          </w:tcPr>
          <w:p w:rsidR="00FB5C78" w:rsidRPr="00FB5C78" w:rsidRDefault="00FB5C78" w:rsidP="00FF5AB8">
            <w:pPr>
              <w:spacing w:after="120"/>
              <w:jc w:val="right"/>
              <w:cnfStyle w:val="000000000000" w:firstRow="0" w:lastRow="0" w:firstColumn="0" w:lastColumn="0" w:oddVBand="0" w:evenVBand="0" w:oddHBand="0" w:evenHBand="0" w:firstRowFirstColumn="0" w:firstRowLastColumn="0" w:lastRowFirstColumn="0" w:lastRowLastColumn="0"/>
              <w:rPr>
                <w:sz w:val="20"/>
                <w:szCs w:val="20"/>
              </w:rPr>
            </w:pPr>
            <w:r w:rsidRPr="00FB5C78">
              <w:rPr>
                <w:sz w:val="20"/>
                <w:szCs w:val="20"/>
              </w:rPr>
              <w:t>-1,02</w:t>
            </w:r>
          </w:p>
        </w:tc>
        <w:tc>
          <w:tcPr>
            <w:tcW w:w="243" w:type="dxa"/>
            <w:shd w:val="clear" w:color="auto" w:fill="auto"/>
            <w:hideMark/>
          </w:tcPr>
          <w:p w:rsidR="00FB5C78" w:rsidRPr="00FB5C78" w:rsidRDefault="00FB5C78" w:rsidP="00FF5AB8">
            <w:pPr>
              <w:spacing w:after="120"/>
              <w:jc w:val="right"/>
              <w:cnfStyle w:val="000000000000" w:firstRow="0" w:lastRow="0" w:firstColumn="0" w:lastColumn="0" w:oddVBand="0" w:evenVBand="0" w:oddHBand="0" w:evenHBand="0" w:firstRowFirstColumn="0" w:firstRowLastColumn="0" w:lastRowFirstColumn="0" w:lastRowLastColumn="0"/>
              <w:rPr>
                <w:sz w:val="20"/>
                <w:szCs w:val="20"/>
              </w:rPr>
            </w:pPr>
            <w:r w:rsidRPr="00FB5C78">
              <w:rPr>
                <w:sz w:val="20"/>
                <w:szCs w:val="20"/>
              </w:rPr>
              <w:t> </w:t>
            </w:r>
          </w:p>
        </w:tc>
        <w:tc>
          <w:tcPr>
            <w:tcW w:w="775" w:type="dxa"/>
            <w:shd w:val="clear" w:color="auto" w:fill="auto"/>
            <w:hideMark/>
          </w:tcPr>
          <w:p w:rsidR="00FB5C78" w:rsidRPr="00FB5C78" w:rsidRDefault="00FB5C78" w:rsidP="00FF5AB8">
            <w:pPr>
              <w:spacing w:after="120"/>
              <w:jc w:val="right"/>
              <w:cnfStyle w:val="000000000000" w:firstRow="0" w:lastRow="0" w:firstColumn="0" w:lastColumn="0" w:oddVBand="0" w:evenVBand="0" w:oddHBand="0" w:evenHBand="0" w:firstRowFirstColumn="0" w:firstRowLastColumn="0" w:lastRowFirstColumn="0" w:lastRowLastColumn="0"/>
              <w:rPr>
                <w:sz w:val="20"/>
                <w:szCs w:val="20"/>
              </w:rPr>
            </w:pPr>
            <w:r w:rsidRPr="00FB5C78">
              <w:rPr>
                <w:sz w:val="20"/>
                <w:szCs w:val="20"/>
              </w:rPr>
              <w:t>-0,18</w:t>
            </w:r>
          </w:p>
        </w:tc>
        <w:tc>
          <w:tcPr>
            <w:tcW w:w="203" w:type="dxa"/>
            <w:shd w:val="clear" w:color="auto" w:fill="auto"/>
            <w:hideMark/>
          </w:tcPr>
          <w:p w:rsidR="00FB5C78" w:rsidRPr="00FB5C78" w:rsidRDefault="00FB5C78" w:rsidP="00FF5AB8">
            <w:pPr>
              <w:spacing w:after="120"/>
              <w:jc w:val="right"/>
              <w:cnfStyle w:val="000000000000" w:firstRow="0" w:lastRow="0" w:firstColumn="0" w:lastColumn="0" w:oddVBand="0" w:evenVBand="0" w:oddHBand="0" w:evenHBand="0" w:firstRowFirstColumn="0" w:firstRowLastColumn="0" w:lastRowFirstColumn="0" w:lastRowLastColumn="0"/>
              <w:rPr>
                <w:sz w:val="20"/>
                <w:szCs w:val="20"/>
              </w:rPr>
            </w:pPr>
            <w:r w:rsidRPr="00FB5C78">
              <w:rPr>
                <w:sz w:val="20"/>
                <w:szCs w:val="20"/>
              </w:rPr>
              <w:t> </w:t>
            </w:r>
          </w:p>
        </w:tc>
        <w:tc>
          <w:tcPr>
            <w:tcW w:w="777" w:type="dxa"/>
            <w:shd w:val="clear" w:color="auto" w:fill="auto"/>
            <w:hideMark/>
          </w:tcPr>
          <w:p w:rsidR="00FB5C78" w:rsidRPr="00FB5C78" w:rsidRDefault="00FB5C78" w:rsidP="00FF5AB8">
            <w:pPr>
              <w:spacing w:after="120"/>
              <w:jc w:val="right"/>
              <w:cnfStyle w:val="000000000000" w:firstRow="0" w:lastRow="0" w:firstColumn="0" w:lastColumn="0" w:oddVBand="0" w:evenVBand="0" w:oddHBand="0" w:evenHBand="0" w:firstRowFirstColumn="0" w:firstRowLastColumn="0" w:lastRowFirstColumn="0" w:lastRowLastColumn="0"/>
              <w:rPr>
                <w:sz w:val="20"/>
                <w:szCs w:val="20"/>
              </w:rPr>
            </w:pPr>
            <w:r w:rsidRPr="00FB5C78">
              <w:rPr>
                <w:sz w:val="20"/>
                <w:szCs w:val="20"/>
              </w:rPr>
              <w:t>-4,55</w:t>
            </w:r>
          </w:p>
        </w:tc>
        <w:tc>
          <w:tcPr>
            <w:tcW w:w="226" w:type="dxa"/>
            <w:shd w:val="clear" w:color="auto" w:fill="auto"/>
            <w:hideMark/>
          </w:tcPr>
          <w:p w:rsidR="00FB5C78" w:rsidRPr="00FB5C78" w:rsidRDefault="00FB5C78" w:rsidP="00FF5AB8">
            <w:pPr>
              <w:spacing w:after="120"/>
              <w:jc w:val="right"/>
              <w:cnfStyle w:val="000000000000" w:firstRow="0" w:lastRow="0" w:firstColumn="0" w:lastColumn="0" w:oddVBand="0" w:evenVBand="0" w:oddHBand="0" w:evenHBand="0" w:firstRowFirstColumn="0" w:firstRowLastColumn="0" w:lastRowFirstColumn="0" w:lastRowLastColumn="0"/>
              <w:rPr>
                <w:sz w:val="20"/>
                <w:szCs w:val="20"/>
              </w:rPr>
            </w:pPr>
            <w:r w:rsidRPr="00FB5C78">
              <w:rPr>
                <w:sz w:val="20"/>
                <w:szCs w:val="20"/>
              </w:rPr>
              <w:t> </w:t>
            </w:r>
          </w:p>
        </w:tc>
        <w:tc>
          <w:tcPr>
            <w:tcW w:w="775" w:type="dxa"/>
            <w:shd w:val="clear" w:color="auto" w:fill="auto"/>
            <w:hideMark/>
          </w:tcPr>
          <w:p w:rsidR="00FB5C78" w:rsidRPr="00FB5C78" w:rsidRDefault="00FB5C78" w:rsidP="00FF5AB8">
            <w:pPr>
              <w:spacing w:after="120"/>
              <w:jc w:val="right"/>
              <w:cnfStyle w:val="000000000000" w:firstRow="0" w:lastRow="0" w:firstColumn="0" w:lastColumn="0" w:oddVBand="0" w:evenVBand="0" w:oddHBand="0" w:evenHBand="0" w:firstRowFirstColumn="0" w:firstRowLastColumn="0" w:lastRowFirstColumn="0" w:lastRowLastColumn="0"/>
              <w:rPr>
                <w:sz w:val="20"/>
                <w:szCs w:val="20"/>
              </w:rPr>
            </w:pPr>
            <w:r w:rsidRPr="00FB5C78">
              <w:rPr>
                <w:sz w:val="20"/>
                <w:szCs w:val="20"/>
              </w:rPr>
              <w:t>0,05</w:t>
            </w:r>
          </w:p>
        </w:tc>
        <w:tc>
          <w:tcPr>
            <w:tcW w:w="226" w:type="dxa"/>
            <w:shd w:val="clear" w:color="auto" w:fill="auto"/>
            <w:hideMark/>
          </w:tcPr>
          <w:p w:rsidR="00FB5C78" w:rsidRPr="00FB5C78" w:rsidRDefault="00FB5C78" w:rsidP="00FF5AB8">
            <w:pPr>
              <w:spacing w:after="120"/>
              <w:jc w:val="right"/>
              <w:cnfStyle w:val="000000000000" w:firstRow="0" w:lastRow="0" w:firstColumn="0" w:lastColumn="0" w:oddVBand="0" w:evenVBand="0" w:oddHBand="0" w:evenHBand="0" w:firstRowFirstColumn="0" w:firstRowLastColumn="0" w:lastRowFirstColumn="0" w:lastRowLastColumn="0"/>
              <w:rPr>
                <w:sz w:val="20"/>
                <w:szCs w:val="20"/>
              </w:rPr>
            </w:pPr>
            <w:r w:rsidRPr="00FB5C78">
              <w:rPr>
                <w:sz w:val="20"/>
                <w:szCs w:val="20"/>
              </w:rPr>
              <w:t>*</w:t>
            </w:r>
          </w:p>
        </w:tc>
        <w:tc>
          <w:tcPr>
            <w:tcW w:w="778" w:type="dxa"/>
            <w:shd w:val="clear" w:color="auto" w:fill="auto"/>
            <w:hideMark/>
          </w:tcPr>
          <w:p w:rsidR="00FB5C78" w:rsidRPr="00FB5C78" w:rsidRDefault="00FB5C78" w:rsidP="00FF5AB8">
            <w:pPr>
              <w:spacing w:after="120"/>
              <w:jc w:val="right"/>
              <w:cnfStyle w:val="000000000000" w:firstRow="0" w:lastRow="0" w:firstColumn="0" w:lastColumn="0" w:oddVBand="0" w:evenVBand="0" w:oddHBand="0" w:evenHBand="0" w:firstRowFirstColumn="0" w:firstRowLastColumn="0" w:lastRowFirstColumn="0" w:lastRowLastColumn="0"/>
              <w:rPr>
                <w:sz w:val="20"/>
                <w:szCs w:val="20"/>
              </w:rPr>
            </w:pPr>
            <w:r w:rsidRPr="00FB5C78">
              <w:rPr>
                <w:sz w:val="20"/>
                <w:szCs w:val="20"/>
              </w:rPr>
              <w:t>-0,33</w:t>
            </w:r>
          </w:p>
        </w:tc>
        <w:tc>
          <w:tcPr>
            <w:tcW w:w="259" w:type="dxa"/>
            <w:shd w:val="clear" w:color="auto" w:fill="auto"/>
            <w:hideMark/>
          </w:tcPr>
          <w:p w:rsidR="00FB5C78" w:rsidRPr="00FB5C78" w:rsidRDefault="00FB5C78" w:rsidP="00FF5AB8">
            <w:pPr>
              <w:spacing w:after="120"/>
              <w:jc w:val="right"/>
              <w:cnfStyle w:val="000000000000" w:firstRow="0" w:lastRow="0" w:firstColumn="0" w:lastColumn="0" w:oddVBand="0" w:evenVBand="0" w:oddHBand="0" w:evenHBand="0" w:firstRowFirstColumn="0" w:firstRowLastColumn="0" w:lastRowFirstColumn="0" w:lastRowLastColumn="0"/>
              <w:rPr>
                <w:sz w:val="20"/>
                <w:szCs w:val="20"/>
              </w:rPr>
            </w:pPr>
            <w:r w:rsidRPr="00FB5C78">
              <w:rPr>
                <w:sz w:val="20"/>
                <w:szCs w:val="20"/>
              </w:rPr>
              <w:t>*</w:t>
            </w:r>
          </w:p>
        </w:tc>
        <w:tc>
          <w:tcPr>
            <w:tcW w:w="775" w:type="dxa"/>
            <w:shd w:val="clear" w:color="auto" w:fill="auto"/>
            <w:hideMark/>
          </w:tcPr>
          <w:p w:rsidR="00FB5C78" w:rsidRPr="00FB5C78" w:rsidRDefault="00FB5C78" w:rsidP="00FF5AB8">
            <w:pPr>
              <w:spacing w:after="120"/>
              <w:jc w:val="right"/>
              <w:cnfStyle w:val="000000000000" w:firstRow="0" w:lastRow="0" w:firstColumn="0" w:lastColumn="0" w:oddVBand="0" w:evenVBand="0" w:oddHBand="0" w:evenHBand="0" w:firstRowFirstColumn="0" w:firstRowLastColumn="0" w:lastRowFirstColumn="0" w:lastRowLastColumn="0"/>
              <w:rPr>
                <w:sz w:val="20"/>
                <w:szCs w:val="20"/>
              </w:rPr>
            </w:pPr>
            <w:r w:rsidRPr="00FB5C78">
              <w:rPr>
                <w:sz w:val="20"/>
                <w:szCs w:val="20"/>
              </w:rPr>
              <w:t>1,41</w:t>
            </w:r>
          </w:p>
        </w:tc>
        <w:tc>
          <w:tcPr>
            <w:tcW w:w="274" w:type="dxa"/>
            <w:shd w:val="clear" w:color="auto" w:fill="auto"/>
            <w:hideMark/>
          </w:tcPr>
          <w:p w:rsidR="00FB5C78" w:rsidRPr="00FB5C78" w:rsidRDefault="00FB5C78" w:rsidP="00FF5AB8">
            <w:pPr>
              <w:spacing w:after="120"/>
              <w:jc w:val="right"/>
              <w:cnfStyle w:val="000000000000" w:firstRow="0" w:lastRow="0" w:firstColumn="0" w:lastColumn="0" w:oddVBand="0" w:evenVBand="0" w:oddHBand="0" w:evenHBand="0" w:firstRowFirstColumn="0" w:firstRowLastColumn="0" w:lastRowFirstColumn="0" w:lastRowLastColumn="0"/>
              <w:rPr>
                <w:sz w:val="20"/>
                <w:szCs w:val="20"/>
              </w:rPr>
            </w:pPr>
            <w:r w:rsidRPr="00FB5C78">
              <w:rPr>
                <w:sz w:val="20"/>
                <w:szCs w:val="20"/>
              </w:rPr>
              <w:t> </w:t>
            </w:r>
          </w:p>
        </w:tc>
      </w:tr>
      <w:tr w:rsidR="00FB5C78" w:rsidRPr="00FB5C78" w:rsidTr="00FB5C78">
        <w:trPr>
          <w:cnfStyle w:val="000000100000" w:firstRow="0" w:lastRow="0" w:firstColumn="0" w:lastColumn="0" w:oddVBand="0" w:evenVBand="0" w:oddHBand="1" w:evenHBand="0" w:firstRowFirstColumn="0" w:firstRowLastColumn="0" w:lastRowFirstColumn="0" w:lastRowLastColumn="0"/>
          <w:trHeight w:hRule="exact" w:val="306"/>
          <w:jc w:val="center"/>
        </w:trPr>
        <w:tc>
          <w:tcPr>
            <w:cnfStyle w:val="001000000000" w:firstRow="0" w:lastRow="0" w:firstColumn="1" w:lastColumn="0" w:oddVBand="0" w:evenVBand="0" w:oddHBand="0" w:evenHBand="0" w:firstRowFirstColumn="0" w:firstRowLastColumn="0" w:lastRowFirstColumn="0" w:lastRowLastColumn="0"/>
            <w:tcW w:w="1718" w:type="dxa"/>
            <w:shd w:val="clear" w:color="auto" w:fill="auto"/>
            <w:hideMark/>
          </w:tcPr>
          <w:p w:rsidR="00FB5C78" w:rsidRPr="00FB5C78" w:rsidRDefault="00FB5C78" w:rsidP="00FF5AB8">
            <w:pPr>
              <w:spacing w:after="120"/>
              <w:jc w:val="both"/>
              <w:rPr>
                <w:b w:val="0"/>
                <w:bCs w:val="0"/>
                <w:sz w:val="20"/>
                <w:szCs w:val="20"/>
              </w:rPr>
            </w:pPr>
            <w:proofErr w:type="spellStart"/>
            <w:r w:rsidRPr="00FB5C78">
              <w:rPr>
                <w:b w:val="0"/>
                <w:bCs w:val="0"/>
                <w:sz w:val="20"/>
                <w:szCs w:val="20"/>
              </w:rPr>
              <w:t>External</w:t>
            </w:r>
            <w:proofErr w:type="spellEnd"/>
            <w:r w:rsidRPr="00FB5C78">
              <w:rPr>
                <w:b w:val="0"/>
                <w:bCs w:val="0"/>
                <w:sz w:val="20"/>
                <w:szCs w:val="20"/>
              </w:rPr>
              <w:t xml:space="preserve"> </w:t>
            </w:r>
            <w:proofErr w:type="spellStart"/>
            <w:r w:rsidRPr="00FB5C78">
              <w:rPr>
                <w:b w:val="0"/>
                <w:bCs w:val="0"/>
                <w:sz w:val="20"/>
                <w:szCs w:val="20"/>
              </w:rPr>
              <w:t>Debt</w:t>
            </w:r>
            <w:proofErr w:type="spellEnd"/>
          </w:p>
        </w:tc>
        <w:tc>
          <w:tcPr>
            <w:tcW w:w="697" w:type="dxa"/>
            <w:shd w:val="clear" w:color="auto" w:fill="auto"/>
            <w:hideMark/>
          </w:tcPr>
          <w:p w:rsidR="00FB5C78" w:rsidRPr="00FB5C78" w:rsidRDefault="00FB5C78" w:rsidP="00FF5AB8">
            <w:pPr>
              <w:spacing w:after="120"/>
              <w:jc w:val="right"/>
              <w:cnfStyle w:val="000000100000" w:firstRow="0" w:lastRow="0" w:firstColumn="0" w:lastColumn="0" w:oddVBand="0" w:evenVBand="0" w:oddHBand="1" w:evenHBand="0" w:firstRowFirstColumn="0" w:firstRowLastColumn="0" w:lastRowFirstColumn="0" w:lastRowLastColumn="0"/>
              <w:rPr>
                <w:sz w:val="20"/>
                <w:szCs w:val="20"/>
              </w:rPr>
            </w:pPr>
            <w:r w:rsidRPr="00FB5C78">
              <w:rPr>
                <w:sz w:val="20"/>
                <w:szCs w:val="20"/>
              </w:rPr>
              <w:t>1,18</w:t>
            </w:r>
          </w:p>
        </w:tc>
        <w:tc>
          <w:tcPr>
            <w:tcW w:w="243" w:type="dxa"/>
            <w:shd w:val="clear" w:color="auto" w:fill="auto"/>
            <w:hideMark/>
          </w:tcPr>
          <w:p w:rsidR="00FB5C78" w:rsidRPr="00FB5C78" w:rsidRDefault="00FB5C78" w:rsidP="00FF5AB8">
            <w:pPr>
              <w:spacing w:after="120"/>
              <w:jc w:val="right"/>
              <w:cnfStyle w:val="000000100000" w:firstRow="0" w:lastRow="0" w:firstColumn="0" w:lastColumn="0" w:oddVBand="0" w:evenVBand="0" w:oddHBand="1" w:evenHBand="0" w:firstRowFirstColumn="0" w:firstRowLastColumn="0" w:lastRowFirstColumn="0" w:lastRowLastColumn="0"/>
              <w:rPr>
                <w:sz w:val="20"/>
                <w:szCs w:val="20"/>
              </w:rPr>
            </w:pPr>
            <w:r w:rsidRPr="00FB5C78">
              <w:rPr>
                <w:sz w:val="20"/>
                <w:szCs w:val="20"/>
              </w:rPr>
              <w:t> </w:t>
            </w:r>
          </w:p>
        </w:tc>
        <w:tc>
          <w:tcPr>
            <w:tcW w:w="775" w:type="dxa"/>
            <w:shd w:val="clear" w:color="auto" w:fill="auto"/>
            <w:hideMark/>
          </w:tcPr>
          <w:p w:rsidR="00FB5C78" w:rsidRPr="00FB5C78" w:rsidRDefault="00FB5C78" w:rsidP="00FF5AB8">
            <w:pPr>
              <w:spacing w:after="120"/>
              <w:jc w:val="right"/>
              <w:cnfStyle w:val="000000100000" w:firstRow="0" w:lastRow="0" w:firstColumn="0" w:lastColumn="0" w:oddVBand="0" w:evenVBand="0" w:oddHBand="1" w:evenHBand="0" w:firstRowFirstColumn="0" w:firstRowLastColumn="0" w:lastRowFirstColumn="0" w:lastRowLastColumn="0"/>
              <w:rPr>
                <w:sz w:val="20"/>
                <w:szCs w:val="20"/>
              </w:rPr>
            </w:pPr>
            <w:r w:rsidRPr="00FB5C78">
              <w:rPr>
                <w:sz w:val="20"/>
                <w:szCs w:val="20"/>
              </w:rPr>
              <w:t>3,43</w:t>
            </w:r>
          </w:p>
        </w:tc>
        <w:tc>
          <w:tcPr>
            <w:tcW w:w="203" w:type="dxa"/>
            <w:shd w:val="clear" w:color="auto" w:fill="auto"/>
            <w:hideMark/>
          </w:tcPr>
          <w:p w:rsidR="00FB5C78" w:rsidRPr="00FB5C78" w:rsidRDefault="00FB5C78" w:rsidP="00FF5AB8">
            <w:pPr>
              <w:spacing w:after="120"/>
              <w:jc w:val="right"/>
              <w:cnfStyle w:val="000000100000" w:firstRow="0" w:lastRow="0" w:firstColumn="0" w:lastColumn="0" w:oddVBand="0" w:evenVBand="0" w:oddHBand="1" w:evenHBand="0" w:firstRowFirstColumn="0" w:firstRowLastColumn="0" w:lastRowFirstColumn="0" w:lastRowLastColumn="0"/>
              <w:rPr>
                <w:sz w:val="20"/>
                <w:szCs w:val="20"/>
              </w:rPr>
            </w:pPr>
            <w:r w:rsidRPr="00FB5C78">
              <w:rPr>
                <w:sz w:val="20"/>
                <w:szCs w:val="20"/>
              </w:rPr>
              <w:t> </w:t>
            </w:r>
          </w:p>
        </w:tc>
        <w:tc>
          <w:tcPr>
            <w:tcW w:w="777" w:type="dxa"/>
            <w:shd w:val="clear" w:color="auto" w:fill="auto"/>
            <w:hideMark/>
          </w:tcPr>
          <w:p w:rsidR="00FB5C78" w:rsidRPr="00FB5C78" w:rsidRDefault="00FB5C78" w:rsidP="00FF5AB8">
            <w:pPr>
              <w:spacing w:after="120"/>
              <w:jc w:val="right"/>
              <w:cnfStyle w:val="000000100000" w:firstRow="0" w:lastRow="0" w:firstColumn="0" w:lastColumn="0" w:oddVBand="0" w:evenVBand="0" w:oddHBand="1" w:evenHBand="0" w:firstRowFirstColumn="0" w:firstRowLastColumn="0" w:lastRowFirstColumn="0" w:lastRowLastColumn="0"/>
              <w:rPr>
                <w:sz w:val="20"/>
                <w:szCs w:val="20"/>
              </w:rPr>
            </w:pPr>
            <w:r w:rsidRPr="00FB5C78">
              <w:rPr>
                <w:sz w:val="20"/>
                <w:szCs w:val="20"/>
              </w:rPr>
              <w:t>5,91</w:t>
            </w:r>
          </w:p>
        </w:tc>
        <w:tc>
          <w:tcPr>
            <w:tcW w:w="226" w:type="dxa"/>
            <w:shd w:val="clear" w:color="auto" w:fill="auto"/>
            <w:hideMark/>
          </w:tcPr>
          <w:p w:rsidR="00FB5C78" w:rsidRPr="00FB5C78" w:rsidRDefault="00FB5C78" w:rsidP="00FF5AB8">
            <w:pPr>
              <w:spacing w:after="120"/>
              <w:jc w:val="right"/>
              <w:cnfStyle w:val="000000100000" w:firstRow="0" w:lastRow="0" w:firstColumn="0" w:lastColumn="0" w:oddVBand="0" w:evenVBand="0" w:oddHBand="1" w:evenHBand="0" w:firstRowFirstColumn="0" w:firstRowLastColumn="0" w:lastRowFirstColumn="0" w:lastRowLastColumn="0"/>
              <w:rPr>
                <w:sz w:val="20"/>
                <w:szCs w:val="20"/>
              </w:rPr>
            </w:pPr>
            <w:r w:rsidRPr="00FB5C78">
              <w:rPr>
                <w:sz w:val="20"/>
                <w:szCs w:val="20"/>
              </w:rPr>
              <w:t> </w:t>
            </w:r>
          </w:p>
        </w:tc>
        <w:tc>
          <w:tcPr>
            <w:tcW w:w="775" w:type="dxa"/>
            <w:shd w:val="clear" w:color="auto" w:fill="auto"/>
            <w:hideMark/>
          </w:tcPr>
          <w:p w:rsidR="00FB5C78" w:rsidRPr="00FB5C78" w:rsidRDefault="00FB5C78" w:rsidP="00FF5AB8">
            <w:pPr>
              <w:spacing w:after="120"/>
              <w:jc w:val="right"/>
              <w:cnfStyle w:val="000000100000" w:firstRow="0" w:lastRow="0" w:firstColumn="0" w:lastColumn="0" w:oddVBand="0" w:evenVBand="0" w:oddHBand="1" w:evenHBand="0" w:firstRowFirstColumn="0" w:firstRowLastColumn="0" w:lastRowFirstColumn="0" w:lastRowLastColumn="0"/>
              <w:rPr>
                <w:sz w:val="20"/>
                <w:szCs w:val="20"/>
              </w:rPr>
            </w:pPr>
            <w:r w:rsidRPr="00FB5C78">
              <w:rPr>
                <w:sz w:val="20"/>
                <w:szCs w:val="20"/>
              </w:rPr>
              <w:t>1,51</w:t>
            </w:r>
          </w:p>
        </w:tc>
        <w:tc>
          <w:tcPr>
            <w:tcW w:w="226" w:type="dxa"/>
            <w:shd w:val="clear" w:color="auto" w:fill="auto"/>
            <w:hideMark/>
          </w:tcPr>
          <w:p w:rsidR="00FB5C78" w:rsidRPr="00FB5C78" w:rsidRDefault="00FB5C78" w:rsidP="00FF5AB8">
            <w:pPr>
              <w:spacing w:after="120"/>
              <w:jc w:val="right"/>
              <w:cnfStyle w:val="000000100000" w:firstRow="0" w:lastRow="0" w:firstColumn="0" w:lastColumn="0" w:oddVBand="0" w:evenVBand="0" w:oddHBand="1" w:evenHBand="0" w:firstRowFirstColumn="0" w:firstRowLastColumn="0" w:lastRowFirstColumn="0" w:lastRowLastColumn="0"/>
              <w:rPr>
                <w:sz w:val="20"/>
                <w:szCs w:val="20"/>
              </w:rPr>
            </w:pPr>
            <w:r w:rsidRPr="00FB5C78">
              <w:rPr>
                <w:sz w:val="20"/>
                <w:szCs w:val="20"/>
              </w:rPr>
              <w:t> </w:t>
            </w:r>
          </w:p>
        </w:tc>
        <w:tc>
          <w:tcPr>
            <w:tcW w:w="778" w:type="dxa"/>
            <w:shd w:val="clear" w:color="auto" w:fill="auto"/>
            <w:hideMark/>
          </w:tcPr>
          <w:p w:rsidR="00FB5C78" w:rsidRPr="00FB5C78" w:rsidRDefault="00FB5C78" w:rsidP="00FF5AB8">
            <w:pPr>
              <w:spacing w:after="120"/>
              <w:jc w:val="right"/>
              <w:cnfStyle w:val="000000100000" w:firstRow="0" w:lastRow="0" w:firstColumn="0" w:lastColumn="0" w:oddVBand="0" w:evenVBand="0" w:oddHBand="1" w:evenHBand="0" w:firstRowFirstColumn="0" w:firstRowLastColumn="0" w:lastRowFirstColumn="0" w:lastRowLastColumn="0"/>
              <w:rPr>
                <w:sz w:val="20"/>
                <w:szCs w:val="20"/>
              </w:rPr>
            </w:pPr>
            <w:r w:rsidRPr="00FB5C78">
              <w:rPr>
                <w:sz w:val="20"/>
                <w:szCs w:val="20"/>
              </w:rPr>
              <w:t>-7,46</w:t>
            </w:r>
          </w:p>
        </w:tc>
        <w:tc>
          <w:tcPr>
            <w:tcW w:w="259" w:type="dxa"/>
            <w:shd w:val="clear" w:color="auto" w:fill="auto"/>
            <w:hideMark/>
          </w:tcPr>
          <w:p w:rsidR="00FB5C78" w:rsidRPr="00FB5C78" w:rsidRDefault="00FB5C78" w:rsidP="00FF5AB8">
            <w:pPr>
              <w:spacing w:after="120"/>
              <w:jc w:val="right"/>
              <w:cnfStyle w:val="000000100000" w:firstRow="0" w:lastRow="0" w:firstColumn="0" w:lastColumn="0" w:oddVBand="0" w:evenVBand="0" w:oddHBand="1" w:evenHBand="0" w:firstRowFirstColumn="0" w:firstRowLastColumn="0" w:lastRowFirstColumn="0" w:lastRowLastColumn="0"/>
              <w:rPr>
                <w:sz w:val="20"/>
                <w:szCs w:val="20"/>
              </w:rPr>
            </w:pPr>
            <w:r w:rsidRPr="00FB5C78">
              <w:rPr>
                <w:sz w:val="20"/>
                <w:szCs w:val="20"/>
              </w:rPr>
              <w:t> </w:t>
            </w:r>
          </w:p>
        </w:tc>
        <w:tc>
          <w:tcPr>
            <w:tcW w:w="775" w:type="dxa"/>
            <w:shd w:val="clear" w:color="auto" w:fill="auto"/>
            <w:hideMark/>
          </w:tcPr>
          <w:p w:rsidR="00FB5C78" w:rsidRPr="00FB5C78" w:rsidRDefault="00FB5C78" w:rsidP="00FF5AB8">
            <w:pPr>
              <w:spacing w:after="120"/>
              <w:jc w:val="right"/>
              <w:cnfStyle w:val="000000100000" w:firstRow="0" w:lastRow="0" w:firstColumn="0" w:lastColumn="0" w:oddVBand="0" w:evenVBand="0" w:oddHBand="1" w:evenHBand="0" w:firstRowFirstColumn="0" w:firstRowLastColumn="0" w:lastRowFirstColumn="0" w:lastRowLastColumn="0"/>
              <w:rPr>
                <w:sz w:val="20"/>
                <w:szCs w:val="20"/>
              </w:rPr>
            </w:pPr>
            <w:r w:rsidRPr="00FB5C78">
              <w:rPr>
                <w:sz w:val="20"/>
                <w:szCs w:val="20"/>
              </w:rPr>
              <w:t>0,62</w:t>
            </w:r>
          </w:p>
        </w:tc>
        <w:tc>
          <w:tcPr>
            <w:tcW w:w="274" w:type="dxa"/>
            <w:shd w:val="clear" w:color="auto" w:fill="auto"/>
            <w:hideMark/>
          </w:tcPr>
          <w:p w:rsidR="00FB5C78" w:rsidRPr="00FB5C78" w:rsidRDefault="00FB5C78" w:rsidP="00FF5AB8">
            <w:pPr>
              <w:spacing w:after="120"/>
              <w:jc w:val="right"/>
              <w:cnfStyle w:val="000000100000" w:firstRow="0" w:lastRow="0" w:firstColumn="0" w:lastColumn="0" w:oddVBand="0" w:evenVBand="0" w:oddHBand="1" w:evenHBand="0" w:firstRowFirstColumn="0" w:firstRowLastColumn="0" w:lastRowFirstColumn="0" w:lastRowLastColumn="0"/>
              <w:rPr>
                <w:sz w:val="20"/>
                <w:szCs w:val="20"/>
              </w:rPr>
            </w:pPr>
            <w:r w:rsidRPr="00FB5C78">
              <w:rPr>
                <w:sz w:val="20"/>
                <w:szCs w:val="20"/>
              </w:rPr>
              <w:t> </w:t>
            </w:r>
          </w:p>
        </w:tc>
      </w:tr>
      <w:tr w:rsidR="00FB5C78" w:rsidRPr="00FB5C78" w:rsidTr="00FB5C78">
        <w:trPr>
          <w:trHeight w:hRule="exact" w:val="306"/>
          <w:jc w:val="center"/>
        </w:trPr>
        <w:tc>
          <w:tcPr>
            <w:cnfStyle w:val="001000000000" w:firstRow="0" w:lastRow="0" w:firstColumn="1" w:lastColumn="0" w:oddVBand="0" w:evenVBand="0" w:oddHBand="0" w:evenHBand="0" w:firstRowFirstColumn="0" w:firstRowLastColumn="0" w:lastRowFirstColumn="0" w:lastRowLastColumn="0"/>
            <w:tcW w:w="1718" w:type="dxa"/>
            <w:shd w:val="clear" w:color="auto" w:fill="auto"/>
            <w:hideMark/>
          </w:tcPr>
          <w:p w:rsidR="00FB5C78" w:rsidRPr="00FB5C78" w:rsidRDefault="00FB5C78" w:rsidP="00FF5AB8">
            <w:pPr>
              <w:spacing w:after="120"/>
              <w:jc w:val="both"/>
              <w:rPr>
                <w:b w:val="0"/>
                <w:bCs w:val="0"/>
                <w:sz w:val="20"/>
                <w:szCs w:val="20"/>
              </w:rPr>
            </w:pPr>
            <w:proofErr w:type="spellStart"/>
            <w:r w:rsidRPr="00FB5C78">
              <w:rPr>
                <w:b w:val="0"/>
                <w:bCs w:val="0"/>
                <w:sz w:val="20"/>
                <w:szCs w:val="20"/>
              </w:rPr>
              <w:t>Equity</w:t>
            </w:r>
            <w:proofErr w:type="spellEnd"/>
            <w:r w:rsidRPr="00FB5C78">
              <w:rPr>
                <w:b w:val="0"/>
                <w:bCs w:val="0"/>
                <w:sz w:val="20"/>
                <w:szCs w:val="20"/>
              </w:rPr>
              <w:t xml:space="preserve"> Index</w:t>
            </w:r>
          </w:p>
        </w:tc>
        <w:tc>
          <w:tcPr>
            <w:tcW w:w="697" w:type="dxa"/>
            <w:shd w:val="clear" w:color="auto" w:fill="auto"/>
            <w:hideMark/>
          </w:tcPr>
          <w:p w:rsidR="00FB5C78" w:rsidRPr="00FB5C78" w:rsidRDefault="00FB5C78" w:rsidP="00FF5AB8">
            <w:pPr>
              <w:spacing w:after="120"/>
              <w:jc w:val="right"/>
              <w:cnfStyle w:val="000000000000" w:firstRow="0" w:lastRow="0" w:firstColumn="0" w:lastColumn="0" w:oddVBand="0" w:evenVBand="0" w:oddHBand="0" w:evenHBand="0" w:firstRowFirstColumn="0" w:firstRowLastColumn="0" w:lastRowFirstColumn="0" w:lastRowLastColumn="0"/>
              <w:rPr>
                <w:sz w:val="20"/>
                <w:szCs w:val="20"/>
              </w:rPr>
            </w:pPr>
            <w:r w:rsidRPr="00FB5C78">
              <w:rPr>
                <w:sz w:val="20"/>
                <w:szCs w:val="20"/>
              </w:rPr>
              <w:t>-2,15</w:t>
            </w:r>
          </w:p>
        </w:tc>
        <w:tc>
          <w:tcPr>
            <w:tcW w:w="243" w:type="dxa"/>
            <w:shd w:val="clear" w:color="auto" w:fill="auto"/>
            <w:hideMark/>
          </w:tcPr>
          <w:p w:rsidR="00FB5C78" w:rsidRPr="00FB5C78" w:rsidRDefault="00FB5C78" w:rsidP="00FF5AB8">
            <w:pPr>
              <w:spacing w:after="120"/>
              <w:jc w:val="right"/>
              <w:cnfStyle w:val="000000000000" w:firstRow="0" w:lastRow="0" w:firstColumn="0" w:lastColumn="0" w:oddVBand="0" w:evenVBand="0" w:oddHBand="0" w:evenHBand="0" w:firstRowFirstColumn="0" w:firstRowLastColumn="0" w:lastRowFirstColumn="0" w:lastRowLastColumn="0"/>
              <w:rPr>
                <w:sz w:val="20"/>
                <w:szCs w:val="20"/>
              </w:rPr>
            </w:pPr>
            <w:r w:rsidRPr="00FB5C78">
              <w:rPr>
                <w:sz w:val="20"/>
                <w:szCs w:val="20"/>
              </w:rPr>
              <w:t> </w:t>
            </w:r>
          </w:p>
        </w:tc>
        <w:tc>
          <w:tcPr>
            <w:tcW w:w="775" w:type="dxa"/>
            <w:shd w:val="clear" w:color="auto" w:fill="auto"/>
            <w:hideMark/>
          </w:tcPr>
          <w:p w:rsidR="00FB5C78" w:rsidRPr="00FB5C78" w:rsidRDefault="00FB5C78" w:rsidP="00FF5AB8">
            <w:pPr>
              <w:spacing w:after="120"/>
              <w:jc w:val="right"/>
              <w:cnfStyle w:val="000000000000" w:firstRow="0" w:lastRow="0" w:firstColumn="0" w:lastColumn="0" w:oddVBand="0" w:evenVBand="0" w:oddHBand="0" w:evenHBand="0" w:firstRowFirstColumn="0" w:firstRowLastColumn="0" w:lastRowFirstColumn="0" w:lastRowLastColumn="0"/>
              <w:rPr>
                <w:sz w:val="20"/>
                <w:szCs w:val="20"/>
              </w:rPr>
            </w:pPr>
            <w:r w:rsidRPr="00FB5C78">
              <w:rPr>
                <w:sz w:val="20"/>
                <w:szCs w:val="20"/>
              </w:rPr>
              <w:t>-1,57</w:t>
            </w:r>
          </w:p>
        </w:tc>
        <w:tc>
          <w:tcPr>
            <w:tcW w:w="203" w:type="dxa"/>
            <w:shd w:val="clear" w:color="auto" w:fill="auto"/>
            <w:hideMark/>
          </w:tcPr>
          <w:p w:rsidR="00FB5C78" w:rsidRPr="00FB5C78" w:rsidRDefault="00FB5C78" w:rsidP="00FF5AB8">
            <w:pPr>
              <w:spacing w:after="120"/>
              <w:jc w:val="right"/>
              <w:cnfStyle w:val="000000000000" w:firstRow="0" w:lastRow="0" w:firstColumn="0" w:lastColumn="0" w:oddVBand="0" w:evenVBand="0" w:oddHBand="0" w:evenHBand="0" w:firstRowFirstColumn="0" w:firstRowLastColumn="0" w:lastRowFirstColumn="0" w:lastRowLastColumn="0"/>
              <w:rPr>
                <w:sz w:val="20"/>
                <w:szCs w:val="20"/>
              </w:rPr>
            </w:pPr>
            <w:r w:rsidRPr="00FB5C78">
              <w:rPr>
                <w:sz w:val="20"/>
                <w:szCs w:val="20"/>
              </w:rPr>
              <w:t> </w:t>
            </w:r>
          </w:p>
        </w:tc>
        <w:tc>
          <w:tcPr>
            <w:tcW w:w="777" w:type="dxa"/>
            <w:shd w:val="clear" w:color="auto" w:fill="auto"/>
            <w:hideMark/>
          </w:tcPr>
          <w:p w:rsidR="00FB5C78" w:rsidRPr="00FB5C78" w:rsidRDefault="00FB5C78" w:rsidP="00FF5AB8">
            <w:pPr>
              <w:spacing w:after="120"/>
              <w:jc w:val="right"/>
              <w:cnfStyle w:val="000000000000" w:firstRow="0" w:lastRow="0" w:firstColumn="0" w:lastColumn="0" w:oddVBand="0" w:evenVBand="0" w:oddHBand="0" w:evenHBand="0" w:firstRowFirstColumn="0" w:firstRowLastColumn="0" w:lastRowFirstColumn="0" w:lastRowLastColumn="0"/>
              <w:rPr>
                <w:sz w:val="20"/>
                <w:szCs w:val="20"/>
              </w:rPr>
            </w:pPr>
            <w:r w:rsidRPr="00FB5C78">
              <w:rPr>
                <w:sz w:val="20"/>
                <w:szCs w:val="20"/>
              </w:rPr>
              <w:t>0,09</w:t>
            </w:r>
          </w:p>
        </w:tc>
        <w:tc>
          <w:tcPr>
            <w:tcW w:w="226" w:type="dxa"/>
            <w:shd w:val="clear" w:color="auto" w:fill="auto"/>
            <w:hideMark/>
          </w:tcPr>
          <w:p w:rsidR="00FB5C78" w:rsidRPr="00FB5C78" w:rsidRDefault="00FB5C78" w:rsidP="00FF5AB8">
            <w:pPr>
              <w:spacing w:after="120"/>
              <w:jc w:val="right"/>
              <w:cnfStyle w:val="000000000000" w:firstRow="0" w:lastRow="0" w:firstColumn="0" w:lastColumn="0" w:oddVBand="0" w:evenVBand="0" w:oddHBand="0" w:evenHBand="0" w:firstRowFirstColumn="0" w:firstRowLastColumn="0" w:lastRowFirstColumn="0" w:lastRowLastColumn="0"/>
              <w:rPr>
                <w:sz w:val="20"/>
                <w:szCs w:val="20"/>
              </w:rPr>
            </w:pPr>
            <w:r w:rsidRPr="00FB5C78">
              <w:rPr>
                <w:sz w:val="20"/>
                <w:szCs w:val="20"/>
              </w:rPr>
              <w:t> </w:t>
            </w:r>
          </w:p>
        </w:tc>
        <w:tc>
          <w:tcPr>
            <w:tcW w:w="775" w:type="dxa"/>
            <w:shd w:val="clear" w:color="auto" w:fill="auto"/>
            <w:hideMark/>
          </w:tcPr>
          <w:p w:rsidR="00FB5C78" w:rsidRPr="00FB5C78" w:rsidRDefault="00FB5C78" w:rsidP="00FF5AB8">
            <w:pPr>
              <w:spacing w:after="120"/>
              <w:jc w:val="right"/>
              <w:cnfStyle w:val="000000000000" w:firstRow="0" w:lastRow="0" w:firstColumn="0" w:lastColumn="0" w:oddVBand="0" w:evenVBand="0" w:oddHBand="0" w:evenHBand="0" w:firstRowFirstColumn="0" w:firstRowLastColumn="0" w:lastRowFirstColumn="0" w:lastRowLastColumn="0"/>
              <w:rPr>
                <w:sz w:val="20"/>
                <w:szCs w:val="20"/>
              </w:rPr>
            </w:pPr>
            <w:r w:rsidRPr="00FB5C78">
              <w:rPr>
                <w:sz w:val="20"/>
                <w:szCs w:val="20"/>
              </w:rPr>
              <w:t>-1,48</w:t>
            </w:r>
          </w:p>
        </w:tc>
        <w:tc>
          <w:tcPr>
            <w:tcW w:w="226" w:type="dxa"/>
            <w:shd w:val="clear" w:color="auto" w:fill="auto"/>
            <w:hideMark/>
          </w:tcPr>
          <w:p w:rsidR="00FB5C78" w:rsidRPr="00FB5C78" w:rsidRDefault="00FB5C78" w:rsidP="00FF5AB8">
            <w:pPr>
              <w:spacing w:after="120"/>
              <w:jc w:val="right"/>
              <w:cnfStyle w:val="000000000000" w:firstRow="0" w:lastRow="0" w:firstColumn="0" w:lastColumn="0" w:oddVBand="0" w:evenVBand="0" w:oddHBand="0" w:evenHBand="0" w:firstRowFirstColumn="0" w:firstRowLastColumn="0" w:lastRowFirstColumn="0" w:lastRowLastColumn="0"/>
              <w:rPr>
                <w:sz w:val="20"/>
                <w:szCs w:val="20"/>
              </w:rPr>
            </w:pPr>
            <w:r w:rsidRPr="00FB5C78">
              <w:rPr>
                <w:sz w:val="20"/>
                <w:szCs w:val="20"/>
              </w:rPr>
              <w:t> </w:t>
            </w:r>
          </w:p>
        </w:tc>
        <w:tc>
          <w:tcPr>
            <w:tcW w:w="778" w:type="dxa"/>
            <w:shd w:val="clear" w:color="auto" w:fill="auto"/>
            <w:hideMark/>
          </w:tcPr>
          <w:p w:rsidR="00FB5C78" w:rsidRPr="00FB5C78" w:rsidRDefault="00FB5C78" w:rsidP="00FF5AB8">
            <w:pPr>
              <w:spacing w:after="120"/>
              <w:jc w:val="right"/>
              <w:cnfStyle w:val="000000000000" w:firstRow="0" w:lastRow="0" w:firstColumn="0" w:lastColumn="0" w:oddVBand="0" w:evenVBand="0" w:oddHBand="0" w:evenHBand="0" w:firstRowFirstColumn="0" w:firstRowLastColumn="0" w:lastRowFirstColumn="0" w:lastRowLastColumn="0"/>
              <w:rPr>
                <w:sz w:val="20"/>
                <w:szCs w:val="20"/>
              </w:rPr>
            </w:pPr>
            <w:r w:rsidRPr="00FB5C78">
              <w:rPr>
                <w:sz w:val="20"/>
                <w:szCs w:val="20"/>
              </w:rPr>
              <w:t>-0,46</w:t>
            </w:r>
          </w:p>
        </w:tc>
        <w:tc>
          <w:tcPr>
            <w:tcW w:w="259" w:type="dxa"/>
            <w:shd w:val="clear" w:color="auto" w:fill="auto"/>
            <w:hideMark/>
          </w:tcPr>
          <w:p w:rsidR="00FB5C78" w:rsidRPr="00FB5C78" w:rsidRDefault="00FB5C78" w:rsidP="00FF5AB8">
            <w:pPr>
              <w:spacing w:after="120"/>
              <w:jc w:val="right"/>
              <w:cnfStyle w:val="000000000000" w:firstRow="0" w:lastRow="0" w:firstColumn="0" w:lastColumn="0" w:oddVBand="0" w:evenVBand="0" w:oddHBand="0" w:evenHBand="0" w:firstRowFirstColumn="0" w:firstRowLastColumn="0" w:lastRowFirstColumn="0" w:lastRowLastColumn="0"/>
              <w:rPr>
                <w:sz w:val="20"/>
                <w:szCs w:val="20"/>
              </w:rPr>
            </w:pPr>
            <w:r w:rsidRPr="00FB5C78">
              <w:rPr>
                <w:sz w:val="20"/>
                <w:szCs w:val="20"/>
              </w:rPr>
              <w:t>*</w:t>
            </w:r>
          </w:p>
        </w:tc>
        <w:tc>
          <w:tcPr>
            <w:tcW w:w="775" w:type="dxa"/>
            <w:shd w:val="clear" w:color="auto" w:fill="auto"/>
            <w:hideMark/>
          </w:tcPr>
          <w:p w:rsidR="00FB5C78" w:rsidRPr="00FB5C78" w:rsidRDefault="00FB5C78" w:rsidP="00FF5AB8">
            <w:pPr>
              <w:spacing w:after="120"/>
              <w:jc w:val="right"/>
              <w:cnfStyle w:val="000000000000" w:firstRow="0" w:lastRow="0" w:firstColumn="0" w:lastColumn="0" w:oddVBand="0" w:evenVBand="0" w:oddHBand="0" w:evenHBand="0" w:firstRowFirstColumn="0" w:firstRowLastColumn="0" w:lastRowFirstColumn="0" w:lastRowLastColumn="0"/>
              <w:rPr>
                <w:sz w:val="20"/>
                <w:szCs w:val="20"/>
              </w:rPr>
            </w:pPr>
            <w:r w:rsidRPr="00FB5C78">
              <w:rPr>
                <w:sz w:val="20"/>
                <w:szCs w:val="20"/>
              </w:rPr>
              <w:t>-1,93</w:t>
            </w:r>
          </w:p>
        </w:tc>
        <w:tc>
          <w:tcPr>
            <w:tcW w:w="274" w:type="dxa"/>
            <w:shd w:val="clear" w:color="auto" w:fill="auto"/>
            <w:hideMark/>
          </w:tcPr>
          <w:p w:rsidR="00FB5C78" w:rsidRPr="00FB5C78" w:rsidRDefault="00FB5C78" w:rsidP="00FF5AB8">
            <w:pPr>
              <w:spacing w:after="120"/>
              <w:jc w:val="right"/>
              <w:cnfStyle w:val="000000000000" w:firstRow="0" w:lastRow="0" w:firstColumn="0" w:lastColumn="0" w:oddVBand="0" w:evenVBand="0" w:oddHBand="0" w:evenHBand="0" w:firstRowFirstColumn="0" w:firstRowLastColumn="0" w:lastRowFirstColumn="0" w:lastRowLastColumn="0"/>
              <w:rPr>
                <w:sz w:val="20"/>
                <w:szCs w:val="20"/>
              </w:rPr>
            </w:pPr>
            <w:r w:rsidRPr="00FB5C78">
              <w:rPr>
                <w:sz w:val="20"/>
                <w:szCs w:val="20"/>
              </w:rPr>
              <w:t> </w:t>
            </w:r>
          </w:p>
        </w:tc>
      </w:tr>
      <w:tr w:rsidR="00FB5C78" w:rsidRPr="00FB5C78" w:rsidTr="00FB5C78">
        <w:trPr>
          <w:cnfStyle w:val="000000100000" w:firstRow="0" w:lastRow="0" w:firstColumn="0" w:lastColumn="0" w:oddVBand="0" w:evenVBand="0" w:oddHBand="1" w:evenHBand="0" w:firstRowFirstColumn="0" w:firstRowLastColumn="0" w:lastRowFirstColumn="0" w:lastRowLastColumn="0"/>
          <w:trHeight w:hRule="exact" w:val="500"/>
          <w:jc w:val="center"/>
        </w:trPr>
        <w:tc>
          <w:tcPr>
            <w:cnfStyle w:val="001000000000" w:firstRow="0" w:lastRow="0" w:firstColumn="1" w:lastColumn="0" w:oddVBand="0" w:evenVBand="0" w:oddHBand="0" w:evenHBand="0" w:firstRowFirstColumn="0" w:firstRowLastColumn="0" w:lastRowFirstColumn="0" w:lastRowLastColumn="0"/>
            <w:tcW w:w="1718" w:type="dxa"/>
            <w:shd w:val="clear" w:color="auto" w:fill="auto"/>
            <w:hideMark/>
          </w:tcPr>
          <w:p w:rsidR="00FB5C78" w:rsidRPr="00FB5C78" w:rsidRDefault="00FB5C78" w:rsidP="00FF5AB8">
            <w:pPr>
              <w:spacing w:after="120"/>
              <w:jc w:val="both"/>
              <w:rPr>
                <w:b w:val="0"/>
                <w:bCs w:val="0"/>
                <w:sz w:val="20"/>
                <w:szCs w:val="20"/>
              </w:rPr>
            </w:pPr>
            <w:proofErr w:type="spellStart"/>
            <w:r w:rsidRPr="00FB5C78">
              <w:rPr>
                <w:b w:val="0"/>
                <w:bCs w:val="0"/>
                <w:sz w:val="20"/>
                <w:szCs w:val="20"/>
              </w:rPr>
              <w:t>Balance</w:t>
            </w:r>
            <w:proofErr w:type="spellEnd"/>
            <w:r w:rsidRPr="00FB5C78">
              <w:rPr>
                <w:b w:val="0"/>
                <w:bCs w:val="0"/>
                <w:sz w:val="20"/>
                <w:szCs w:val="20"/>
              </w:rPr>
              <w:t xml:space="preserve"> of </w:t>
            </w:r>
            <w:proofErr w:type="spellStart"/>
            <w:r w:rsidRPr="00FB5C78">
              <w:rPr>
                <w:b w:val="0"/>
                <w:bCs w:val="0"/>
                <w:sz w:val="20"/>
                <w:szCs w:val="20"/>
              </w:rPr>
              <w:t>Payment</w:t>
            </w:r>
            <w:proofErr w:type="spellEnd"/>
            <w:r w:rsidRPr="00FB5C78">
              <w:rPr>
                <w:b w:val="0"/>
                <w:bCs w:val="0"/>
                <w:sz w:val="20"/>
                <w:szCs w:val="20"/>
              </w:rPr>
              <w:t xml:space="preserve"> as  of GDP</w:t>
            </w:r>
          </w:p>
        </w:tc>
        <w:tc>
          <w:tcPr>
            <w:tcW w:w="697" w:type="dxa"/>
            <w:shd w:val="clear" w:color="auto" w:fill="auto"/>
            <w:hideMark/>
          </w:tcPr>
          <w:p w:rsidR="00FB5C78" w:rsidRPr="00FB5C78" w:rsidRDefault="00FB5C78" w:rsidP="00FF5AB8">
            <w:pPr>
              <w:spacing w:after="120"/>
              <w:jc w:val="right"/>
              <w:cnfStyle w:val="000000100000" w:firstRow="0" w:lastRow="0" w:firstColumn="0" w:lastColumn="0" w:oddVBand="0" w:evenVBand="0" w:oddHBand="1" w:evenHBand="0" w:firstRowFirstColumn="0" w:firstRowLastColumn="0" w:lastRowFirstColumn="0" w:lastRowLastColumn="0"/>
              <w:rPr>
                <w:sz w:val="20"/>
                <w:szCs w:val="20"/>
              </w:rPr>
            </w:pPr>
            <w:r w:rsidRPr="00FB5C78">
              <w:rPr>
                <w:sz w:val="20"/>
                <w:szCs w:val="20"/>
              </w:rPr>
              <w:t>1,48</w:t>
            </w:r>
          </w:p>
        </w:tc>
        <w:tc>
          <w:tcPr>
            <w:tcW w:w="243" w:type="dxa"/>
            <w:shd w:val="clear" w:color="auto" w:fill="auto"/>
            <w:hideMark/>
          </w:tcPr>
          <w:p w:rsidR="00FB5C78" w:rsidRPr="00FB5C78" w:rsidRDefault="00FB5C78" w:rsidP="00FF5AB8">
            <w:pPr>
              <w:spacing w:after="120"/>
              <w:jc w:val="right"/>
              <w:cnfStyle w:val="000000100000" w:firstRow="0" w:lastRow="0" w:firstColumn="0" w:lastColumn="0" w:oddVBand="0" w:evenVBand="0" w:oddHBand="1" w:evenHBand="0" w:firstRowFirstColumn="0" w:firstRowLastColumn="0" w:lastRowFirstColumn="0" w:lastRowLastColumn="0"/>
              <w:rPr>
                <w:sz w:val="20"/>
                <w:szCs w:val="20"/>
              </w:rPr>
            </w:pPr>
            <w:r w:rsidRPr="00FB5C78">
              <w:rPr>
                <w:sz w:val="20"/>
                <w:szCs w:val="20"/>
              </w:rPr>
              <w:t>*</w:t>
            </w:r>
          </w:p>
        </w:tc>
        <w:tc>
          <w:tcPr>
            <w:tcW w:w="775" w:type="dxa"/>
            <w:shd w:val="clear" w:color="auto" w:fill="auto"/>
            <w:hideMark/>
          </w:tcPr>
          <w:p w:rsidR="00FB5C78" w:rsidRPr="00FB5C78" w:rsidRDefault="00FB5C78" w:rsidP="00FF5AB8">
            <w:pPr>
              <w:spacing w:after="120"/>
              <w:jc w:val="right"/>
              <w:cnfStyle w:val="000000100000" w:firstRow="0" w:lastRow="0" w:firstColumn="0" w:lastColumn="0" w:oddVBand="0" w:evenVBand="0" w:oddHBand="1" w:evenHBand="0" w:firstRowFirstColumn="0" w:firstRowLastColumn="0" w:lastRowFirstColumn="0" w:lastRowLastColumn="0"/>
              <w:rPr>
                <w:sz w:val="20"/>
                <w:szCs w:val="20"/>
              </w:rPr>
            </w:pPr>
            <w:r w:rsidRPr="00FB5C78">
              <w:rPr>
                <w:sz w:val="20"/>
                <w:szCs w:val="20"/>
              </w:rPr>
              <w:t>-2,69</w:t>
            </w:r>
          </w:p>
        </w:tc>
        <w:tc>
          <w:tcPr>
            <w:tcW w:w="203" w:type="dxa"/>
            <w:shd w:val="clear" w:color="auto" w:fill="auto"/>
            <w:hideMark/>
          </w:tcPr>
          <w:p w:rsidR="00FB5C78" w:rsidRPr="00FB5C78" w:rsidRDefault="00FB5C78" w:rsidP="00FF5AB8">
            <w:pPr>
              <w:spacing w:after="120"/>
              <w:jc w:val="right"/>
              <w:cnfStyle w:val="000000100000" w:firstRow="0" w:lastRow="0" w:firstColumn="0" w:lastColumn="0" w:oddVBand="0" w:evenVBand="0" w:oddHBand="1" w:evenHBand="0" w:firstRowFirstColumn="0" w:firstRowLastColumn="0" w:lastRowFirstColumn="0" w:lastRowLastColumn="0"/>
              <w:rPr>
                <w:sz w:val="20"/>
                <w:szCs w:val="20"/>
              </w:rPr>
            </w:pPr>
            <w:r w:rsidRPr="00FB5C78">
              <w:rPr>
                <w:sz w:val="20"/>
                <w:szCs w:val="20"/>
              </w:rPr>
              <w:t> </w:t>
            </w:r>
          </w:p>
        </w:tc>
        <w:tc>
          <w:tcPr>
            <w:tcW w:w="777" w:type="dxa"/>
            <w:shd w:val="clear" w:color="auto" w:fill="auto"/>
            <w:hideMark/>
          </w:tcPr>
          <w:p w:rsidR="00FB5C78" w:rsidRPr="00FB5C78" w:rsidRDefault="00FB5C78" w:rsidP="00FF5AB8">
            <w:pPr>
              <w:spacing w:after="120"/>
              <w:jc w:val="right"/>
              <w:cnfStyle w:val="000000100000" w:firstRow="0" w:lastRow="0" w:firstColumn="0" w:lastColumn="0" w:oddVBand="0" w:evenVBand="0" w:oddHBand="1" w:evenHBand="0" w:firstRowFirstColumn="0" w:firstRowLastColumn="0" w:lastRowFirstColumn="0" w:lastRowLastColumn="0"/>
              <w:rPr>
                <w:sz w:val="20"/>
                <w:szCs w:val="20"/>
              </w:rPr>
            </w:pPr>
            <w:r w:rsidRPr="00FB5C78">
              <w:rPr>
                <w:sz w:val="20"/>
                <w:szCs w:val="20"/>
              </w:rPr>
              <w:t>-0,82</w:t>
            </w:r>
          </w:p>
        </w:tc>
        <w:tc>
          <w:tcPr>
            <w:tcW w:w="226" w:type="dxa"/>
            <w:shd w:val="clear" w:color="auto" w:fill="auto"/>
            <w:hideMark/>
          </w:tcPr>
          <w:p w:rsidR="00FB5C78" w:rsidRPr="00FB5C78" w:rsidRDefault="00FB5C78" w:rsidP="00FF5AB8">
            <w:pPr>
              <w:spacing w:after="120"/>
              <w:jc w:val="right"/>
              <w:cnfStyle w:val="000000100000" w:firstRow="0" w:lastRow="0" w:firstColumn="0" w:lastColumn="0" w:oddVBand="0" w:evenVBand="0" w:oddHBand="1" w:evenHBand="0" w:firstRowFirstColumn="0" w:firstRowLastColumn="0" w:lastRowFirstColumn="0" w:lastRowLastColumn="0"/>
              <w:rPr>
                <w:sz w:val="20"/>
                <w:szCs w:val="20"/>
              </w:rPr>
            </w:pPr>
            <w:r w:rsidRPr="00FB5C78">
              <w:rPr>
                <w:sz w:val="20"/>
                <w:szCs w:val="20"/>
              </w:rPr>
              <w:t>*</w:t>
            </w:r>
          </w:p>
        </w:tc>
        <w:tc>
          <w:tcPr>
            <w:tcW w:w="775" w:type="dxa"/>
            <w:shd w:val="clear" w:color="auto" w:fill="auto"/>
            <w:hideMark/>
          </w:tcPr>
          <w:p w:rsidR="00FB5C78" w:rsidRPr="00FB5C78" w:rsidRDefault="00FB5C78" w:rsidP="00FF5AB8">
            <w:pPr>
              <w:spacing w:after="120"/>
              <w:jc w:val="right"/>
              <w:cnfStyle w:val="000000100000" w:firstRow="0" w:lastRow="0" w:firstColumn="0" w:lastColumn="0" w:oddVBand="0" w:evenVBand="0" w:oddHBand="1" w:evenHBand="0" w:firstRowFirstColumn="0" w:firstRowLastColumn="0" w:lastRowFirstColumn="0" w:lastRowLastColumn="0"/>
              <w:rPr>
                <w:sz w:val="20"/>
                <w:szCs w:val="20"/>
              </w:rPr>
            </w:pPr>
            <w:r w:rsidRPr="00FB5C78">
              <w:rPr>
                <w:sz w:val="20"/>
                <w:szCs w:val="20"/>
              </w:rPr>
              <w:t>1,02</w:t>
            </w:r>
          </w:p>
        </w:tc>
        <w:tc>
          <w:tcPr>
            <w:tcW w:w="226" w:type="dxa"/>
            <w:shd w:val="clear" w:color="auto" w:fill="auto"/>
            <w:hideMark/>
          </w:tcPr>
          <w:p w:rsidR="00FB5C78" w:rsidRPr="00FB5C78" w:rsidRDefault="00FB5C78" w:rsidP="00FF5AB8">
            <w:pPr>
              <w:spacing w:after="120"/>
              <w:jc w:val="right"/>
              <w:cnfStyle w:val="000000100000" w:firstRow="0" w:lastRow="0" w:firstColumn="0" w:lastColumn="0" w:oddVBand="0" w:evenVBand="0" w:oddHBand="1" w:evenHBand="0" w:firstRowFirstColumn="0" w:firstRowLastColumn="0" w:lastRowFirstColumn="0" w:lastRowLastColumn="0"/>
              <w:rPr>
                <w:sz w:val="20"/>
                <w:szCs w:val="20"/>
              </w:rPr>
            </w:pPr>
            <w:r w:rsidRPr="00FB5C78">
              <w:rPr>
                <w:sz w:val="20"/>
                <w:szCs w:val="20"/>
              </w:rPr>
              <w:t>*</w:t>
            </w:r>
          </w:p>
        </w:tc>
        <w:tc>
          <w:tcPr>
            <w:tcW w:w="778" w:type="dxa"/>
            <w:shd w:val="clear" w:color="auto" w:fill="auto"/>
            <w:hideMark/>
          </w:tcPr>
          <w:p w:rsidR="00FB5C78" w:rsidRPr="00FB5C78" w:rsidRDefault="00FB5C78" w:rsidP="00FF5AB8">
            <w:pPr>
              <w:spacing w:after="120"/>
              <w:jc w:val="right"/>
              <w:cnfStyle w:val="000000100000" w:firstRow="0" w:lastRow="0" w:firstColumn="0" w:lastColumn="0" w:oddVBand="0" w:evenVBand="0" w:oddHBand="1" w:evenHBand="0" w:firstRowFirstColumn="0" w:firstRowLastColumn="0" w:lastRowFirstColumn="0" w:lastRowLastColumn="0"/>
              <w:rPr>
                <w:sz w:val="20"/>
                <w:szCs w:val="20"/>
              </w:rPr>
            </w:pPr>
            <w:r w:rsidRPr="00FB5C78">
              <w:rPr>
                <w:sz w:val="20"/>
                <w:szCs w:val="20"/>
              </w:rPr>
              <w:t>-2,61</w:t>
            </w:r>
          </w:p>
        </w:tc>
        <w:tc>
          <w:tcPr>
            <w:tcW w:w="259" w:type="dxa"/>
            <w:shd w:val="clear" w:color="auto" w:fill="auto"/>
            <w:hideMark/>
          </w:tcPr>
          <w:p w:rsidR="00FB5C78" w:rsidRPr="00FB5C78" w:rsidRDefault="00FB5C78" w:rsidP="00FF5AB8">
            <w:pPr>
              <w:spacing w:after="120"/>
              <w:jc w:val="right"/>
              <w:cnfStyle w:val="000000100000" w:firstRow="0" w:lastRow="0" w:firstColumn="0" w:lastColumn="0" w:oddVBand="0" w:evenVBand="0" w:oddHBand="1" w:evenHBand="0" w:firstRowFirstColumn="0" w:firstRowLastColumn="0" w:lastRowFirstColumn="0" w:lastRowLastColumn="0"/>
              <w:rPr>
                <w:sz w:val="20"/>
                <w:szCs w:val="20"/>
              </w:rPr>
            </w:pPr>
            <w:r w:rsidRPr="00FB5C78">
              <w:rPr>
                <w:sz w:val="20"/>
                <w:szCs w:val="20"/>
              </w:rPr>
              <w:t> </w:t>
            </w:r>
          </w:p>
        </w:tc>
        <w:tc>
          <w:tcPr>
            <w:tcW w:w="775" w:type="dxa"/>
            <w:shd w:val="clear" w:color="auto" w:fill="auto"/>
            <w:hideMark/>
          </w:tcPr>
          <w:p w:rsidR="00FB5C78" w:rsidRPr="00FB5C78" w:rsidRDefault="00FB5C78" w:rsidP="00FF5AB8">
            <w:pPr>
              <w:spacing w:after="120"/>
              <w:jc w:val="right"/>
              <w:cnfStyle w:val="000000100000" w:firstRow="0" w:lastRow="0" w:firstColumn="0" w:lastColumn="0" w:oddVBand="0" w:evenVBand="0" w:oddHBand="1" w:evenHBand="0" w:firstRowFirstColumn="0" w:firstRowLastColumn="0" w:lastRowFirstColumn="0" w:lastRowLastColumn="0"/>
              <w:rPr>
                <w:sz w:val="20"/>
                <w:szCs w:val="20"/>
              </w:rPr>
            </w:pPr>
            <w:r w:rsidRPr="00FB5C78">
              <w:rPr>
                <w:sz w:val="20"/>
                <w:szCs w:val="20"/>
              </w:rPr>
              <w:t>-1,48</w:t>
            </w:r>
          </w:p>
        </w:tc>
        <w:tc>
          <w:tcPr>
            <w:tcW w:w="274" w:type="dxa"/>
            <w:shd w:val="clear" w:color="auto" w:fill="auto"/>
            <w:hideMark/>
          </w:tcPr>
          <w:p w:rsidR="00FB5C78" w:rsidRPr="00FB5C78" w:rsidRDefault="00FB5C78" w:rsidP="00FF5AB8">
            <w:pPr>
              <w:spacing w:after="120"/>
              <w:jc w:val="right"/>
              <w:cnfStyle w:val="000000100000" w:firstRow="0" w:lastRow="0" w:firstColumn="0" w:lastColumn="0" w:oddVBand="0" w:evenVBand="0" w:oddHBand="1" w:evenHBand="0" w:firstRowFirstColumn="0" w:firstRowLastColumn="0" w:lastRowFirstColumn="0" w:lastRowLastColumn="0"/>
              <w:rPr>
                <w:sz w:val="20"/>
                <w:szCs w:val="20"/>
              </w:rPr>
            </w:pPr>
            <w:r w:rsidRPr="00FB5C78">
              <w:rPr>
                <w:sz w:val="20"/>
                <w:szCs w:val="20"/>
              </w:rPr>
              <w:t>*</w:t>
            </w:r>
          </w:p>
        </w:tc>
      </w:tr>
      <w:tr w:rsidR="00FB5C78" w:rsidRPr="00FB5C78" w:rsidTr="00FB5C78">
        <w:trPr>
          <w:trHeight w:hRule="exact" w:val="306"/>
          <w:jc w:val="center"/>
        </w:trPr>
        <w:tc>
          <w:tcPr>
            <w:cnfStyle w:val="001000000000" w:firstRow="0" w:lastRow="0" w:firstColumn="1" w:lastColumn="0" w:oddVBand="0" w:evenVBand="0" w:oddHBand="0" w:evenHBand="0" w:firstRowFirstColumn="0" w:firstRowLastColumn="0" w:lastRowFirstColumn="0" w:lastRowLastColumn="0"/>
            <w:tcW w:w="1718" w:type="dxa"/>
            <w:shd w:val="clear" w:color="auto" w:fill="auto"/>
            <w:hideMark/>
          </w:tcPr>
          <w:p w:rsidR="00FB5C78" w:rsidRPr="00FB5C78" w:rsidRDefault="00FB5C78" w:rsidP="00FF5AB8">
            <w:pPr>
              <w:spacing w:after="120"/>
              <w:jc w:val="both"/>
              <w:rPr>
                <w:b w:val="0"/>
                <w:bCs w:val="0"/>
                <w:sz w:val="20"/>
                <w:szCs w:val="20"/>
              </w:rPr>
            </w:pPr>
            <w:r w:rsidRPr="00FB5C78">
              <w:rPr>
                <w:b w:val="0"/>
                <w:bCs w:val="0"/>
                <w:sz w:val="20"/>
                <w:szCs w:val="20"/>
              </w:rPr>
              <w:t> </w:t>
            </w:r>
          </w:p>
        </w:tc>
        <w:tc>
          <w:tcPr>
            <w:tcW w:w="697" w:type="dxa"/>
            <w:shd w:val="clear" w:color="auto" w:fill="auto"/>
            <w:hideMark/>
          </w:tcPr>
          <w:p w:rsidR="00FB5C78" w:rsidRPr="00FB5C78" w:rsidRDefault="00FB5C78" w:rsidP="00FF5AB8">
            <w:pPr>
              <w:spacing w:after="120"/>
              <w:jc w:val="right"/>
              <w:cnfStyle w:val="000000000000" w:firstRow="0" w:lastRow="0" w:firstColumn="0" w:lastColumn="0" w:oddVBand="0" w:evenVBand="0" w:oddHBand="0" w:evenHBand="0" w:firstRowFirstColumn="0" w:firstRowLastColumn="0" w:lastRowFirstColumn="0" w:lastRowLastColumn="0"/>
              <w:rPr>
                <w:sz w:val="20"/>
                <w:szCs w:val="20"/>
              </w:rPr>
            </w:pPr>
            <w:r w:rsidRPr="00FB5C78">
              <w:rPr>
                <w:sz w:val="20"/>
                <w:szCs w:val="20"/>
              </w:rPr>
              <w:t> </w:t>
            </w:r>
          </w:p>
        </w:tc>
        <w:tc>
          <w:tcPr>
            <w:tcW w:w="243" w:type="dxa"/>
            <w:shd w:val="clear" w:color="auto" w:fill="auto"/>
            <w:hideMark/>
          </w:tcPr>
          <w:p w:rsidR="00FB5C78" w:rsidRPr="00FB5C78" w:rsidRDefault="00FB5C78" w:rsidP="00FF5AB8">
            <w:pPr>
              <w:spacing w:after="120"/>
              <w:jc w:val="right"/>
              <w:cnfStyle w:val="000000000000" w:firstRow="0" w:lastRow="0" w:firstColumn="0" w:lastColumn="0" w:oddVBand="0" w:evenVBand="0" w:oddHBand="0" w:evenHBand="0" w:firstRowFirstColumn="0" w:firstRowLastColumn="0" w:lastRowFirstColumn="0" w:lastRowLastColumn="0"/>
              <w:rPr>
                <w:sz w:val="20"/>
                <w:szCs w:val="20"/>
              </w:rPr>
            </w:pPr>
            <w:r w:rsidRPr="00FB5C78">
              <w:rPr>
                <w:sz w:val="20"/>
                <w:szCs w:val="20"/>
              </w:rPr>
              <w:t> </w:t>
            </w:r>
          </w:p>
        </w:tc>
        <w:tc>
          <w:tcPr>
            <w:tcW w:w="775" w:type="dxa"/>
            <w:shd w:val="clear" w:color="auto" w:fill="auto"/>
            <w:hideMark/>
          </w:tcPr>
          <w:p w:rsidR="00FB5C78" w:rsidRPr="00FB5C78" w:rsidRDefault="00FB5C78" w:rsidP="00FF5AB8">
            <w:pPr>
              <w:spacing w:after="120"/>
              <w:jc w:val="right"/>
              <w:cnfStyle w:val="000000000000" w:firstRow="0" w:lastRow="0" w:firstColumn="0" w:lastColumn="0" w:oddVBand="0" w:evenVBand="0" w:oddHBand="0" w:evenHBand="0" w:firstRowFirstColumn="0" w:firstRowLastColumn="0" w:lastRowFirstColumn="0" w:lastRowLastColumn="0"/>
              <w:rPr>
                <w:sz w:val="20"/>
                <w:szCs w:val="20"/>
              </w:rPr>
            </w:pPr>
            <w:r w:rsidRPr="00FB5C78">
              <w:rPr>
                <w:sz w:val="20"/>
                <w:szCs w:val="20"/>
              </w:rPr>
              <w:t> </w:t>
            </w:r>
          </w:p>
        </w:tc>
        <w:tc>
          <w:tcPr>
            <w:tcW w:w="203" w:type="dxa"/>
            <w:shd w:val="clear" w:color="auto" w:fill="auto"/>
            <w:hideMark/>
          </w:tcPr>
          <w:p w:rsidR="00FB5C78" w:rsidRPr="00FB5C78" w:rsidRDefault="00FB5C78" w:rsidP="00FF5AB8">
            <w:pPr>
              <w:spacing w:after="120"/>
              <w:jc w:val="right"/>
              <w:cnfStyle w:val="000000000000" w:firstRow="0" w:lastRow="0" w:firstColumn="0" w:lastColumn="0" w:oddVBand="0" w:evenVBand="0" w:oddHBand="0" w:evenHBand="0" w:firstRowFirstColumn="0" w:firstRowLastColumn="0" w:lastRowFirstColumn="0" w:lastRowLastColumn="0"/>
              <w:rPr>
                <w:sz w:val="20"/>
                <w:szCs w:val="20"/>
              </w:rPr>
            </w:pPr>
            <w:r w:rsidRPr="00FB5C78">
              <w:rPr>
                <w:sz w:val="20"/>
                <w:szCs w:val="20"/>
              </w:rPr>
              <w:t> </w:t>
            </w:r>
          </w:p>
        </w:tc>
        <w:tc>
          <w:tcPr>
            <w:tcW w:w="777" w:type="dxa"/>
            <w:shd w:val="clear" w:color="auto" w:fill="auto"/>
            <w:hideMark/>
          </w:tcPr>
          <w:p w:rsidR="00FB5C78" w:rsidRPr="00FB5C78" w:rsidRDefault="00FB5C78" w:rsidP="00FF5AB8">
            <w:pPr>
              <w:spacing w:after="120"/>
              <w:jc w:val="right"/>
              <w:cnfStyle w:val="000000000000" w:firstRow="0" w:lastRow="0" w:firstColumn="0" w:lastColumn="0" w:oddVBand="0" w:evenVBand="0" w:oddHBand="0" w:evenHBand="0" w:firstRowFirstColumn="0" w:firstRowLastColumn="0" w:lastRowFirstColumn="0" w:lastRowLastColumn="0"/>
              <w:rPr>
                <w:sz w:val="20"/>
                <w:szCs w:val="20"/>
              </w:rPr>
            </w:pPr>
            <w:r w:rsidRPr="00FB5C78">
              <w:rPr>
                <w:sz w:val="20"/>
                <w:szCs w:val="20"/>
              </w:rPr>
              <w:t> </w:t>
            </w:r>
          </w:p>
        </w:tc>
        <w:tc>
          <w:tcPr>
            <w:tcW w:w="226" w:type="dxa"/>
            <w:shd w:val="clear" w:color="auto" w:fill="auto"/>
            <w:hideMark/>
          </w:tcPr>
          <w:p w:rsidR="00FB5C78" w:rsidRPr="00FB5C78" w:rsidRDefault="00FB5C78" w:rsidP="00FF5AB8">
            <w:pPr>
              <w:spacing w:after="120"/>
              <w:jc w:val="right"/>
              <w:cnfStyle w:val="000000000000" w:firstRow="0" w:lastRow="0" w:firstColumn="0" w:lastColumn="0" w:oddVBand="0" w:evenVBand="0" w:oddHBand="0" w:evenHBand="0" w:firstRowFirstColumn="0" w:firstRowLastColumn="0" w:lastRowFirstColumn="0" w:lastRowLastColumn="0"/>
              <w:rPr>
                <w:sz w:val="20"/>
                <w:szCs w:val="20"/>
              </w:rPr>
            </w:pPr>
            <w:r w:rsidRPr="00FB5C78">
              <w:rPr>
                <w:sz w:val="20"/>
                <w:szCs w:val="20"/>
              </w:rPr>
              <w:t> </w:t>
            </w:r>
          </w:p>
        </w:tc>
        <w:tc>
          <w:tcPr>
            <w:tcW w:w="775" w:type="dxa"/>
            <w:shd w:val="clear" w:color="auto" w:fill="auto"/>
            <w:hideMark/>
          </w:tcPr>
          <w:p w:rsidR="00FB5C78" w:rsidRPr="00FB5C78" w:rsidRDefault="00FB5C78" w:rsidP="00FF5AB8">
            <w:pPr>
              <w:spacing w:after="120"/>
              <w:jc w:val="right"/>
              <w:cnfStyle w:val="000000000000" w:firstRow="0" w:lastRow="0" w:firstColumn="0" w:lastColumn="0" w:oddVBand="0" w:evenVBand="0" w:oddHBand="0" w:evenHBand="0" w:firstRowFirstColumn="0" w:firstRowLastColumn="0" w:lastRowFirstColumn="0" w:lastRowLastColumn="0"/>
              <w:rPr>
                <w:sz w:val="20"/>
                <w:szCs w:val="20"/>
              </w:rPr>
            </w:pPr>
            <w:r w:rsidRPr="00FB5C78">
              <w:rPr>
                <w:sz w:val="20"/>
                <w:szCs w:val="20"/>
              </w:rPr>
              <w:t> </w:t>
            </w:r>
          </w:p>
        </w:tc>
        <w:tc>
          <w:tcPr>
            <w:tcW w:w="226" w:type="dxa"/>
            <w:shd w:val="clear" w:color="auto" w:fill="auto"/>
            <w:hideMark/>
          </w:tcPr>
          <w:p w:rsidR="00FB5C78" w:rsidRPr="00FB5C78" w:rsidRDefault="00FB5C78" w:rsidP="00FF5AB8">
            <w:pPr>
              <w:spacing w:after="120"/>
              <w:jc w:val="right"/>
              <w:cnfStyle w:val="000000000000" w:firstRow="0" w:lastRow="0" w:firstColumn="0" w:lastColumn="0" w:oddVBand="0" w:evenVBand="0" w:oddHBand="0" w:evenHBand="0" w:firstRowFirstColumn="0" w:firstRowLastColumn="0" w:lastRowFirstColumn="0" w:lastRowLastColumn="0"/>
              <w:rPr>
                <w:sz w:val="20"/>
                <w:szCs w:val="20"/>
              </w:rPr>
            </w:pPr>
            <w:r w:rsidRPr="00FB5C78">
              <w:rPr>
                <w:sz w:val="20"/>
                <w:szCs w:val="20"/>
              </w:rPr>
              <w:t> </w:t>
            </w:r>
          </w:p>
        </w:tc>
        <w:tc>
          <w:tcPr>
            <w:tcW w:w="778" w:type="dxa"/>
            <w:shd w:val="clear" w:color="auto" w:fill="auto"/>
            <w:hideMark/>
          </w:tcPr>
          <w:p w:rsidR="00FB5C78" w:rsidRPr="00FB5C78" w:rsidRDefault="00FB5C78" w:rsidP="00FF5AB8">
            <w:pPr>
              <w:spacing w:after="120"/>
              <w:jc w:val="right"/>
              <w:cnfStyle w:val="000000000000" w:firstRow="0" w:lastRow="0" w:firstColumn="0" w:lastColumn="0" w:oddVBand="0" w:evenVBand="0" w:oddHBand="0" w:evenHBand="0" w:firstRowFirstColumn="0" w:firstRowLastColumn="0" w:lastRowFirstColumn="0" w:lastRowLastColumn="0"/>
              <w:rPr>
                <w:sz w:val="20"/>
                <w:szCs w:val="20"/>
              </w:rPr>
            </w:pPr>
            <w:r w:rsidRPr="00FB5C78">
              <w:rPr>
                <w:sz w:val="20"/>
                <w:szCs w:val="20"/>
              </w:rPr>
              <w:t> </w:t>
            </w:r>
          </w:p>
        </w:tc>
        <w:tc>
          <w:tcPr>
            <w:tcW w:w="259" w:type="dxa"/>
            <w:shd w:val="clear" w:color="auto" w:fill="auto"/>
            <w:hideMark/>
          </w:tcPr>
          <w:p w:rsidR="00FB5C78" w:rsidRPr="00FB5C78" w:rsidRDefault="00FB5C78" w:rsidP="00FF5AB8">
            <w:pPr>
              <w:spacing w:after="120"/>
              <w:jc w:val="right"/>
              <w:cnfStyle w:val="000000000000" w:firstRow="0" w:lastRow="0" w:firstColumn="0" w:lastColumn="0" w:oddVBand="0" w:evenVBand="0" w:oddHBand="0" w:evenHBand="0" w:firstRowFirstColumn="0" w:firstRowLastColumn="0" w:lastRowFirstColumn="0" w:lastRowLastColumn="0"/>
              <w:rPr>
                <w:sz w:val="20"/>
                <w:szCs w:val="20"/>
              </w:rPr>
            </w:pPr>
            <w:r w:rsidRPr="00FB5C78">
              <w:rPr>
                <w:sz w:val="20"/>
                <w:szCs w:val="20"/>
              </w:rPr>
              <w:t> </w:t>
            </w:r>
          </w:p>
        </w:tc>
        <w:tc>
          <w:tcPr>
            <w:tcW w:w="775" w:type="dxa"/>
            <w:shd w:val="clear" w:color="auto" w:fill="auto"/>
            <w:hideMark/>
          </w:tcPr>
          <w:p w:rsidR="00FB5C78" w:rsidRPr="00FB5C78" w:rsidRDefault="00FB5C78" w:rsidP="00FF5AB8">
            <w:pPr>
              <w:spacing w:after="120"/>
              <w:jc w:val="right"/>
              <w:cnfStyle w:val="000000000000" w:firstRow="0" w:lastRow="0" w:firstColumn="0" w:lastColumn="0" w:oddVBand="0" w:evenVBand="0" w:oddHBand="0" w:evenHBand="0" w:firstRowFirstColumn="0" w:firstRowLastColumn="0" w:lastRowFirstColumn="0" w:lastRowLastColumn="0"/>
              <w:rPr>
                <w:sz w:val="20"/>
                <w:szCs w:val="20"/>
              </w:rPr>
            </w:pPr>
            <w:r w:rsidRPr="00FB5C78">
              <w:rPr>
                <w:sz w:val="20"/>
                <w:szCs w:val="20"/>
              </w:rPr>
              <w:t> </w:t>
            </w:r>
          </w:p>
        </w:tc>
        <w:tc>
          <w:tcPr>
            <w:tcW w:w="274" w:type="dxa"/>
            <w:shd w:val="clear" w:color="auto" w:fill="auto"/>
            <w:hideMark/>
          </w:tcPr>
          <w:p w:rsidR="00FB5C78" w:rsidRPr="00FB5C78" w:rsidRDefault="00FB5C78" w:rsidP="00FF5AB8">
            <w:pPr>
              <w:spacing w:after="120"/>
              <w:jc w:val="right"/>
              <w:cnfStyle w:val="000000000000" w:firstRow="0" w:lastRow="0" w:firstColumn="0" w:lastColumn="0" w:oddVBand="0" w:evenVBand="0" w:oddHBand="0" w:evenHBand="0" w:firstRowFirstColumn="0" w:firstRowLastColumn="0" w:lastRowFirstColumn="0" w:lastRowLastColumn="0"/>
              <w:rPr>
                <w:sz w:val="20"/>
                <w:szCs w:val="20"/>
              </w:rPr>
            </w:pPr>
            <w:r w:rsidRPr="00FB5C78">
              <w:rPr>
                <w:sz w:val="20"/>
                <w:szCs w:val="20"/>
              </w:rPr>
              <w:t> </w:t>
            </w:r>
          </w:p>
        </w:tc>
      </w:tr>
      <w:tr w:rsidR="00FB5C78" w:rsidRPr="00FB5C78" w:rsidTr="00FB5C78">
        <w:trPr>
          <w:cnfStyle w:val="000000100000" w:firstRow="0" w:lastRow="0" w:firstColumn="0" w:lastColumn="0" w:oddVBand="0" w:evenVBand="0" w:oddHBand="1" w:evenHBand="0" w:firstRowFirstColumn="0" w:firstRowLastColumn="0" w:lastRowFirstColumn="0" w:lastRowLastColumn="0"/>
          <w:trHeight w:hRule="exact" w:val="306"/>
          <w:jc w:val="center"/>
        </w:trPr>
        <w:tc>
          <w:tcPr>
            <w:cnfStyle w:val="001000000000" w:firstRow="0" w:lastRow="0" w:firstColumn="1" w:lastColumn="0" w:oddVBand="0" w:evenVBand="0" w:oddHBand="0" w:evenHBand="0" w:firstRowFirstColumn="0" w:firstRowLastColumn="0" w:lastRowFirstColumn="0" w:lastRowLastColumn="0"/>
            <w:tcW w:w="1718" w:type="dxa"/>
            <w:shd w:val="clear" w:color="auto" w:fill="auto"/>
            <w:hideMark/>
          </w:tcPr>
          <w:p w:rsidR="00FB5C78" w:rsidRPr="00FB5C78" w:rsidRDefault="00FB5C78" w:rsidP="00FF5AB8">
            <w:pPr>
              <w:spacing w:after="120"/>
              <w:jc w:val="both"/>
              <w:rPr>
                <w:b w:val="0"/>
                <w:bCs w:val="0"/>
                <w:sz w:val="20"/>
                <w:szCs w:val="20"/>
              </w:rPr>
            </w:pPr>
            <w:r w:rsidRPr="00FB5C78">
              <w:rPr>
                <w:b w:val="0"/>
                <w:bCs w:val="0"/>
                <w:sz w:val="20"/>
                <w:szCs w:val="20"/>
              </w:rPr>
              <w:t>S&amp;P 500 Index</w:t>
            </w:r>
          </w:p>
        </w:tc>
        <w:tc>
          <w:tcPr>
            <w:tcW w:w="697" w:type="dxa"/>
            <w:shd w:val="clear" w:color="auto" w:fill="auto"/>
            <w:hideMark/>
          </w:tcPr>
          <w:p w:rsidR="00FB5C78" w:rsidRPr="00FB5C78" w:rsidRDefault="00FB5C78" w:rsidP="00FF5AB8">
            <w:pPr>
              <w:spacing w:after="120"/>
              <w:jc w:val="right"/>
              <w:cnfStyle w:val="000000100000" w:firstRow="0" w:lastRow="0" w:firstColumn="0" w:lastColumn="0" w:oddVBand="0" w:evenVBand="0" w:oddHBand="1" w:evenHBand="0" w:firstRowFirstColumn="0" w:firstRowLastColumn="0" w:lastRowFirstColumn="0" w:lastRowLastColumn="0"/>
              <w:rPr>
                <w:sz w:val="20"/>
                <w:szCs w:val="20"/>
              </w:rPr>
            </w:pPr>
            <w:r w:rsidRPr="00FB5C78">
              <w:rPr>
                <w:sz w:val="20"/>
                <w:szCs w:val="20"/>
              </w:rPr>
              <w:t>0,81</w:t>
            </w:r>
          </w:p>
        </w:tc>
        <w:tc>
          <w:tcPr>
            <w:tcW w:w="243" w:type="dxa"/>
            <w:shd w:val="clear" w:color="auto" w:fill="auto"/>
            <w:hideMark/>
          </w:tcPr>
          <w:p w:rsidR="00FB5C78" w:rsidRPr="00FB5C78" w:rsidRDefault="00FB5C78" w:rsidP="00FF5AB8">
            <w:pPr>
              <w:spacing w:after="120"/>
              <w:jc w:val="right"/>
              <w:cnfStyle w:val="000000100000" w:firstRow="0" w:lastRow="0" w:firstColumn="0" w:lastColumn="0" w:oddVBand="0" w:evenVBand="0" w:oddHBand="1" w:evenHBand="0" w:firstRowFirstColumn="0" w:firstRowLastColumn="0" w:lastRowFirstColumn="0" w:lastRowLastColumn="0"/>
              <w:rPr>
                <w:sz w:val="20"/>
                <w:szCs w:val="20"/>
              </w:rPr>
            </w:pPr>
            <w:r w:rsidRPr="00FB5C78">
              <w:rPr>
                <w:sz w:val="20"/>
                <w:szCs w:val="20"/>
              </w:rPr>
              <w:t> </w:t>
            </w:r>
          </w:p>
        </w:tc>
        <w:tc>
          <w:tcPr>
            <w:tcW w:w="775" w:type="dxa"/>
            <w:shd w:val="clear" w:color="auto" w:fill="auto"/>
            <w:hideMark/>
          </w:tcPr>
          <w:p w:rsidR="00FB5C78" w:rsidRPr="00FB5C78" w:rsidRDefault="00FB5C78" w:rsidP="00FF5AB8">
            <w:pPr>
              <w:spacing w:after="120"/>
              <w:jc w:val="right"/>
              <w:cnfStyle w:val="000000100000" w:firstRow="0" w:lastRow="0" w:firstColumn="0" w:lastColumn="0" w:oddVBand="0" w:evenVBand="0" w:oddHBand="1" w:evenHBand="0" w:firstRowFirstColumn="0" w:firstRowLastColumn="0" w:lastRowFirstColumn="0" w:lastRowLastColumn="0"/>
              <w:rPr>
                <w:sz w:val="20"/>
                <w:szCs w:val="20"/>
              </w:rPr>
            </w:pPr>
            <w:r w:rsidRPr="00FB5C78">
              <w:rPr>
                <w:sz w:val="20"/>
                <w:szCs w:val="20"/>
              </w:rPr>
              <w:t>-0,46</w:t>
            </w:r>
          </w:p>
        </w:tc>
        <w:tc>
          <w:tcPr>
            <w:tcW w:w="203" w:type="dxa"/>
            <w:shd w:val="clear" w:color="auto" w:fill="auto"/>
            <w:hideMark/>
          </w:tcPr>
          <w:p w:rsidR="00FB5C78" w:rsidRPr="00FB5C78" w:rsidRDefault="00FB5C78" w:rsidP="00FF5AB8">
            <w:pPr>
              <w:spacing w:after="120"/>
              <w:jc w:val="right"/>
              <w:cnfStyle w:val="000000100000" w:firstRow="0" w:lastRow="0" w:firstColumn="0" w:lastColumn="0" w:oddVBand="0" w:evenVBand="0" w:oddHBand="1" w:evenHBand="0" w:firstRowFirstColumn="0" w:firstRowLastColumn="0" w:lastRowFirstColumn="0" w:lastRowLastColumn="0"/>
              <w:rPr>
                <w:sz w:val="20"/>
                <w:szCs w:val="20"/>
              </w:rPr>
            </w:pPr>
            <w:r w:rsidRPr="00FB5C78">
              <w:rPr>
                <w:sz w:val="20"/>
                <w:szCs w:val="20"/>
              </w:rPr>
              <w:t>*</w:t>
            </w:r>
          </w:p>
        </w:tc>
        <w:tc>
          <w:tcPr>
            <w:tcW w:w="777" w:type="dxa"/>
            <w:shd w:val="clear" w:color="auto" w:fill="auto"/>
            <w:hideMark/>
          </w:tcPr>
          <w:p w:rsidR="00FB5C78" w:rsidRPr="00FB5C78" w:rsidRDefault="00FB5C78" w:rsidP="00FF5AB8">
            <w:pPr>
              <w:spacing w:after="120"/>
              <w:jc w:val="right"/>
              <w:cnfStyle w:val="000000100000" w:firstRow="0" w:lastRow="0" w:firstColumn="0" w:lastColumn="0" w:oddVBand="0" w:evenVBand="0" w:oddHBand="1" w:evenHBand="0" w:firstRowFirstColumn="0" w:firstRowLastColumn="0" w:lastRowFirstColumn="0" w:lastRowLastColumn="0"/>
              <w:rPr>
                <w:sz w:val="20"/>
                <w:szCs w:val="20"/>
              </w:rPr>
            </w:pPr>
            <w:r w:rsidRPr="00FB5C78">
              <w:rPr>
                <w:sz w:val="20"/>
                <w:szCs w:val="20"/>
              </w:rPr>
              <w:t>-1,74</w:t>
            </w:r>
          </w:p>
        </w:tc>
        <w:tc>
          <w:tcPr>
            <w:tcW w:w="226" w:type="dxa"/>
            <w:shd w:val="clear" w:color="auto" w:fill="auto"/>
            <w:hideMark/>
          </w:tcPr>
          <w:p w:rsidR="00FB5C78" w:rsidRPr="00FB5C78" w:rsidRDefault="00FB5C78" w:rsidP="00FF5AB8">
            <w:pPr>
              <w:spacing w:after="120"/>
              <w:jc w:val="right"/>
              <w:cnfStyle w:val="000000100000" w:firstRow="0" w:lastRow="0" w:firstColumn="0" w:lastColumn="0" w:oddVBand="0" w:evenVBand="0" w:oddHBand="1" w:evenHBand="0" w:firstRowFirstColumn="0" w:firstRowLastColumn="0" w:lastRowFirstColumn="0" w:lastRowLastColumn="0"/>
              <w:rPr>
                <w:sz w:val="20"/>
                <w:szCs w:val="20"/>
              </w:rPr>
            </w:pPr>
            <w:r w:rsidRPr="00FB5C78">
              <w:rPr>
                <w:sz w:val="20"/>
                <w:szCs w:val="20"/>
              </w:rPr>
              <w:t> </w:t>
            </w:r>
          </w:p>
        </w:tc>
        <w:tc>
          <w:tcPr>
            <w:tcW w:w="775" w:type="dxa"/>
            <w:shd w:val="clear" w:color="auto" w:fill="auto"/>
            <w:hideMark/>
          </w:tcPr>
          <w:p w:rsidR="00FB5C78" w:rsidRPr="00FB5C78" w:rsidRDefault="00FB5C78" w:rsidP="00FF5AB8">
            <w:pPr>
              <w:spacing w:after="120"/>
              <w:jc w:val="right"/>
              <w:cnfStyle w:val="000000100000" w:firstRow="0" w:lastRow="0" w:firstColumn="0" w:lastColumn="0" w:oddVBand="0" w:evenVBand="0" w:oddHBand="1" w:evenHBand="0" w:firstRowFirstColumn="0" w:firstRowLastColumn="0" w:lastRowFirstColumn="0" w:lastRowLastColumn="0"/>
              <w:rPr>
                <w:sz w:val="20"/>
                <w:szCs w:val="20"/>
              </w:rPr>
            </w:pPr>
            <w:r w:rsidRPr="00FB5C78">
              <w:rPr>
                <w:sz w:val="20"/>
                <w:szCs w:val="20"/>
              </w:rPr>
              <w:t>1,16</w:t>
            </w:r>
          </w:p>
        </w:tc>
        <w:tc>
          <w:tcPr>
            <w:tcW w:w="226" w:type="dxa"/>
            <w:shd w:val="clear" w:color="auto" w:fill="auto"/>
            <w:hideMark/>
          </w:tcPr>
          <w:p w:rsidR="00FB5C78" w:rsidRPr="00FB5C78" w:rsidRDefault="00FB5C78" w:rsidP="00FF5AB8">
            <w:pPr>
              <w:spacing w:after="120"/>
              <w:jc w:val="right"/>
              <w:cnfStyle w:val="000000100000" w:firstRow="0" w:lastRow="0" w:firstColumn="0" w:lastColumn="0" w:oddVBand="0" w:evenVBand="0" w:oddHBand="1" w:evenHBand="0" w:firstRowFirstColumn="0" w:firstRowLastColumn="0" w:lastRowFirstColumn="0" w:lastRowLastColumn="0"/>
              <w:rPr>
                <w:sz w:val="20"/>
                <w:szCs w:val="20"/>
              </w:rPr>
            </w:pPr>
            <w:r w:rsidRPr="00FB5C78">
              <w:rPr>
                <w:sz w:val="20"/>
                <w:szCs w:val="20"/>
              </w:rPr>
              <w:t> </w:t>
            </w:r>
          </w:p>
        </w:tc>
        <w:tc>
          <w:tcPr>
            <w:tcW w:w="778" w:type="dxa"/>
            <w:shd w:val="clear" w:color="auto" w:fill="auto"/>
            <w:hideMark/>
          </w:tcPr>
          <w:p w:rsidR="00FB5C78" w:rsidRPr="00FB5C78" w:rsidRDefault="00FB5C78" w:rsidP="00FF5AB8">
            <w:pPr>
              <w:spacing w:after="120"/>
              <w:jc w:val="right"/>
              <w:cnfStyle w:val="000000100000" w:firstRow="0" w:lastRow="0" w:firstColumn="0" w:lastColumn="0" w:oddVBand="0" w:evenVBand="0" w:oddHBand="1" w:evenHBand="0" w:firstRowFirstColumn="0" w:firstRowLastColumn="0" w:lastRowFirstColumn="0" w:lastRowLastColumn="0"/>
              <w:rPr>
                <w:sz w:val="20"/>
                <w:szCs w:val="20"/>
              </w:rPr>
            </w:pPr>
            <w:r w:rsidRPr="00FB5C78">
              <w:rPr>
                <w:sz w:val="20"/>
                <w:szCs w:val="20"/>
              </w:rPr>
              <w:t>1,21</w:t>
            </w:r>
          </w:p>
        </w:tc>
        <w:tc>
          <w:tcPr>
            <w:tcW w:w="259" w:type="dxa"/>
            <w:shd w:val="clear" w:color="auto" w:fill="auto"/>
            <w:hideMark/>
          </w:tcPr>
          <w:p w:rsidR="00FB5C78" w:rsidRPr="00FB5C78" w:rsidRDefault="00FB5C78" w:rsidP="00FF5AB8">
            <w:pPr>
              <w:spacing w:after="120"/>
              <w:jc w:val="right"/>
              <w:cnfStyle w:val="000000100000" w:firstRow="0" w:lastRow="0" w:firstColumn="0" w:lastColumn="0" w:oddVBand="0" w:evenVBand="0" w:oddHBand="1" w:evenHBand="0" w:firstRowFirstColumn="0" w:firstRowLastColumn="0" w:lastRowFirstColumn="0" w:lastRowLastColumn="0"/>
              <w:rPr>
                <w:sz w:val="20"/>
                <w:szCs w:val="20"/>
              </w:rPr>
            </w:pPr>
            <w:r w:rsidRPr="00FB5C78">
              <w:rPr>
                <w:sz w:val="20"/>
                <w:szCs w:val="20"/>
              </w:rPr>
              <w:t>*</w:t>
            </w:r>
          </w:p>
        </w:tc>
        <w:tc>
          <w:tcPr>
            <w:tcW w:w="775" w:type="dxa"/>
            <w:shd w:val="clear" w:color="auto" w:fill="auto"/>
            <w:hideMark/>
          </w:tcPr>
          <w:p w:rsidR="00FB5C78" w:rsidRPr="00FB5C78" w:rsidRDefault="00FB5C78" w:rsidP="00FF5AB8">
            <w:pPr>
              <w:spacing w:after="120"/>
              <w:jc w:val="right"/>
              <w:cnfStyle w:val="000000100000" w:firstRow="0" w:lastRow="0" w:firstColumn="0" w:lastColumn="0" w:oddVBand="0" w:evenVBand="0" w:oddHBand="1" w:evenHBand="0" w:firstRowFirstColumn="0" w:firstRowLastColumn="0" w:lastRowFirstColumn="0" w:lastRowLastColumn="0"/>
              <w:rPr>
                <w:sz w:val="20"/>
                <w:szCs w:val="20"/>
              </w:rPr>
            </w:pPr>
            <w:r w:rsidRPr="00FB5C78">
              <w:rPr>
                <w:sz w:val="20"/>
                <w:szCs w:val="20"/>
              </w:rPr>
              <w:t>0,4</w:t>
            </w:r>
          </w:p>
        </w:tc>
        <w:tc>
          <w:tcPr>
            <w:tcW w:w="274" w:type="dxa"/>
            <w:shd w:val="clear" w:color="auto" w:fill="auto"/>
            <w:hideMark/>
          </w:tcPr>
          <w:p w:rsidR="00FB5C78" w:rsidRPr="00FB5C78" w:rsidRDefault="00FB5C78" w:rsidP="00FF5AB8">
            <w:pPr>
              <w:spacing w:after="120"/>
              <w:jc w:val="right"/>
              <w:cnfStyle w:val="000000100000" w:firstRow="0" w:lastRow="0" w:firstColumn="0" w:lastColumn="0" w:oddVBand="0" w:evenVBand="0" w:oddHBand="1" w:evenHBand="0" w:firstRowFirstColumn="0" w:firstRowLastColumn="0" w:lastRowFirstColumn="0" w:lastRowLastColumn="0"/>
              <w:rPr>
                <w:sz w:val="20"/>
                <w:szCs w:val="20"/>
              </w:rPr>
            </w:pPr>
            <w:r w:rsidRPr="00FB5C78">
              <w:rPr>
                <w:sz w:val="20"/>
                <w:szCs w:val="20"/>
              </w:rPr>
              <w:t> </w:t>
            </w:r>
          </w:p>
        </w:tc>
      </w:tr>
      <w:tr w:rsidR="00FB5C78" w:rsidRPr="00FB5C78" w:rsidTr="00FB5C78">
        <w:trPr>
          <w:trHeight w:hRule="exact" w:val="306"/>
          <w:jc w:val="center"/>
        </w:trPr>
        <w:tc>
          <w:tcPr>
            <w:cnfStyle w:val="001000000000" w:firstRow="0" w:lastRow="0" w:firstColumn="1" w:lastColumn="0" w:oddVBand="0" w:evenVBand="0" w:oddHBand="0" w:evenHBand="0" w:firstRowFirstColumn="0" w:firstRowLastColumn="0" w:lastRowFirstColumn="0" w:lastRowLastColumn="0"/>
            <w:tcW w:w="1718" w:type="dxa"/>
            <w:shd w:val="clear" w:color="auto" w:fill="auto"/>
            <w:hideMark/>
          </w:tcPr>
          <w:p w:rsidR="00FB5C78" w:rsidRPr="00FB5C78" w:rsidRDefault="00FB5C78" w:rsidP="00FF5AB8">
            <w:pPr>
              <w:spacing w:after="120"/>
              <w:jc w:val="both"/>
              <w:rPr>
                <w:b w:val="0"/>
                <w:bCs w:val="0"/>
                <w:sz w:val="20"/>
                <w:szCs w:val="20"/>
              </w:rPr>
            </w:pPr>
            <w:proofErr w:type="spellStart"/>
            <w:r w:rsidRPr="00FB5C78">
              <w:rPr>
                <w:b w:val="0"/>
                <w:bCs w:val="0"/>
                <w:sz w:val="20"/>
                <w:szCs w:val="20"/>
              </w:rPr>
              <w:t>Corp</w:t>
            </w:r>
            <w:proofErr w:type="spellEnd"/>
            <w:r w:rsidRPr="00FB5C78">
              <w:rPr>
                <w:b w:val="0"/>
                <w:bCs w:val="0"/>
                <w:sz w:val="20"/>
                <w:szCs w:val="20"/>
              </w:rPr>
              <w:t xml:space="preserve">, Spread </w:t>
            </w:r>
            <w:proofErr w:type="spellStart"/>
            <w:r w:rsidRPr="00FB5C78">
              <w:rPr>
                <w:b w:val="0"/>
                <w:bCs w:val="0"/>
                <w:sz w:val="20"/>
                <w:szCs w:val="20"/>
              </w:rPr>
              <w:t>Diff</w:t>
            </w:r>
            <w:proofErr w:type="spellEnd"/>
            <w:r w:rsidRPr="00FB5C78">
              <w:rPr>
                <w:b w:val="0"/>
                <w:bCs w:val="0"/>
                <w:sz w:val="20"/>
                <w:szCs w:val="20"/>
              </w:rPr>
              <w:t>, AAA-A</w:t>
            </w:r>
          </w:p>
        </w:tc>
        <w:tc>
          <w:tcPr>
            <w:tcW w:w="697" w:type="dxa"/>
            <w:shd w:val="clear" w:color="auto" w:fill="auto"/>
            <w:hideMark/>
          </w:tcPr>
          <w:p w:rsidR="00FB5C78" w:rsidRPr="00FB5C78" w:rsidRDefault="00FB5C78" w:rsidP="00FF5AB8">
            <w:pPr>
              <w:spacing w:after="120"/>
              <w:jc w:val="right"/>
              <w:cnfStyle w:val="000000000000" w:firstRow="0" w:lastRow="0" w:firstColumn="0" w:lastColumn="0" w:oddVBand="0" w:evenVBand="0" w:oddHBand="0" w:evenHBand="0" w:firstRowFirstColumn="0" w:firstRowLastColumn="0" w:lastRowFirstColumn="0" w:lastRowLastColumn="0"/>
              <w:rPr>
                <w:sz w:val="20"/>
                <w:szCs w:val="20"/>
              </w:rPr>
            </w:pPr>
            <w:r w:rsidRPr="00FB5C78">
              <w:rPr>
                <w:sz w:val="20"/>
                <w:szCs w:val="20"/>
              </w:rPr>
              <w:t>-3,12</w:t>
            </w:r>
          </w:p>
        </w:tc>
        <w:tc>
          <w:tcPr>
            <w:tcW w:w="243" w:type="dxa"/>
            <w:shd w:val="clear" w:color="auto" w:fill="auto"/>
            <w:hideMark/>
          </w:tcPr>
          <w:p w:rsidR="00FB5C78" w:rsidRPr="00FB5C78" w:rsidRDefault="00FB5C78" w:rsidP="00FF5AB8">
            <w:pPr>
              <w:spacing w:after="120"/>
              <w:jc w:val="right"/>
              <w:cnfStyle w:val="000000000000" w:firstRow="0" w:lastRow="0" w:firstColumn="0" w:lastColumn="0" w:oddVBand="0" w:evenVBand="0" w:oddHBand="0" w:evenHBand="0" w:firstRowFirstColumn="0" w:firstRowLastColumn="0" w:lastRowFirstColumn="0" w:lastRowLastColumn="0"/>
              <w:rPr>
                <w:sz w:val="20"/>
                <w:szCs w:val="20"/>
              </w:rPr>
            </w:pPr>
            <w:r w:rsidRPr="00FB5C78">
              <w:rPr>
                <w:sz w:val="20"/>
                <w:szCs w:val="20"/>
              </w:rPr>
              <w:t> </w:t>
            </w:r>
          </w:p>
        </w:tc>
        <w:tc>
          <w:tcPr>
            <w:tcW w:w="775" w:type="dxa"/>
            <w:shd w:val="clear" w:color="auto" w:fill="auto"/>
            <w:hideMark/>
          </w:tcPr>
          <w:p w:rsidR="00FB5C78" w:rsidRPr="00FB5C78" w:rsidRDefault="00FB5C78" w:rsidP="00FF5AB8">
            <w:pPr>
              <w:spacing w:after="120"/>
              <w:jc w:val="right"/>
              <w:cnfStyle w:val="000000000000" w:firstRow="0" w:lastRow="0" w:firstColumn="0" w:lastColumn="0" w:oddVBand="0" w:evenVBand="0" w:oddHBand="0" w:evenHBand="0" w:firstRowFirstColumn="0" w:firstRowLastColumn="0" w:lastRowFirstColumn="0" w:lastRowLastColumn="0"/>
              <w:rPr>
                <w:sz w:val="20"/>
                <w:szCs w:val="20"/>
              </w:rPr>
            </w:pPr>
            <w:r w:rsidRPr="00FB5C78">
              <w:rPr>
                <w:sz w:val="20"/>
                <w:szCs w:val="20"/>
              </w:rPr>
              <w:t>0</w:t>
            </w:r>
          </w:p>
        </w:tc>
        <w:tc>
          <w:tcPr>
            <w:tcW w:w="203" w:type="dxa"/>
            <w:shd w:val="clear" w:color="auto" w:fill="auto"/>
            <w:hideMark/>
          </w:tcPr>
          <w:p w:rsidR="00FB5C78" w:rsidRPr="00FB5C78" w:rsidRDefault="00FB5C78" w:rsidP="00FF5AB8">
            <w:pPr>
              <w:spacing w:after="120"/>
              <w:jc w:val="right"/>
              <w:cnfStyle w:val="000000000000" w:firstRow="0" w:lastRow="0" w:firstColumn="0" w:lastColumn="0" w:oddVBand="0" w:evenVBand="0" w:oddHBand="0" w:evenHBand="0" w:firstRowFirstColumn="0" w:firstRowLastColumn="0" w:lastRowFirstColumn="0" w:lastRowLastColumn="0"/>
              <w:rPr>
                <w:sz w:val="20"/>
                <w:szCs w:val="20"/>
              </w:rPr>
            </w:pPr>
            <w:r w:rsidRPr="00FB5C78">
              <w:rPr>
                <w:sz w:val="20"/>
                <w:szCs w:val="20"/>
              </w:rPr>
              <w:t>*</w:t>
            </w:r>
          </w:p>
        </w:tc>
        <w:tc>
          <w:tcPr>
            <w:tcW w:w="777" w:type="dxa"/>
            <w:shd w:val="clear" w:color="auto" w:fill="auto"/>
            <w:hideMark/>
          </w:tcPr>
          <w:p w:rsidR="00FB5C78" w:rsidRPr="00FB5C78" w:rsidRDefault="00FB5C78" w:rsidP="00FF5AB8">
            <w:pPr>
              <w:spacing w:after="120"/>
              <w:jc w:val="right"/>
              <w:cnfStyle w:val="000000000000" w:firstRow="0" w:lastRow="0" w:firstColumn="0" w:lastColumn="0" w:oddVBand="0" w:evenVBand="0" w:oddHBand="0" w:evenHBand="0" w:firstRowFirstColumn="0" w:firstRowLastColumn="0" w:lastRowFirstColumn="0" w:lastRowLastColumn="0"/>
              <w:rPr>
                <w:sz w:val="20"/>
                <w:szCs w:val="20"/>
              </w:rPr>
            </w:pPr>
            <w:r w:rsidRPr="00FB5C78">
              <w:rPr>
                <w:sz w:val="20"/>
                <w:szCs w:val="20"/>
              </w:rPr>
              <w:t>-1,45</w:t>
            </w:r>
          </w:p>
        </w:tc>
        <w:tc>
          <w:tcPr>
            <w:tcW w:w="226" w:type="dxa"/>
            <w:shd w:val="clear" w:color="auto" w:fill="auto"/>
            <w:hideMark/>
          </w:tcPr>
          <w:p w:rsidR="00FB5C78" w:rsidRPr="00FB5C78" w:rsidRDefault="00FB5C78" w:rsidP="00FF5AB8">
            <w:pPr>
              <w:spacing w:after="120"/>
              <w:jc w:val="right"/>
              <w:cnfStyle w:val="000000000000" w:firstRow="0" w:lastRow="0" w:firstColumn="0" w:lastColumn="0" w:oddVBand="0" w:evenVBand="0" w:oddHBand="0" w:evenHBand="0" w:firstRowFirstColumn="0" w:firstRowLastColumn="0" w:lastRowFirstColumn="0" w:lastRowLastColumn="0"/>
              <w:rPr>
                <w:sz w:val="20"/>
                <w:szCs w:val="20"/>
              </w:rPr>
            </w:pPr>
            <w:r w:rsidRPr="00FB5C78">
              <w:rPr>
                <w:sz w:val="20"/>
                <w:szCs w:val="20"/>
              </w:rPr>
              <w:t>*</w:t>
            </w:r>
          </w:p>
        </w:tc>
        <w:tc>
          <w:tcPr>
            <w:tcW w:w="775" w:type="dxa"/>
            <w:shd w:val="clear" w:color="auto" w:fill="auto"/>
            <w:hideMark/>
          </w:tcPr>
          <w:p w:rsidR="00FB5C78" w:rsidRPr="00FB5C78" w:rsidRDefault="00FB5C78" w:rsidP="00FF5AB8">
            <w:pPr>
              <w:spacing w:after="120"/>
              <w:jc w:val="right"/>
              <w:cnfStyle w:val="000000000000" w:firstRow="0" w:lastRow="0" w:firstColumn="0" w:lastColumn="0" w:oddVBand="0" w:evenVBand="0" w:oddHBand="0" w:evenHBand="0" w:firstRowFirstColumn="0" w:firstRowLastColumn="0" w:lastRowFirstColumn="0" w:lastRowLastColumn="0"/>
              <w:rPr>
                <w:sz w:val="20"/>
                <w:szCs w:val="20"/>
              </w:rPr>
            </w:pPr>
            <w:r w:rsidRPr="00FB5C78">
              <w:rPr>
                <w:sz w:val="20"/>
                <w:szCs w:val="20"/>
              </w:rPr>
              <w:t>-3,21</w:t>
            </w:r>
          </w:p>
        </w:tc>
        <w:tc>
          <w:tcPr>
            <w:tcW w:w="226" w:type="dxa"/>
            <w:shd w:val="clear" w:color="auto" w:fill="auto"/>
            <w:hideMark/>
          </w:tcPr>
          <w:p w:rsidR="00FB5C78" w:rsidRPr="00FB5C78" w:rsidRDefault="00FB5C78" w:rsidP="00FF5AB8">
            <w:pPr>
              <w:spacing w:after="120"/>
              <w:jc w:val="right"/>
              <w:cnfStyle w:val="000000000000" w:firstRow="0" w:lastRow="0" w:firstColumn="0" w:lastColumn="0" w:oddVBand="0" w:evenVBand="0" w:oddHBand="0" w:evenHBand="0" w:firstRowFirstColumn="0" w:firstRowLastColumn="0" w:lastRowFirstColumn="0" w:lastRowLastColumn="0"/>
              <w:rPr>
                <w:sz w:val="20"/>
                <w:szCs w:val="20"/>
              </w:rPr>
            </w:pPr>
            <w:r w:rsidRPr="00FB5C78">
              <w:rPr>
                <w:sz w:val="20"/>
                <w:szCs w:val="20"/>
              </w:rPr>
              <w:t> </w:t>
            </w:r>
          </w:p>
        </w:tc>
        <w:tc>
          <w:tcPr>
            <w:tcW w:w="778" w:type="dxa"/>
            <w:shd w:val="clear" w:color="auto" w:fill="auto"/>
            <w:hideMark/>
          </w:tcPr>
          <w:p w:rsidR="00FB5C78" w:rsidRPr="00FB5C78" w:rsidRDefault="00FB5C78" w:rsidP="00FF5AB8">
            <w:pPr>
              <w:spacing w:after="120"/>
              <w:jc w:val="right"/>
              <w:cnfStyle w:val="000000000000" w:firstRow="0" w:lastRow="0" w:firstColumn="0" w:lastColumn="0" w:oddVBand="0" w:evenVBand="0" w:oddHBand="0" w:evenHBand="0" w:firstRowFirstColumn="0" w:firstRowLastColumn="0" w:lastRowFirstColumn="0" w:lastRowLastColumn="0"/>
              <w:rPr>
                <w:sz w:val="20"/>
                <w:szCs w:val="20"/>
              </w:rPr>
            </w:pPr>
            <w:r w:rsidRPr="00FB5C78">
              <w:rPr>
                <w:sz w:val="20"/>
                <w:szCs w:val="20"/>
              </w:rPr>
              <w:t>-1,45</w:t>
            </w:r>
          </w:p>
        </w:tc>
        <w:tc>
          <w:tcPr>
            <w:tcW w:w="259" w:type="dxa"/>
            <w:shd w:val="clear" w:color="auto" w:fill="auto"/>
            <w:hideMark/>
          </w:tcPr>
          <w:p w:rsidR="00FB5C78" w:rsidRPr="00FB5C78" w:rsidRDefault="00FB5C78" w:rsidP="00FF5AB8">
            <w:pPr>
              <w:spacing w:after="120"/>
              <w:jc w:val="right"/>
              <w:cnfStyle w:val="000000000000" w:firstRow="0" w:lastRow="0" w:firstColumn="0" w:lastColumn="0" w:oddVBand="0" w:evenVBand="0" w:oddHBand="0" w:evenHBand="0" w:firstRowFirstColumn="0" w:firstRowLastColumn="0" w:lastRowFirstColumn="0" w:lastRowLastColumn="0"/>
              <w:rPr>
                <w:sz w:val="20"/>
                <w:szCs w:val="20"/>
              </w:rPr>
            </w:pPr>
            <w:r w:rsidRPr="00FB5C78">
              <w:rPr>
                <w:sz w:val="20"/>
                <w:szCs w:val="20"/>
              </w:rPr>
              <w:t>*</w:t>
            </w:r>
          </w:p>
        </w:tc>
        <w:tc>
          <w:tcPr>
            <w:tcW w:w="775" w:type="dxa"/>
            <w:shd w:val="clear" w:color="auto" w:fill="auto"/>
            <w:hideMark/>
          </w:tcPr>
          <w:p w:rsidR="00FB5C78" w:rsidRPr="00FB5C78" w:rsidRDefault="00FB5C78" w:rsidP="00FF5AB8">
            <w:pPr>
              <w:spacing w:after="120"/>
              <w:jc w:val="right"/>
              <w:cnfStyle w:val="000000000000" w:firstRow="0" w:lastRow="0" w:firstColumn="0" w:lastColumn="0" w:oddVBand="0" w:evenVBand="0" w:oddHBand="0" w:evenHBand="0" w:firstRowFirstColumn="0" w:firstRowLastColumn="0" w:lastRowFirstColumn="0" w:lastRowLastColumn="0"/>
              <w:rPr>
                <w:sz w:val="20"/>
                <w:szCs w:val="20"/>
              </w:rPr>
            </w:pPr>
            <w:r w:rsidRPr="00FB5C78">
              <w:rPr>
                <w:sz w:val="20"/>
                <w:szCs w:val="20"/>
              </w:rPr>
              <w:t>2,2</w:t>
            </w:r>
          </w:p>
        </w:tc>
        <w:tc>
          <w:tcPr>
            <w:tcW w:w="274" w:type="dxa"/>
            <w:shd w:val="clear" w:color="auto" w:fill="auto"/>
            <w:hideMark/>
          </w:tcPr>
          <w:p w:rsidR="00FB5C78" w:rsidRPr="00FB5C78" w:rsidRDefault="00FB5C78" w:rsidP="00FF5AB8">
            <w:pPr>
              <w:spacing w:after="120"/>
              <w:jc w:val="right"/>
              <w:cnfStyle w:val="000000000000" w:firstRow="0" w:lastRow="0" w:firstColumn="0" w:lastColumn="0" w:oddVBand="0" w:evenVBand="0" w:oddHBand="0" w:evenHBand="0" w:firstRowFirstColumn="0" w:firstRowLastColumn="0" w:lastRowFirstColumn="0" w:lastRowLastColumn="0"/>
              <w:rPr>
                <w:sz w:val="20"/>
                <w:szCs w:val="20"/>
              </w:rPr>
            </w:pPr>
            <w:r w:rsidRPr="00FB5C78">
              <w:rPr>
                <w:sz w:val="20"/>
                <w:szCs w:val="20"/>
              </w:rPr>
              <w:t>*</w:t>
            </w:r>
          </w:p>
        </w:tc>
      </w:tr>
      <w:tr w:rsidR="00FB5C78" w:rsidRPr="00FB5C78" w:rsidTr="00FB5C78">
        <w:trPr>
          <w:cnfStyle w:val="000000100000" w:firstRow="0" w:lastRow="0" w:firstColumn="0" w:lastColumn="0" w:oddVBand="0" w:evenVBand="0" w:oddHBand="1" w:evenHBand="0" w:firstRowFirstColumn="0" w:firstRowLastColumn="0" w:lastRowFirstColumn="0" w:lastRowLastColumn="0"/>
          <w:trHeight w:hRule="exact" w:val="306"/>
          <w:jc w:val="center"/>
        </w:trPr>
        <w:tc>
          <w:tcPr>
            <w:cnfStyle w:val="001000000000" w:firstRow="0" w:lastRow="0" w:firstColumn="1" w:lastColumn="0" w:oddVBand="0" w:evenVBand="0" w:oddHBand="0" w:evenHBand="0" w:firstRowFirstColumn="0" w:firstRowLastColumn="0" w:lastRowFirstColumn="0" w:lastRowLastColumn="0"/>
            <w:tcW w:w="1718" w:type="dxa"/>
            <w:shd w:val="clear" w:color="auto" w:fill="auto"/>
            <w:hideMark/>
          </w:tcPr>
          <w:p w:rsidR="00FB5C78" w:rsidRPr="00FB5C78" w:rsidRDefault="00FB5C78" w:rsidP="00FF5AB8">
            <w:pPr>
              <w:spacing w:after="120"/>
              <w:jc w:val="both"/>
              <w:rPr>
                <w:b w:val="0"/>
                <w:bCs w:val="0"/>
                <w:sz w:val="20"/>
                <w:szCs w:val="20"/>
              </w:rPr>
            </w:pPr>
            <w:proofErr w:type="spellStart"/>
            <w:r w:rsidRPr="00FB5C78">
              <w:rPr>
                <w:b w:val="0"/>
                <w:bCs w:val="0"/>
                <w:sz w:val="20"/>
                <w:szCs w:val="20"/>
              </w:rPr>
              <w:t>Corp</w:t>
            </w:r>
            <w:proofErr w:type="spellEnd"/>
            <w:r w:rsidRPr="00FB5C78">
              <w:rPr>
                <w:b w:val="0"/>
                <w:bCs w:val="0"/>
                <w:sz w:val="20"/>
                <w:szCs w:val="20"/>
              </w:rPr>
              <w:t xml:space="preserve">, Spread </w:t>
            </w:r>
            <w:proofErr w:type="spellStart"/>
            <w:r w:rsidRPr="00FB5C78">
              <w:rPr>
                <w:b w:val="0"/>
                <w:bCs w:val="0"/>
                <w:sz w:val="20"/>
                <w:szCs w:val="20"/>
              </w:rPr>
              <w:t>Diff</w:t>
            </w:r>
            <w:proofErr w:type="spellEnd"/>
            <w:r w:rsidRPr="00FB5C78">
              <w:rPr>
                <w:b w:val="0"/>
                <w:bCs w:val="0"/>
                <w:sz w:val="20"/>
                <w:szCs w:val="20"/>
              </w:rPr>
              <w:t>, BBB-B</w:t>
            </w:r>
          </w:p>
        </w:tc>
        <w:tc>
          <w:tcPr>
            <w:tcW w:w="697" w:type="dxa"/>
            <w:shd w:val="clear" w:color="auto" w:fill="auto"/>
            <w:hideMark/>
          </w:tcPr>
          <w:p w:rsidR="00FB5C78" w:rsidRPr="00FB5C78" w:rsidRDefault="00FB5C78" w:rsidP="00FF5AB8">
            <w:pPr>
              <w:spacing w:after="120"/>
              <w:jc w:val="right"/>
              <w:cnfStyle w:val="000000100000" w:firstRow="0" w:lastRow="0" w:firstColumn="0" w:lastColumn="0" w:oddVBand="0" w:evenVBand="0" w:oddHBand="1" w:evenHBand="0" w:firstRowFirstColumn="0" w:firstRowLastColumn="0" w:lastRowFirstColumn="0" w:lastRowLastColumn="0"/>
              <w:rPr>
                <w:sz w:val="20"/>
                <w:szCs w:val="20"/>
              </w:rPr>
            </w:pPr>
            <w:r w:rsidRPr="00FB5C78">
              <w:rPr>
                <w:sz w:val="20"/>
                <w:szCs w:val="20"/>
              </w:rPr>
              <w:t>-1,32</w:t>
            </w:r>
          </w:p>
        </w:tc>
        <w:tc>
          <w:tcPr>
            <w:tcW w:w="243" w:type="dxa"/>
            <w:shd w:val="clear" w:color="auto" w:fill="auto"/>
            <w:hideMark/>
          </w:tcPr>
          <w:p w:rsidR="00FB5C78" w:rsidRPr="00FB5C78" w:rsidRDefault="00FB5C78" w:rsidP="00FF5AB8">
            <w:pPr>
              <w:spacing w:after="120"/>
              <w:jc w:val="right"/>
              <w:cnfStyle w:val="000000100000" w:firstRow="0" w:lastRow="0" w:firstColumn="0" w:lastColumn="0" w:oddVBand="0" w:evenVBand="0" w:oddHBand="1" w:evenHBand="0" w:firstRowFirstColumn="0" w:firstRowLastColumn="0" w:lastRowFirstColumn="0" w:lastRowLastColumn="0"/>
              <w:rPr>
                <w:sz w:val="20"/>
                <w:szCs w:val="20"/>
              </w:rPr>
            </w:pPr>
            <w:r w:rsidRPr="00FB5C78">
              <w:rPr>
                <w:sz w:val="20"/>
                <w:szCs w:val="20"/>
              </w:rPr>
              <w:t>*</w:t>
            </w:r>
          </w:p>
        </w:tc>
        <w:tc>
          <w:tcPr>
            <w:tcW w:w="775" w:type="dxa"/>
            <w:shd w:val="clear" w:color="auto" w:fill="auto"/>
            <w:hideMark/>
          </w:tcPr>
          <w:p w:rsidR="00FB5C78" w:rsidRPr="00FB5C78" w:rsidRDefault="00FB5C78" w:rsidP="00FF5AB8">
            <w:pPr>
              <w:spacing w:after="120"/>
              <w:jc w:val="right"/>
              <w:cnfStyle w:val="000000100000" w:firstRow="0" w:lastRow="0" w:firstColumn="0" w:lastColumn="0" w:oddVBand="0" w:evenVBand="0" w:oddHBand="1" w:evenHBand="0" w:firstRowFirstColumn="0" w:firstRowLastColumn="0" w:lastRowFirstColumn="0" w:lastRowLastColumn="0"/>
              <w:rPr>
                <w:sz w:val="20"/>
                <w:szCs w:val="20"/>
              </w:rPr>
            </w:pPr>
            <w:r w:rsidRPr="00FB5C78">
              <w:rPr>
                <w:sz w:val="20"/>
                <w:szCs w:val="20"/>
              </w:rPr>
              <w:t>-1,34</w:t>
            </w:r>
          </w:p>
        </w:tc>
        <w:tc>
          <w:tcPr>
            <w:tcW w:w="203" w:type="dxa"/>
            <w:shd w:val="clear" w:color="auto" w:fill="auto"/>
            <w:hideMark/>
          </w:tcPr>
          <w:p w:rsidR="00FB5C78" w:rsidRPr="00FB5C78" w:rsidRDefault="00FB5C78" w:rsidP="00FF5AB8">
            <w:pPr>
              <w:spacing w:after="120"/>
              <w:jc w:val="right"/>
              <w:cnfStyle w:val="000000100000" w:firstRow="0" w:lastRow="0" w:firstColumn="0" w:lastColumn="0" w:oddVBand="0" w:evenVBand="0" w:oddHBand="1" w:evenHBand="0" w:firstRowFirstColumn="0" w:firstRowLastColumn="0" w:lastRowFirstColumn="0" w:lastRowLastColumn="0"/>
              <w:rPr>
                <w:sz w:val="20"/>
                <w:szCs w:val="20"/>
              </w:rPr>
            </w:pPr>
            <w:r w:rsidRPr="00FB5C78">
              <w:rPr>
                <w:sz w:val="20"/>
                <w:szCs w:val="20"/>
              </w:rPr>
              <w:t> </w:t>
            </w:r>
          </w:p>
        </w:tc>
        <w:tc>
          <w:tcPr>
            <w:tcW w:w="777" w:type="dxa"/>
            <w:shd w:val="clear" w:color="auto" w:fill="auto"/>
            <w:hideMark/>
          </w:tcPr>
          <w:p w:rsidR="00FB5C78" w:rsidRPr="00FB5C78" w:rsidRDefault="00FB5C78" w:rsidP="00FF5AB8">
            <w:pPr>
              <w:spacing w:after="120"/>
              <w:jc w:val="right"/>
              <w:cnfStyle w:val="000000100000" w:firstRow="0" w:lastRow="0" w:firstColumn="0" w:lastColumn="0" w:oddVBand="0" w:evenVBand="0" w:oddHBand="1" w:evenHBand="0" w:firstRowFirstColumn="0" w:firstRowLastColumn="0" w:lastRowFirstColumn="0" w:lastRowLastColumn="0"/>
              <w:rPr>
                <w:sz w:val="20"/>
                <w:szCs w:val="20"/>
              </w:rPr>
            </w:pPr>
            <w:r w:rsidRPr="00FB5C78">
              <w:rPr>
                <w:sz w:val="20"/>
                <w:szCs w:val="20"/>
              </w:rPr>
              <w:t>-3,01</w:t>
            </w:r>
          </w:p>
        </w:tc>
        <w:tc>
          <w:tcPr>
            <w:tcW w:w="226" w:type="dxa"/>
            <w:shd w:val="clear" w:color="auto" w:fill="auto"/>
            <w:hideMark/>
          </w:tcPr>
          <w:p w:rsidR="00FB5C78" w:rsidRPr="00FB5C78" w:rsidRDefault="00FB5C78" w:rsidP="00FF5AB8">
            <w:pPr>
              <w:spacing w:after="120"/>
              <w:jc w:val="right"/>
              <w:cnfStyle w:val="000000100000" w:firstRow="0" w:lastRow="0" w:firstColumn="0" w:lastColumn="0" w:oddVBand="0" w:evenVBand="0" w:oddHBand="1" w:evenHBand="0" w:firstRowFirstColumn="0" w:firstRowLastColumn="0" w:lastRowFirstColumn="0" w:lastRowLastColumn="0"/>
              <w:rPr>
                <w:sz w:val="20"/>
                <w:szCs w:val="20"/>
              </w:rPr>
            </w:pPr>
            <w:r w:rsidRPr="00FB5C78">
              <w:rPr>
                <w:sz w:val="20"/>
                <w:szCs w:val="20"/>
              </w:rPr>
              <w:t> </w:t>
            </w:r>
          </w:p>
        </w:tc>
        <w:tc>
          <w:tcPr>
            <w:tcW w:w="775" w:type="dxa"/>
            <w:shd w:val="clear" w:color="auto" w:fill="auto"/>
            <w:hideMark/>
          </w:tcPr>
          <w:p w:rsidR="00FB5C78" w:rsidRPr="00FB5C78" w:rsidRDefault="00FB5C78" w:rsidP="00FF5AB8">
            <w:pPr>
              <w:spacing w:after="120"/>
              <w:jc w:val="right"/>
              <w:cnfStyle w:val="000000100000" w:firstRow="0" w:lastRow="0" w:firstColumn="0" w:lastColumn="0" w:oddVBand="0" w:evenVBand="0" w:oddHBand="1" w:evenHBand="0" w:firstRowFirstColumn="0" w:firstRowLastColumn="0" w:lastRowFirstColumn="0" w:lastRowLastColumn="0"/>
              <w:rPr>
                <w:sz w:val="20"/>
                <w:szCs w:val="20"/>
              </w:rPr>
            </w:pPr>
            <w:r w:rsidRPr="00FB5C78">
              <w:rPr>
                <w:sz w:val="20"/>
                <w:szCs w:val="20"/>
              </w:rPr>
              <w:t>-0,74</w:t>
            </w:r>
          </w:p>
        </w:tc>
        <w:tc>
          <w:tcPr>
            <w:tcW w:w="226" w:type="dxa"/>
            <w:shd w:val="clear" w:color="auto" w:fill="auto"/>
            <w:hideMark/>
          </w:tcPr>
          <w:p w:rsidR="00FB5C78" w:rsidRPr="00FB5C78" w:rsidRDefault="00FB5C78" w:rsidP="00FF5AB8">
            <w:pPr>
              <w:spacing w:after="120"/>
              <w:jc w:val="right"/>
              <w:cnfStyle w:val="000000100000" w:firstRow="0" w:lastRow="0" w:firstColumn="0" w:lastColumn="0" w:oddVBand="0" w:evenVBand="0" w:oddHBand="1" w:evenHBand="0" w:firstRowFirstColumn="0" w:firstRowLastColumn="0" w:lastRowFirstColumn="0" w:lastRowLastColumn="0"/>
              <w:rPr>
                <w:sz w:val="20"/>
                <w:szCs w:val="20"/>
              </w:rPr>
            </w:pPr>
            <w:r w:rsidRPr="00FB5C78">
              <w:rPr>
                <w:sz w:val="20"/>
                <w:szCs w:val="20"/>
              </w:rPr>
              <w:t>*</w:t>
            </w:r>
          </w:p>
        </w:tc>
        <w:tc>
          <w:tcPr>
            <w:tcW w:w="778" w:type="dxa"/>
            <w:shd w:val="clear" w:color="auto" w:fill="auto"/>
            <w:hideMark/>
          </w:tcPr>
          <w:p w:rsidR="00FB5C78" w:rsidRPr="00FB5C78" w:rsidRDefault="00FB5C78" w:rsidP="00FF5AB8">
            <w:pPr>
              <w:spacing w:after="120"/>
              <w:jc w:val="right"/>
              <w:cnfStyle w:val="000000100000" w:firstRow="0" w:lastRow="0" w:firstColumn="0" w:lastColumn="0" w:oddVBand="0" w:evenVBand="0" w:oddHBand="1" w:evenHBand="0" w:firstRowFirstColumn="0" w:firstRowLastColumn="0" w:lastRowFirstColumn="0" w:lastRowLastColumn="0"/>
              <w:rPr>
                <w:sz w:val="20"/>
                <w:szCs w:val="20"/>
              </w:rPr>
            </w:pPr>
            <w:r w:rsidRPr="00FB5C78">
              <w:rPr>
                <w:sz w:val="20"/>
                <w:szCs w:val="20"/>
              </w:rPr>
              <w:t>0,28</w:t>
            </w:r>
          </w:p>
        </w:tc>
        <w:tc>
          <w:tcPr>
            <w:tcW w:w="259" w:type="dxa"/>
            <w:shd w:val="clear" w:color="auto" w:fill="auto"/>
            <w:hideMark/>
          </w:tcPr>
          <w:p w:rsidR="00FB5C78" w:rsidRPr="00FB5C78" w:rsidRDefault="00FB5C78" w:rsidP="00FF5AB8">
            <w:pPr>
              <w:spacing w:after="120"/>
              <w:jc w:val="right"/>
              <w:cnfStyle w:val="000000100000" w:firstRow="0" w:lastRow="0" w:firstColumn="0" w:lastColumn="0" w:oddVBand="0" w:evenVBand="0" w:oddHBand="1" w:evenHBand="0" w:firstRowFirstColumn="0" w:firstRowLastColumn="0" w:lastRowFirstColumn="0" w:lastRowLastColumn="0"/>
              <w:rPr>
                <w:sz w:val="20"/>
                <w:szCs w:val="20"/>
              </w:rPr>
            </w:pPr>
            <w:r w:rsidRPr="00FB5C78">
              <w:rPr>
                <w:sz w:val="20"/>
                <w:szCs w:val="20"/>
              </w:rPr>
              <w:t>*</w:t>
            </w:r>
          </w:p>
        </w:tc>
        <w:tc>
          <w:tcPr>
            <w:tcW w:w="775" w:type="dxa"/>
            <w:shd w:val="clear" w:color="auto" w:fill="auto"/>
            <w:hideMark/>
          </w:tcPr>
          <w:p w:rsidR="00FB5C78" w:rsidRPr="00FB5C78" w:rsidRDefault="00FB5C78" w:rsidP="00FF5AB8">
            <w:pPr>
              <w:spacing w:after="120"/>
              <w:jc w:val="right"/>
              <w:cnfStyle w:val="000000100000" w:firstRow="0" w:lastRow="0" w:firstColumn="0" w:lastColumn="0" w:oddVBand="0" w:evenVBand="0" w:oddHBand="1" w:evenHBand="0" w:firstRowFirstColumn="0" w:firstRowLastColumn="0" w:lastRowFirstColumn="0" w:lastRowLastColumn="0"/>
              <w:rPr>
                <w:sz w:val="20"/>
                <w:szCs w:val="20"/>
              </w:rPr>
            </w:pPr>
            <w:r w:rsidRPr="00FB5C78">
              <w:rPr>
                <w:sz w:val="20"/>
                <w:szCs w:val="20"/>
              </w:rPr>
              <w:t>-1,03</w:t>
            </w:r>
          </w:p>
        </w:tc>
        <w:tc>
          <w:tcPr>
            <w:tcW w:w="274" w:type="dxa"/>
            <w:shd w:val="clear" w:color="auto" w:fill="auto"/>
            <w:hideMark/>
          </w:tcPr>
          <w:p w:rsidR="00FB5C78" w:rsidRPr="00FB5C78" w:rsidRDefault="00FB5C78" w:rsidP="00FF5AB8">
            <w:pPr>
              <w:spacing w:after="120"/>
              <w:jc w:val="right"/>
              <w:cnfStyle w:val="000000100000" w:firstRow="0" w:lastRow="0" w:firstColumn="0" w:lastColumn="0" w:oddVBand="0" w:evenVBand="0" w:oddHBand="1" w:evenHBand="0" w:firstRowFirstColumn="0" w:firstRowLastColumn="0" w:lastRowFirstColumn="0" w:lastRowLastColumn="0"/>
              <w:rPr>
                <w:sz w:val="20"/>
                <w:szCs w:val="20"/>
              </w:rPr>
            </w:pPr>
            <w:r w:rsidRPr="00FB5C78">
              <w:rPr>
                <w:sz w:val="20"/>
                <w:szCs w:val="20"/>
              </w:rPr>
              <w:t> </w:t>
            </w:r>
          </w:p>
        </w:tc>
      </w:tr>
      <w:tr w:rsidR="00FB5C78" w:rsidRPr="00FB5C78" w:rsidTr="00FB5C78">
        <w:trPr>
          <w:trHeight w:hRule="exact" w:val="306"/>
          <w:jc w:val="center"/>
        </w:trPr>
        <w:tc>
          <w:tcPr>
            <w:cnfStyle w:val="001000000000" w:firstRow="0" w:lastRow="0" w:firstColumn="1" w:lastColumn="0" w:oddVBand="0" w:evenVBand="0" w:oddHBand="0" w:evenHBand="0" w:firstRowFirstColumn="0" w:firstRowLastColumn="0" w:lastRowFirstColumn="0" w:lastRowLastColumn="0"/>
            <w:tcW w:w="1718" w:type="dxa"/>
            <w:shd w:val="clear" w:color="auto" w:fill="auto"/>
            <w:hideMark/>
          </w:tcPr>
          <w:p w:rsidR="00FB5C78" w:rsidRPr="00FB5C78" w:rsidRDefault="00FB5C78" w:rsidP="00FF5AB8">
            <w:pPr>
              <w:spacing w:after="120"/>
              <w:jc w:val="both"/>
              <w:rPr>
                <w:b w:val="0"/>
                <w:bCs w:val="0"/>
                <w:sz w:val="20"/>
                <w:szCs w:val="20"/>
              </w:rPr>
            </w:pPr>
            <w:r w:rsidRPr="00FB5C78">
              <w:rPr>
                <w:b w:val="0"/>
                <w:bCs w:val="0"/>
                <w:sz w:val="20"/>
                <w:szCs w:val="20"/>
              </w:rPr>
              <w:t xml:space="preserve">CMT-5 </w:t>
            </w:r>
            <w:proofErr w:type="spellStart"/>
            <w:r w:rsidRPr="00FB5C78">
              <w:rPr>
                <w:b w:val="0"/>
                <w:bCs w:val="0"/>
                <w:sz w:val="20"/>
                <w:szCs w:val="20"/>
              </w:rPr>
              <w:t>years</w:t>
            </w:r>
            <w:proofErr w:type="spellEnd"/>
          </w:p>
        </w:tc>
        <w:tc>
          <w:tcPr>
            <w:tcW w:w="697" w:type="dxa"/>
            <w:shd w:val="clear" w:color="auto" w:fill="auto"/>
            <w:hideMark/>
          </w:tcPr>
          <w:p w:rsidR="00FB5C78" w:rsidRPr="00FB5C78" w:rsidRDefault="00FB5C78" w:rsidP="00FF5AB8">
            <w:pPr>
              <w:spacing w:after="120"/>
              <w:jc w:val="right"/>
              <w:cnfStyle w:val="000000000000" w:firstRow="0" w:lastRow="0" w:firstColumn="0" w:lastColumn="0" w:oddVBand="0" w:evenVBand="0" w:oddHBand="0" w:evenHBand="0" w:firstRowFirstColumn="0" w:firstRowLastColumn="0" w:lastRowFirstColumn="0" w:lastRowLastColumn="0"/>
              <w:rPr>
                <w:sz w:val="20"/>
                <w:szCs w:val="20"/>
              </w:rPr>
            </w:pPr>
            <w:r w:rsidRPr="00FB5C78">
              <w:rPr>
                <w:sz w:val="20"/>
                <w:szCs w:val="20"/>
              </w:rPr>
              <w:t>-2,33</w:t>
            </w:r>
          </w:p>
        </w:tc>
        <w:tc>
          <w:tcPr>
            <w:tcW w:w="243" w:type="dxa"/>
            <w:shd w:val="clear" w:color="auto" w:fill="auto"/>
            <w:hideMark/>
          </w:tcPr>
          <w:p w:rsidR="00FB5C78" w:rsidRPr="00FB5C78" w:rsidRDefault="00FB5C78" w:rsidP="00FF5AB8">
            <w:pPr>
              <w:spacing w:after="120"/>
              <w:jc w:val="right"/>
              <w:cnfStyle w:val="000000000000" w:firstRow="0" w:lastRow="0" w:firstColumn="0" w:lastColumn="0" w:oddVBand="0" w:evenVBand="0" w:oddHBand="0" w:evenHBand="0" w:firstRowFirstColumn="0" w:firstRowLastColumn="0" w:lastRowFirstColumn="0" w:lastRowLastColumn="0"/>
              <w:rPr>
                <w:sz w:val="20"/>
                <w:szCs w:val="20"/>
              </w:rPr>
            </w:pPr>
            <w:r w:rsidRPr="00FB5C78">
              <w:rPr>
                <w:sz w:val="20"/>
                <w:szCs w:val="20"/>
              </w:rPr>
              <w:t> </w:t>
            </w:r>
          </w:p>
        </w:tc>
        <w:tc>
          <w:tcPr>
            <w:tcW w:w="775" w:type="dxa"/>
            <w:shd w:val="clear" w:color="auto" w:fill="auto"/>
            <w:hideMark/>
          </w:tcPr>
          <w:p w:rsidR="00FB5C78" w:rsidRPr="00FB5C78" w:rsidRDefault="00FB5C78" w:rsidP="00FF5AB8">
            <w:pPr>
              <w:spacing w:after="120"/>
              <w:jc w:val="right"/>
              <w:cnfStyle w:val="000000000000" w:firstRow="0" w:lastRow="0" w:firstColumn="0" w:lastColumn="0" w:oddVBand="0" w:evenVBand="0" w:oddHBand="0" w:evenHBand="0" w:firstRowFirstColumn="0" w:firstRowLastColumn="0" w:lastRowFirstColumn="0" w:lastRowLastColumn="0"/>
              <w:rPr>
                <w:sz w:val="20"/>
                <w:szCs w:val="20"/>
              </w:rPr>
            </w:pPr>
            <w:r w:rsidRPr="00FB5C78">
              <w:rPr>
                <w:sz w:val="20"/>
                <w:szCs w:val="20"/>
              </w:rPr>
              <w:t>-1,31</w:t>
            </w:r>
          </w:p>
        </w:tc>
        <w:tc>
          <w:tcPr>
            <w:tcW w:w="203" w:type="dxa"/>
            <w:shd w:val="clear" w:color="auto" w:fill="auto"/>
            <w:hideMark/>
          </w:tcPr>
          <w:p w:rsidR="00FB5C78" w:rsidRPr="00FB5C78" w:rsidRDefault="00FB5C78" w:rsidP="00FF5AB8">
            <w:pPr>
              <w:spacing w:after="120"/>
              <w:jc w:val="right"/>
              <w:cnfStyle w:val="000000000000" w:firstRow="0" w:lastRow="0" w:firstColumn="0" w:lastColumn="0" w:oddVBand="0" w:evenVBand="0" w:oddHBand="0" w:evenHBand="0" w:firstRowFirstColumn="0" w:firstRowLastColumn="0" w:lastRowFirstColumn="0" w:lastRowLastColumn="0"/>
              <w:rPr>
                <w:sz w:val="20"/>
                <w:szCs w:val="20"/>
              </w:rPr>
            </w:pPr>
            <w:r w:rsidRPr="00FB5C78">
              <w:rPr>
                <w:sz w:val="20"/>
                <w:szCs w:val="20"/>
              </w:rPr>
              <w:t>*</w:t>
            </w:r>
          </w:p>
        </w:tc>
        <w:tc>
          <w:tcPr>
            <w:tcW w:w="777" w:type="dxa"/>
            <w:shd w:val="clear" w:color="auto" w:fill="auto"/>
            <w:hideMark/>
          </w:tcPr>
          <w:p w:rsidR="00FB5C78" w:rsidRPr="00FB5C78" w:rsidRDefault="00FB5C78" w:rsidP="00FF5AB8">
            <w:pPr>
              <w:spacing w:after="120"/>
              <w:jc w:val="right"/>
              <w:cnfStyle w:val="000000000000" w:firstRow="0" w:lastRow="0" w:firstColumn="0" w:lastColumn="0" w:oddVBand="0" w:evenVBand="0" w:oddHBand="0" w:evenHBand="0" w:firstRowFirstColumn="0" w:firstRowLastColumn="0" w:lastRowFirstColumn="0" w:lastRowLastColumn="0"/>
              <w:rPr>
                <w:sz w:val="20"/>
                <w:szCs w:val="20"/>
              </w:rPr>
            </w:pPr>
            <w:r w:rsidRPr="00FB5C78">
              <w:rPr>
                <w:sz w:val="20"/>
                <w:szCs w:val="20"/>
              </w:rPr>
              <w:t>-3,43</w:t>
            </w:r>
          </w:p>
        </w:tc>
        <w:tc>
          <w:tcPr>
            <w:tcW w:w="226" w:type="dxa"/>
            <w:shd w:val="clear" w:color="auto" w:fill="auto"/>
            <w:hideMark/>
          </w:tcPr>
          <w:p w:rsidR="00FB5C78" w:rsidRPr="00FB5C78" w:rsidRDefault="00FB5C78" w:rsidP="00FF5AB8">
            <w:pPr>
              <w:spacing w:after="120"/>
              <w:jc w:val="right"/>
              <w:cnfStyle w:val="000000000000" w:firstRow="0" w:lastRow="0" w:firstColumn="0" w:lastColumn="0" w:oddVBand="0" w:evenVBand="0" w:oddHBand="0" w:evenHBand="0" w:firstRowFirstColumn="0" w:firstRowLastColumn="0" w:lastRowFirstColumn="0" w:lastRowLastColumn="0"/>
              <w:rPr>
                <w:sz w:val="20"/>
                <w:szCs w:val="20"/>
              </w:rPr>
            </w:pPr>
            <w:r w:rsidRPr="00FB5C78">
              <w:rPr>
                <w:sz w:val="20"/>
                <w:szCs w:val="20"/>
              </w:rPr>
              <w:t> </w:t>
            </w:r>
          </w:p>
        </w:tc>
        <w:tc>
          <w:tcPr>
            <w:tcW w:w="775" w:type="dxa"/>
            <w:shd w:val="clear" w:color="auto" w:fill="auto"/>
            <w:hideMark/>
          </w:tcPr>
          <w:p w:rsidR="00FB5C78" w:rsidRPr="00FB5C78" w:rsidRDefault="00FB5C78" w:rsidP="00FF5AB8">
            <w:pPr>
              <w:spacing w:after="120"/>
              <w:jc w:val="right"/>
              <w:cnfStyle w:val="000000000000" w:firstRow="0" w:lastRow="0" w:firstColumn="0" w:lastColumn="0" w:oddVBand="0" w:evenVBand="0" w:oddHBand="0" w:evenHBand="0" w:firstRowFirstColumn="0" w:firstRowLastColumn="0" w:lastRowFirstColumn="0" w:lastRowLastColumn="0"/>
              <w:rPr>
                <w:sz w:val="20"/>
                <w:szCs w:val="20"/>
              </w:rPr>
            </w:pPr>
            <w:r w:rsidRPr="00FB5C78">
              <w:rPr>
                <w:sz w:val="20"/>
                <w:szCs w:val="20"/>
              </w:rPr>
              <w:t>-0,52</w:t>
            </w:r>
          </w:p>
        </w:tc>
        <w:tc>
          <w:tcPr>
            <w:tcW w:w="226" w:type="dxa"/>
            <w:shd w:val="clear" w:color="auto" w:fill="auto"/>
            <w:hideMark/>
          </w:tcPr>
          <w:p w:rsidR="00FB5C78" w:rsidRPr="00FB5C78" w:rsidRDefault="00FB5C78" w:rsidP="00FF5AB8">
            <w:pPr>
              <w:spacing w:after="120"/>
              <w:jc w:val="right"/>
              <w:cnfStyle w:val="000000000000" w:firstRow="0" w:lastRow="0" w:firstColumn="0" w:lastColumn="0" w:oddVBand="0" w:evenVBand="0" w:oddHBand="0" w:evenHBand="0" w:firstRowFirstColumn="0" w:firstRowLastColumn="0" w:lastRowFirstColumn="0" w:lastRowLastColumn="0"/>
              <w:rPr>
                <w:sz w:val="20"/>
                <w:szCs w:val="20"/>
              </w:rPr>
            </w:pPr>
            <w:r w:rsidRPr="00FB5C78">
              <w:rPr>
                <w:sz w:val="20"/>
                <w:szCs w:val="20"/>
              </w:rPr>
              <w:t>*</w:t>
            </w:r>
          </w:p>
        </w:tc>
        <w:tc>
          <w:tcPr>
            <w:tcW w:w="778" w:type="dxa"/>
            <w:shd w:val="clear" w:color="auto" w:fill="auto"/>
            <w:hideMark/>
          </w:tcPr>
          <w:p w:rsidR="00FB5C78" w:rsidRPr="00FB5C78" w:rsidRDefault="00FB5C78" w:rsidP="00FF5AB8">
            <w:pPr>
              <w:spacing w:after="120"/>
              <w:jc w:val="right"/>
              <w:cnfStyle w:val="000000000000" w:firstRow="0" w:lastRow="0" w:firstColumn="0" w:lastColumn="0" w:oddVBand="0" w:evenVBand="0" w:oddHBand="0" w:evenHBand="0" w:firstRowFirstColumn="0" w:firstRowLastColumn="0" w:lastRowFirstColumn="0" w:lastRowLastColumn="0"/>
              <w:rPr>
                <w:sz w:val="20"/>
                <w:szCs w:val="20"/>
              </w:rPr>
            </w:pPr>
            <w:r w:rsidRPr="00FB5C78">
              <w:rPr>
                <w:sz w:val="20"/>
                <w:szCs w:val="20"/>
              </w:rPr>
              <w:t>-3,36</w:t>
            </w:r>
          </w:p>
        </w:tc>
        <w:tc>
          <w:tcPr>
            <w:tcW w:w="259" w:type="dxa"/>
            <w:shd w:val="clear" w:color="auto" w:fill="auto"/>
            <w:hideMark/>
          </w:tcPr>
          <w:p w:rsidR="00FB5C78" w:rsidRPr="00FB5C78" w:rsidRDefault="00FB5C78" w:rsidP="00FF5AB8">
            <w:pPr>
              <w:spacing w:after="120"/>
              <w:jc w:val="right"/>
              <w:cnfStyle w:val="000000000000" w:firstRow="0" w:lastRow="0" w:firstColumn="0" w:lastColumn="0" w:oddVBand="0" w:evenVBand="0" w:oddHBand="0" w:evenHBand="0" w:firstRowFirstColumn="0" w:firstRowLastColumn="0" w:lastRowFirstColumn="0" w:lastRowLastColumn="0"/>
              <w:rPr>
                <w:sz w:val="20"/>
                <w:szCs w:val="20"/>
              </w:rPr>
            </w:pPr>
            <w:r w:rsidRPr="00FB5C78">
              <w:rPr>
                <w:sz w:val="20"/>
                <w:szCs w:val="20"/>
              </w:rPr>
              <w:t> </w:t>
            </w:r>
          </w:p>
        </w:tc>
        <w:tc>
          <w:tcPr>
            <w:tcW w:w="775" w:type="dxa"/>
            <w:shd w:val="clear" w:color="auto" w:fill="auto"/>
            <w:hideMark/>
          </w:tcPr>
          <w:p w:rsidR="00FB5C78" w:rsidRPr="00FB5C78" w:rsidRDefault="00FB5C78" w:rsidP="00FF5AB8">
            <w:pPr>
              <w:spacing w:after="120"/>
              <w:jc w:val="right"/>
              <w:cnfStyle w:val="000000000000" w:firstRow="0" w:lastRow="0" w:firstColumn="0" w:lastColumn="0" w:oddVBand="0" w:evenVBand="0" w:oddHBand="0" w:evenHBand="0" w:firstRowFirstColumn="0" w:firstRowLastColumn="0" w:lastRowFirstColumn="0" w:lastRowLastColumn="0"/>
              <w:rPr>
                <w:sz w:val="20"/>
                <w:szCs w:val="20"/>
              </w:rPr>
            </w:pPr>
            <w:r w:rsidRPr="00FB5C78">
              <w:rPr>
                <w:sz w:val="20"/>
                <w:szCs w:val="20"/>
              </w:rPr>
              <w:t>3,29</w:t>
            </w:r>
          </w:p>
        </w:tc>
        <w:tc>
          <w:tcPr>
            <w:tcW w:w="274" w:type="dxa"/>
            <w:shd w:val="clear" w:color="auto" w:fill="auto"/>
            <w:hideMark/>
          </w:tcPr>
          <w:p w:rsidR="00FB5C78" w:rsidRPr="00FB5C78" w:rsidRDefault="00FB5C78" w:rsidP="00FF5AB8">
            <w:pPr>
              <w:spacing w:after="120"/>
              <w:jc w:val="right"/>
              <w:cnfStyle w:val="000000000000" w:firstRow="0" w:lastRow="0" w:firstColumn="0" w:lastColumn="0" w:oddVBand="0" w:evenVBand="0" w:oddHBand="0" w:evenHBand="0" w:firstRowFirstColumn="0" w:firstRowLastColumn="0" w:lastRowFirstColumn="0" w:lastRowLastColumn="0"/>
              <w:rPr>
                <w:sz w:val="20"/>
                <w:szCs w:val="20"/>
              </w:rPr>
            </w:pPr>
            <w:r w:rsidRPr="00FB5C78">
              <w:rPr>
                <w:sz w:val="20"/>
                <w:szCs w:val="20"/>
              </w:rPr>
              <w:t>*</w:t>
            </w:r>
          </w:p>
        </w:tc>
      </w:tr>
      <w:tr w:rsidR="00FB5C78" w:rsidRPr="00FB5C78" w:rsidTr="00FB5C78">
        <w:trPr>
          <w:cnfStyle w:val="000000100000" w:firstRow="0" w:lastRow="0" w:firstColumn="0" w:lastColumn="0" w:oddVBand="0" w:evenVBand="0" w:oddHBand="1" w:evenHBand="0" w:firstRowFirstColumn="0" w:firstRowLastColumn="0" w:lastRowFirstColumn="0" w:lastRowLastColumn="0"/>
          <w:trHeight w:hRule="exact" w:val="643"/>
          <w:jc w:val="center"/>
        </w:trPr>
        <w:tc>
          <w:tcPr>
            <w:cnfStyle w:val="001000000000" w:firstRow="0" w:lastRow="0" w:firstColumn="1" w:lastColumn="0" w:oddVBand="0" w:evenVBand="0" w:oddHBand="0" w:evenHBand="0" w:firstRowFirstColumn="0" w:firstRowLastColumn="0" w:lastRowFirstColumn="0" w:lastRowLastColumn="0"/>
            <w:tcW w:w="1718" w:type="dxa"/>
            <w:shd w:val="clear" w:color="auto" w:fill="auto"/>
            <w:hideMark/>
          </w:tcPr>
          <w:p w:rsidR="00FB5C78" w:rsidRPr="00FB5C78" w:rsidRDefault="00FB5C78" w:rsidP="00FF5AB8">
            <w:pPr>
              <w:spacing w:after="120"/>
              <w:jc w:val="both"/>
              <w:rPr>
                <w:b w:val="0"/>
                <w:bCs w:val="0"/>
                <w:sz w:val="20"/>
                <w:szCs w:val="20"/>
              </w:rPr>
            </w:pPr>
            <w:r w:rsidRPr="00FB5C78">
              <w:rPr>
                <w:b w:val="0"/>
                <w:bCs w:val="0"/>
                <w:sz w:val="20"/>
                <w:szCs w:val="20"/>
              </w:rPr>
              <w:t xml:space="preserve">5 </w:t>
            </w:r>
            <w:proofErr w:type="spellStart"/>
            <w:r w:rsidRPr="00FB5C78">
              <w:rPr>
                <w:b w:val="0"/>
                <w:bCs w:val="0"/>
                <w:sz w:val="20"/>
                <w:szCs w:val="20"/>
              </w:rPr>
              <w:t>years</w:t>
            </w:r>
            <w:proofErr w:type="spellEnd"/>
            <w:r w:rsidRPr="00FB5C78">
              <w:rPr>
                <w:b w:val="0"/>
                <w:bCs w:val="0"/>
                <w:sz w:val="20"/>
                <w:szCs w:val="20"/>
              </w:rPr>
              <w:t xml:space="preserve"> US </w:t>
            </w:r>
            <w:proofErr w:type="spellStart"/>
            <w:r w:rsidRPr="00FB5C78">
              <w:rPr>
                <w:b w:val="0"/>
                <w:bCs w:val="0"/>
                <w:sz w:val="20"/>
                <w:szCs w:val="20"/>
              </w:rPr>
              <w:t>Treasury</w:t>
            </w:r>
            <w:proofErr w:type="spellEnd"/>
            <w:r w:rsidRPr="00FB5C78">
              <w:rPr>
                <w:b w:val="0"/>
                <w:bCs w:val="0"/>
                <w:sz w:val="20"/>
                <w:szCs w:val="20"/>
              </w:rPr>
              <w:t xml:space="preserve"> </w:t>
            </w:r>
            <w:proofErr w:type="spellStart"/>
            <w:r w:rsidRPr="00FB5C78">
              <w:rPr>
                <w:b w:val="0"/>
                <w:bCs w:val="0"/>
                <w:sz w:val="20"/>
                <w:szCs w:val="20"/>
              </w:rPr>
              <w:t>Excess</w:t>
            </w:r>
            <w:proofErr w:type="spellEnd"/>
            <w:r w:rsidRPr="00FB5C78">
              <w:rPr>
                <w:b w:val="0"/>
                <w:bCs w:val="0"/>
                <w:sz w:val="20"/>
                <w:szCs w:val="20"/>
              </w:rPr>
              <w:t xml:space="preserve"> </w:t>
            </w:r>
            <w:proofErr w:type="spellStart"/>
            <w:r w:rsidRPr="00FB5C78">
              <w:rPr>
                <w:b w:val="0"/>
                <w:bCs w:val="0"/>
                <w:sz w:val="20"/>
                <w:szCs w:val="20"/>
              </w:rPr>
              <w:t>Returns</w:t>
            </w:r>
            <w:proofErr w:type="spellEnd"/>
          </w:p>
        </w:tc>
        <w:tc>
          <w:tcPr>
            <w:tcW w:w="697" w:type="dxa"/>
            <w:shd w:val="clear" w:color="auto" w:fill="auto"/>
            <w:hideMark/>
          </w:tcPr>
          <w:p w:rsidR="00FB5C78" w:rsidRPr="00FB5C78" w:rsidRDefault="00FB5C78" w:rsidP="00FF5AB8">
            <w:pPr>
              <w:spacing w:after="120"/>
              <w:jc w:val="right"/>
              <w:cnfStyle w:val="000000100000" w:firstRow="0" w:lastRow="0" w:firstColumn="0" w:lastColumn="0" w:oddVBand="0" w:evenVBand="0" w:oddHBand="1" w:evenHBand="0" w:firstRowFirstColumn="0" w:firstRowLastColumn="0" w:lastRowFirstColumn="0" w:lastRowLastColumn="0"/>
              <w:rPr>
                <w:sz w:val="20"/>
                <w:szCs w:val="20"/>
              </w:rPr>
            </w:pPr>
            <w:r w:rsidRPr="00FB5C78">
              <w:rPr>
                <w:sz w:val="20"/>
                <w:szCs w:val="20"/>
              </w:rPr>
              <w:t>1,59</w:t>
            </w:r>
          </w:p>
        </w:tc>
        <w:tc>
          <w:tcPr>
            <w:tcW w:w="243" w:type="dxa"/>
            <w:shd w:val="clear" w:color="auto" w:fill="auto"/>
            <w:hideMark/>
          </w:tcPr>
          <w:p w:rsidR="00FB5C78" w:rsidRPr="00FB5C78" w:rsidRDefault="00FB5C78" w:rsidP="00FF5AB8">
            <w:pPr>
              <w:spacing w:after="120"/>
              <w:jc w:val="right"/>
              <w:cnfStyle w:val="000000100000" w:firstRow="0" w:lastRow="0" w:firstColumn="0" w:lastColumn="0" w:oddVBand="0" w:evenVBand="0" w:oddHBand="1" w:evenHBand="0" w:firstRowFirstColumn="0" w:firstRowLastColumn="0" w:lastRowFirstColumn="0" w:lastRowLastColumn="0"/>
              <w:rPr>
                <w:sz w:val="20"/>
                <w:szCs w:val="20"/>
              </w:rPr>
            </w:pPr>
            <w:r w:rsidRPr="00FB5C78">
              <w:rPr>
                <w:sz w:val="20"/>
                <w:szCs w:val="20"/>
              </w:rPr>
              <w:t>*</w:t>
            </w:r>
          </w:p>
        </w:tc>
        <w:tc>
          <w:tcPr>
            <w:tcW w:w="775" w:type="dxa"/>
            <w:shd w:val="clear" w:color="auto" w:fill="auto"/>
            <w:hideMark/>
          </w:tcPr>
          <w:p w:rsidR="00FB5C78" w:rsidRPr="00FB5C78" w:rsidRDefault="00FB5C78" w:rsidP="00FF5AB8">
            <w:pPr>
              <w:spacing w:after="120"/>
              <w:jc w:val="right"/>
              <w:cnfStyle w:val="000000100000" w:firstRow="0" w:lastRow="0" w:firstColumn="0" w:lastColumn="0" w:oddVBand="0" w:evenVBand="0" w:oddHBand="1" w:evenHBand="0" w:firstRowFirstColumn="0" w:firstRowLastColumn="0" w:lastRowFirstColumn="0" w:lastRowLastColumn="0"/>
              <w:rPr>
                <w:sz w:val="20"/>
                <w:szCs w:val="20"/>
              </w:rPr>
            </w:pPr>
            <w:r w:rsidRPr="00FB5C78">
              <w:rPr>
                <w:sz w:val="20"/>
                <w:szCs w:val="20"/>
              </w:rPr>
              <w:t>-0,74</w:t>
            </w:r>
          </w:p>
        </w:tc>
        <w:tc>
          <w:tcPr>
            <w:tcW w:w="203" w:type="dxa"/>
            <w:shd w:val="clear" w:color="auto" w:fill="auto"/>
            <w:hideMark/>
          </w:tcPr>
          <w:p w:rsidR="00FB5C78" w:rsidRPr="00FB5C78" w:rsidRDefault="00FB5C78" w:rsidP="00FF5AB8">
            <w:pPr>
              <w:spacing w:after="120"/>
              <w:jc w:val="right"/>
              <w:cnfStyle w:val="000000100000" w:firstRow="0" w:lastRow="0" w:firstColumn="0" w:lastColumn="0" w:oddVBand="0" w:evenVBand="0" w:oddHBand="1" w:evenHBand="0" w:firstRowFirstColumn="0" w:firstRowLastColumn="0" w:lastRowFirstColumn="0" w:lastRowLastColumn="0"/>
              <w:rPr>
                <w:sz w:val="20"/>
                <w:szCs w:val="20"/>
              </w:rPr>
            </w:pPr>
            <w:r w:rsidRPr="00FB5C78">
              <w:rPr>
                <w:sz w:val="20"/>
                <w:szCs w:val="20"/>
              </w:rPr>
              <w:t>*</w:t>
            </w:r>
          </w:p>
        </w:tc>
        <w:tc>
          <w:tcPr>
            <w:tcW w:w="777" w:type="dxa"/>
            <w:shd w:val="clear" w:color="auto" w:fill="auto"/>
            <w:hideMark/>
          </w:tcPr>
          <w:p w:rsidR="00FB5C78" w:rsidRPr="00FB5C78" w:rsidRDefault="00FB5C78" w:rsidP="00FF5AB8">
            <w:pPr>
              <w:spacing w:after="120"/>
              <w:jc w:val="right"/>
              <w:cnfStyle w:val="000000100000" w:firstRow="0" w:lastRow="0" w:firstColumn="0" w:lastColumn="0" w:oddVBand="0" w:evenVBand="0" w:oddHBand="1" w:evenHBand="0" w:firstRowFirstColumn="0" w:firstRowLastColumn="0" w:lastRowFirstColumn="0" w:lastRowLastColumn="0"/>
              <w:rPr>
                <w:sz w:val="20"/>
                <w:szCs w:val="20"/>
              </w:rPr>
            </w:pPr>
            <w:r w:rsidRPr="00FB5C78">
              <w:rPr>
                <w:sz w:val="20"/>
                <w:szCs w:val="20"/>
              </w:rPr>
              <w:t>-2,36</w:t>
            </w:r>
          </w:p>
        </w:tc>
        <w:tc>
          <w:tcPr>
            <w:tcW w:w="226" w:type="dxa"/>
            <w:shd w:val="clear" w:color="auto" w:fill="auto"/>
            <w:hideMark/>
          </w:tcPr>
          <w:p w:rsidR="00FB5C78" w:rsidRPr="00FB5C78" w:rsidRDefault="00FB5C78" w:rsidP="00FF5AB8">
            <w:pPr>
              <w:spacing w:after="120"/>
              <w:jc w:val="right"/>
              <w:cnfStyle w:val="000000100000" w:firstRow="0" w:lastRow="0" w:firstColumn="0" w:lastColumn="0" w:oddVBand="0" w:evenVBand="0" w:oddHBand="1" w:evenHBand="0" w:firstRowFirstColumn="0" w:firstRowLastColumn="0" w:lastRowFirstColumn="0" w:lastRowLastColumn="0"/>
              <w:rPr>
                <w:sz w:val="20"/>
                <w:szCs w:val="20"/>
              </w:rPr>
            </w:pPr>
            <w:r w:rsidRPr="00FB5C78">
              <w:rPr>
                <w:sz w:val="20"/>
                <w:szCs w:val="20"/>
              </w:rPr>
              <w:t>*</w:t>
            </w:r>
          </w:p>
        </w:tc>
        <w:tc>
          <w:tcPr>
            <w:tcW w:w="775" w:type="dxa"/>
            <w:shd w:val="clear" w:color="auto" w:fill="auto"/>
            <w:hideMark/>
          </w:tcPr>
          <w:p w:rsidR="00FB5C78" w:rsidRPr="00FB5C78" w:rsidRDefault="00FB5C78" w:rsidP="00FF5AB8">
            <w:pPr>
              <w:spacing w:after="120"/>
              <w:jc w:val="right"/>
              <w:cnfStyle w:val="000000100000" w:firstRow="0" w:lastRow="0" w:firstColumn="0" w:lastColumn="0" w:oddVBand="0" w:evenVBand="0" w:oddHBand="1" w:evenHBand="0" w:firstRowFirstColumn="0" w:firstRowLastColumn="0" w:lastRowFirstColumn="0" w:lastRowLastColumn="0"/>
              <w:rPr>
                <w:sz w:val="20"/>
                <w:szCs w:val="20"/>
              </w:rPr>
            </w:pPr>
            <w:r w:rsidRPr="00FB5C78">
              <w:rPr>
                <w:sz w:val="20"/>
                <w:szCs w:val="20"/>
              </w:rPr>
              <w:t>2,64</w:t>
            </w:r>
          </w:p>
        </w:tc>
        <w:tc>
          <w:tcPr>
            <w:tcW w:w="226" w:type="dxa"/>
            <w:shd w:val="clear" w:color="auto" w:fill="auto"/>
            <w:hideMark/>
          </w:tcPr>
          <w:p w:rsidR="00FB5C78" w:rsidRPr="00FB5C78" w:rsidRDefault="00FB5C78" w:rsidP="00FF5AB8">
            <w:pPr>
              <w:spacing w:after="120"/>
              <w:jc w:val="right"/>
              <w:cnfStyle w:val="000000100000" w:firstRow="0" w:lastRow="0" w:firstColumn="0" w:lastColumn="0" w:oddVBand="0" w:evenVBand="0" w:oddHBand="1" w:evenHBand="0" w:firstRowFirstColumn="0" w:firstRowLastColumn="0" w:lastRowFirstColumn="0" w:lastRowLastColumn="0"/>
              <w:rPr>
                <w:sz w:val="20"/>
                <w:szCs w:val="20"/>
              </w:rPr>
            </w:pPr>
            <w:r w:rsidRPr="00FB5C78">
              <w:rPr>
                <w:sz w:val="20"/>
                <w:szCs w:val="20"/>
              </w:rPr>
              <w:t>*</w:t>
            </w:r>
          </w:p>
        </w:tc>
        <w:tc>
          <w:tcPr>
            <w:tcW w:w="778" w:type="dxa"/>
            <w:shd w:val="clear" w:color="auto" w:fill="auto"/>
            <w:hideMark/>
          </w:tcPr>
          <w:p w:rsidR="00FB5C78" w:rsidRPr="00FB5C78" w:rsidRDefault="00FB5C78" w:rsidP="00FF5AB8">
            <w:pPr>
              <w:spacing w:after="120"/>
              <w:jc w:val="right"/>
              <w:cnfStyle w:val="000000100000" w:firstRow="0" w:lastRow="0" w:firstColumn="0" w:lastColumn="0" w:oddVBand="0" w:evenVBand="0" w:oddHBand="1" w:evenHBand="0" w:firstRowFirstColumn="0" w:firstRowLastColumn="0" w:lastRowFirstColumn="0" w:lastRowLastColumn="0"/>
              <w:rPr>
                <w:sz w:val="20"/>
                <w:szCs w:val="20"/>
              </w:rPr>
            </w:pPr>
            <w:r w:rsidRPr="00FB5C78">
              <w:rPr>
                <w:sz w:val="20"/>
                <w:szCs w:val="20"/>
              </w:rPr>
              <w:t>-1,05</w:t>
            </w:r>
          </w:p>
        </w:tc>
        <w:tc>
          <w:tcPr>
            <w:tcW w:w="259" w:type="dxa"/>
            <w:shd w:val="clear" w:color="auto" w:fill="auto"/>
            <w:hideMark/>
          </w:tcPr>
          <w:p w:rsidR="00FB5C78" w:rsidRPr="00FB5C78" w:rsidRDefault="00FB5C78" w:rsidP="00FF5AB8">
            <w:pPr>
              <w:spacing w:after="120"/>
              <w:jc w:val="right"/>
              <w:cnfStyle w:val="000000100000" w:firstRow="0" w:lastRow="0" w:firstColumn="0" w:lastColumn="0" w:oddVBand="0" w:evenVBand="0" w:oddHBand="1" w:evenHBand="0" w:firstRowFirstColumn="0" w:firstRowLastColumn="0" w:lastRowFirstColumn="0" w:lastRowLastColumn="0"/>
              <w:rPr>
                <w:sz w:val="20"/>
                <w:szCs w:val="20"/>
              </w:rPr>
            </w:pPr>
            <w:r w:rsidRPr="00FB5C78">
              <w:rPr>
                <w:sz w:val="20"/>
                <w:szCs w:val="20"/>
              </w:rPr>
              <w:t>*</w:t>
            </w:r>
          </w:p>
        </w:tc>
        <w:tc>
          <w:tcPr>
            <w:tcW w:w="775" w:type="dxa"/>
            <w:shd w:val="clear" w:color="auto" w:fill="auto"/>
            <w:hideMark/>
          </w:tcPr>
          <w:p w:rsidR="00FB5C78" w:rsidRPr="00FB5C78" w:rsidRDefault="00FB5C78" w:rsidP="00FF5AB8">
            <w:pPr>
              <w:spacing w:after="120"/>
              <w:jc w:val="right"/>
              <w:cnfStyle w:val="000000100000" w:firstRow="0" w:lastRow="0" w:firstColumn="0" w:lastColumn="0" w:oddVBand="0" w:evenVBand="0" w:oddHBand="1" w:evenHBand="0" w:firstRowFirstColumn="0" w:firstRowLastColumn="0" w:lastRowFirstColumn="0" w:lastRowLastColumn="0"/>
              <w:rPr>
                <w:sz w:val="20"/>
                <w:szCs w:val="20"/>
              </w:rPr>
            </w:pPr>
            <w:r w:rsidRPr="00FB5C78">
              <w:rPr>
                <w:sz w:val="20"/>
                <w:szCs w:val="20"/>
              </w:rPr>
              <w:t>1,89</w:t>
            </w:r>
          </w:p>
        </w:tc>
        <w:tc>
          <w:tcPr>
            <w:tcW w:w="274" w:type="dxa"/>
            <w:shd w:val="clear" w:color="auto" w:fill="auto"/>
            <w:hideMark/>
          </w:tcPr>
          <w:p w:rsidR="00FB5C78" w:rsidRPr="00FB5C78" w:rsidRDefault="00FB5C78" w:rsidP="00FF5AB8">
            <w:pPr>
              <w:spacing w:after="120"/>
              <w:jc w:val="right"/>
              <w:cnfStyle w:val="000000100000" w:firstRow="0" w:lastRow="0" w:firstColumn="0" w:lastColumn="0" w:oddVBand="0" w:evenVBand="0" w:oddHBand="1" w:evenHBand="0" w:firstRowFirstColumn="0" w:firstRowLastColumn="0" w:lastRowFirstColumn="0" w:lastRowLastColumn="0"/>
              <w:rPr>
                <w:sz w:val="20"/>
                <w:szCs w:val="20"/>
              </w:rPr>
            </w:pPr>
            <w:r w:rsidRPr="00FB5C78">
              <w:rPr>
                <w:sz w:val="20"/>
                <w:szCs w:val="20"/>
              </w:rPr>
              <w:t>*</w:t>
            </w:r>
          </w:p>
        </w:tc>
      </w:tr>
      <w:tr w:rsidR="00FB5C78" w:rsidRPr="00FB5C78" w:rsidTr="00FB5C78">
        <w:trPr>
          <w:trHeight w:hRule="exact" w:val="306"/>
          <w:jc w:val="center"/>
        </w:trPr>
        <w:tc>
          <w:tcPr>
            <w:cnfStyle w:val="001000000000" w:firstRow="0" w:lastRow="0" w:firstColumn="1" w:lastColumn="0" w:oddVBand="0" w:evenVBand="0" w:oddHBand="0" w:evenHBand="0" w:firstRowFirstColumn="0" w:firstRowLastColumn="0" w:lastRowFirstColumn="0" w:lastRowLastColumn="0"/>
            <w:tcW w:w="1718" w:type="dxa"/>
            <w:shd w:val="clear" w:color="auto" w:fill="auto"/>
            <w:hideMark/>
          </w:tcPr>
          <w:p w:rsidR="00FB5C78" w:rsidRPr="00FB5C78" w:rsidRDefault="00FB5C78" w:rsidP="00FF5AB8">
            <w:pPr>
              <w:spacing w:after="120"/>
              <w:jc w:val="both"/>
              <w:rPr>
                <w:b w:val="0"/>
                <w:bCs w:val="0"/>
                <w:sz w:val="20"/>
                <w:szCs w:val="20"/>
              </w:rPr>
            </w:pPr>
            <w:r w:rsidRPr="00FB5C78">
              <w:rPr>
                <w:b w:val="0"/>
                <w:bCs w:val="0"/>
                <w:sz w:val="20"/>
                <w:szCs w:val="20"/>
              </w:rPr>
              <w:t>EMBI</w:t>
            </w:r>
          </w:p>
        </w:tc>
        <w:tc>
          <w:tcPr>
            <w:tcW w:w="697" w:type="dxa"/>
            <w:shd w:val="clear" w:color="auto" w:fill="auto"/>
            <w:hideMark/>
          </w:tcPr>
          <w:p w:rsidR="00FB5C78" w:rsidRPr="00FB5C78" w:rsidRDefault="00FB5C78" w:rsidP="00FF5AB8">
            <w:pPr>
              <w:spacing w:after="120"/>
              <w:jc w:val="right"/>
              <w:cnfStyle w:val="000000000000" w:firstRow="0" w:lastRow="0" w:firstColumn="0" w:lastColumn="0" w:oddVBand="0" w:evenVBand="0" w:oddHBand="0" w:evenHBand="0" w:firstRowFirstColumn="0" w:firstRowLastColumn="0" w:lastRowFirstColumn="0" w:lastRowLastColumn="0"/>
              <w:rPr>
                <w:sz w:val="20"/>
                <w:szCs w:val="20"/>
              </w:rPr>
            </w:pPr>
            <w:r w:rsidRPr="00FB5C78">
              <w:rPr>
                <w:sz w:val="20"/>
                <w:szCs w:val="20"/>
              </w:rPr>
              <w:t>-2,79</w:t>
            </w:r>
          </w:p>
        </w:tc>
        <w:tc>
          <w:tcPr>
            <w:tcW w:w="243" w:type="dxa"/>
            <w:shd w:val="clear" w:color="auto" w:fill="auto"/>
            <w:hideMark/>
          </w:tcPr>
          <w:p w:rsidR="00FB5C78" w:rsidRPr="00FB5C78" w:rsidRDefault="00FB5C78" w:rsidP="00FF5AB8">
            <w:pPr>
              <w:spacing w:after="120"/>
              <w:jc w:val="right"/>
              <w:cnfStyle w:val="000000000000" w:firstRow="0" w:lastRow="0" w:firstColumn="0" w:lastColumn="0" w:oddVBand="0" w:evenVBand="0" w:oddHBand="0" w:evenHBand="0" w:firstRowFirstColumn="0" w:firstRowLastColumn="0" w:lastRowFirstColumn="0" w:lastRowLastColumn="0"/>
              <w:rPr>
                <w:sz w:val="20"/>
                <w:szCs w:val="20"/>
              </w:rPr>
            </w:pPr>
            <w:r w:rsidRPr="00FB5C78">
              <w:rPr>
                <w:sz w:val="20"/>
                <w:szCs w:val="20"/>
              </w:rPr>
              <w:t>*</w:t>
            </w:r>
          </w:p>
        </w:tc>
        <w:tc>
          <w:tcPr>
            <w:tcW w:w="775" w:type="dxa"/>
            <w:shd w:val="clear" w:color="auto" w:fill="auto"/>
            <w:hideMark/>
          </w:tcPr>
          <w:p w:rsidR="00FB5C78" w:rsidRPr="00FB5C78" w:rsidRDefault="00FB5C78" w:rsidP="00FF5AB8">
            <w:pPr>
              <w:spacing w:after="120"/>
              <w:jc w:val="right"/>
              <w:cnfStyle w:val="000000000000" w:firstRow="0" w:lastRow="0" w:firstColumn="0" w:lastColumn="0" w:oddVBand="0" w:evenVBand="0" w:oddHBand="0" w:evenHBand="0" w:firstRowFirstColumn="0" w:firstRowLastColumn="0" w:lastRowFirstColumn="0" w:lastRowLastColumn="0"/>
              <w:rPr>
                <w:sz w:val="20"/>
                <w:szCs w:val="20"/>
              </w:rPr>
            </w:pPr>
            <w:r w:rsidRPr="00FB5C78">
              <w:rPr>
                <w:sz w:val="20"/>
                <w:szCs w:val="20"/>
              </w:rPr>
              <w:t>-4,92</w:t>
            </w:r>
          </w:p>
        </w:tc>
        <w:tc>
          <w:tcPr>
            <w:tcW w:w="203" w:type="dxa"/>
            <w:shd w:val="clear" w:color="auto" w:fill="auto"/>
            <w:hideMark/>
          </w:tcPr>
          <w:p w:rsidR="00FB5C78" w:rsidRPr="00FB5C78" w:rsidRDefault="00FB5C78" w:rsidP="00FF5AB8">
            <w:pPr>
              <w:spacing w:after="120"/>
              <w:jc w:val="right"/>
              <w:cnfStyle w:val="000000000000" w:firstRow="0" w:lastRow="0" w:firstColumn="0" w:lastColumn="0" w:oddVBand="0" w:evenVBand="0" w:oddHBand="0" w:evenHBand="0" w:firstRowFirstColumn="0" w:firstRowLastColumn="0" w:lastRowFirstColumn="0" w:lastRowLastColumn="0"/>
              <w:rPr>
                <w:sz w:val="20"/>
                <w:szCs w:val="20"/>
              </w:rPr>
            </w:pPr>
            <w:r w:rsidRPr="00FB5C78">
              <w:rPr>
                <w:sz w:val="20"/>
                <w:szCs w:val="20"/>
              </w:rPr>
              <w:t>*</w:t>
            </w:r>
          </w:p>
        </w:tc>
        <w:tc>
          <w:tcPr>
            <w:tcW w:w="777" w:type="dxa"/>
            <w:shd w:val="clear" w:color="auto" w:fill="auto"/>
            <w:hideMark/>
          </w:tcPr>
          <w:p w:rsidR="00FB5C78" w:rsidRPr="00FB5C78" w:rsidRDefault="00FB5C78" w:rsidP="00FF5AB8">
            <w:pPr>
              <w:spacing w:after="120"/>
              <w:jc w:val="right"/>
              <w:cnfStyle w:val="000000000000" w:firstRow="0" w:lastRow="0" w:firstColumn="0" w:lastColumn="0" w:oddVBand="0" w:evenVBand="0" w:oddHBand="0" w:evenHBand="0" w:firstRowFirstColumn="0" w:firstRowLastColumn="0" w:lastRowFirstColumn="0" w:lastRowLastColumn="0"/>
              <w:rPr>
                <w:sz w:val="20"/>
                <w:szCs w:val="20"/>
              </w:rPr>
            </w:pPr>
            <w:r w:rsidRPr="00FB5C78">
              <w:rPr>
                <w:sz w:val="20"/>
                <w:szCs w:val="20"/>
              </w:rPr>
              <w:t>-4,21</w:t>
            </w:r>
          </w:p>
        </w:tc>
        <w:tc>
          <w:tcPr>
            <w:tcW w:w="226" w:type="dxa"/>
            <w:shd w:val="clear" w:color="auto" w:fill="auto"/>
            <w:hideMark/>
          </w:tcPr>
          <w:p w:rsidR="00FB5C78" w:rsidRPr="00FB5C78" w:rsidRDefault="00FB5C78" w:rsidP="00FF5AB8">
            <w:pPr>
              <w:spacing w:after="120"/>
              <w:jc w:val="right"/>
              <w:cnfStyle w:val="000000000000" w:firstRow="0" w:lastRow="0" w:firstColumn="0" w:lastColumn="0" w:oddVBand="0" w:evenVBand="0" w:oddHBand="0" w:evenHBand="0" w:firstRowFirstColumn="0" w:firstRowLastColumn="0" w:lastRowFirstColumn="0" w:lastRowLastColumn="0"/>
              <w:rPr>
                <w:sz w:val="20"/>
                <w:szCs w:val="20"/>
              </w:rPr>
            </w:pPr>
            <w:r w:rsidRPr="00FB5C78">
              <w:rPr>
                <w:sz w:val="20"/>
                <w:szCs w:val="20"/>
              </w:rPr>
              <w:t>*</w:t>
            </w:r>
          </w:p>
        </w:tc>
        <w:tc>
          <w:tcPr>
            <w:tcW w:w="775" w:type="dxa"/>
            <w:shd w:val="clear" w:color="auto" w:fill="auto"/>
            <w:hideMark/>
          </w:tcPr>
          <w:p w:rsidR="00FB5C78" w:rsidRPr="00FB5C78" w:rsidRDefault="00FB5C78" w:rsidP="00FF5AB8">
            <w:pPr>
              <w:spacing w:after="120"/>
              <w:jc w:val="right"/>
              <w:cnfStyle w:val="000000000000" w:firstRow="0" w:lastRow="0" w:firstColumn="0" w:lastColumn="0" w:oddVBand="0" w:evenVBand="0" w:oddHBand="0" w:evenHBand="0" w:firstRowFirstColumn="0" w:firstRowLastColumn="0" w:lastRowFirstColumn="0" w:lastRowLastColumn="0"/>
              <w:rPr>
                <w:sz w:val="20"/>
                <w:szCs w:val="20"/>
              </w:rPr>
            </w:pPr>
            <w:r w:rsidRPr="00FB5C78">
              <w:rPr>
                <w:sz w:val="20"/>
                <w:szCs w:val="20"/>
              </w:rPr>
              <w:t>-3,59</w:t>
            </w:r>
          </w:p>
        </w:tc>
        <w:tc>
          <w:tcPr>
            <w:tcW w:w="226" w:type="dxa"/>
            <w:shd w:val="clear" w:color="auto" w:fill="auto"/>
            <w:hideMark/>
          </w:tcPr>
          <w:p w:rsidR="00FB5C78" w:rsidRPr="00FB5C78" w:rsidRDefault="00FB5C78" w:rsidP="00FF5AB8">
            <w:pPr>
              <w:spacing w:after="120"/>
              <w:jc w:val="right"/>
              <w:cnfStyle w:val="000000000000" w:firstRow="0" w:lastRow="0" w:firstColumn="0" w:lastColumn="0" w:oddVBand="0" w:evenVBand="0" w:oddHBand="0" w:evenHBand="0" w:firstRowFirstColumn="0" w:firstRowLastColumn="0" w:lastRowFirstColumn="0" w:lastRowLastColumn="0"/>
              <w:rPr>
                <w:sz w:val="20"/>
                <w:szCs w:val="20"/>
              </w:rPr>
            </w:pPr>
            <w:r w:rsidRPr="00FB5C78">
              <w:rPr>
                <w:sz w:val="20"/>
                <w:szCs w:val="20"/>
              </w:rPr>
              <w:t>*</w:t>
            </w:r>
          </w:p>
        </w:tc>
        <w:tc>
          <w:tcPr>
            <w:tcW w:w="778" w:type="dxa"/>
            <w:shd w:val="clear" w:color="auto" w:fill="auto"/>
            <w:hideMark/>
          </w:tcPr>
          <w:p w:rsidR="00FB5C78" w:rsidRPr="00FB5C78" w:rsidRDefault="00FB5C78" w:rsidP="00FF5AB8">
            <w:pPr>
              <w:spacing w:after="120"/>
              <w:jc w:val="right"/>
              <w:cnfStyle w:val="000000000000" w:firstRow="0" w:lastRow="0" w:firstColumn="0" w:lastColumn="0" w:oddVBand="0" w:evenVBand="0" w:oddHBand="0" w:evenHBand="0" w:firstRowFirstColumn="0" w:firstRowLastColumn="0" w:lastRowFirstColumn="0" w:lastRowLastColumn="0"/>
              <w:rPr>
                <w:sz w:val="20"/>
                <w:szCs w:val="20"/>
              </w:rPr>
            </w:pPr>
            <w:r w:rsidRPr="00FB5C78">
              <w:rPr>
                <w:sz w:val="20"/>
                <w:szCs w:val="20"/>
              </w:rPr>
              <w:t>4,15</w:t>
            </w:r>
          </w:p>
        </w:tc>
        <w:tc>
          <w:tcPr>
            <w:tcW w:w="259" w:type="dxa"/>
            <w:shd w:val="clear" w:color="auto" w:fill="auto"/>
            <w:hideMark/>
          </w:tcPr>
          <w:p w:rsidR="00FB5C78" w:rsidRPr="00FB5C78" w:rsidRDefault="00FB5C78" w:rsidP="00FF5AB8">
            <w:pPr>
              <w:spacing w:after="120"/>
              <w:jc w:val="right"/>
              <w:cnfStyle w:val="000000000000" w:firstRow="0" w:lastRow="0" w:firstColumn="0" w:lastColumn="0" w:oddVBand="0" w:evenVBand="0" w:oddHBand="0" w:evenHBand="0" w:firstRowFirstColumn="0" w:firstRowLastColumn="0" w:lastRowFirstColumn="0" w:lastRowLastColumn="0"/>
              <w:rPr>
                <w:sz w:val="20"/>
                <w:szCs w:val="20"/>
              </w:rPr>
            </w:pPr>
            <w:r w:rsidRPr="00FB5C78">
              <w:rPr>
                <w:sz w:val="20"/>
                <w:szCs w:val="20"/>
              </w:rPr>
              <w:t> </w:t>
            </w:r>
          </w:p>
        </w:tc>
        <w:tc>
          <w:tcPr>
            <w:tcW w:w="775" w:type="dxa"/>
            <w:shd w:val="clear" w:color="auto" w:fill="auto"/>
            <w:hideMark/>
          </w:tcPr>
          <w:p w:rsidR="00FB5C78" w:rsidRPr="00FB5C78" w:rsidRDefault="00FB5C78" w:rsidP="00FF5AB8">
            <w:pPr>
              <w:spacing w:after="120"/>
              <w:jc w:val="right"/>
              <w:cnfStyle w:val="000000000000" w:firstRow="0" w:lastRow="0" w:firstColumn="0" w:lastColumn="0" w:oddVBand="0" w:evenVBand="0" w:oddHBand="0" w:evenHBand="0" w:firstRowFirstColumn="0" w:firstRowLastColumn="0" w:lastRowFirstColumn="0" w:lastRowLastColumn="0"/>
              <w:rPr>
                <w:sz w:val="20"/>
                <w:szCs w:val="20"/>
              </w:rPr>
            </w:pPr>
            <w:r w:rsidRPr="00FB5C78">
              <w:rPr>
                <w:sz w:val="20"/>
                <w:szCs w:val="20"/>
              </w:rPr>
              <w:t>3,29</w:t>
            </w:r>
          </w:p>
        </w:tc>
        <w:tc>
          <w:tcPr>
            <w:tcW w:w="274" w:type="dxa"/>
            <w:shd w:val="clear" w:color="auto" w:fill="auto"/>
            <w:hideMark/>
          </w:tcPr>
          <w:p w:rsidR="00FB5C78" w:rsidRPr="00FB5C78" w:rsidRDefault="00FB5C78" w:rsidP="00FF5AB8">
            <w:pPr>
              <w:spacing w:after="120"/>
              <w:jc w:val="right"/>
              <w:cnfStyle w:val="000000000000" w:firstRow="0" w:lastRow="0" w:firstColumn="0" w:lastColumn="0" w:oddVBand="0" w:evenVBand="0" w:oddHBand="0" w:evenHBand="0" w:firstRowFirstColumn="0" w:firstRowLastColumn="0" w:lastRowFirstColumn="0" w:lastRowLastColumn="0"/>
              <w:rPr>
                <w:sz w:val="20"/>
                <w:szCs w:val="20"/>
              </w:rPr>
            </w:pPr>
            <w:r w:rsidRPr="00FB5C78">
              <w:rPr>
                <w:sz w:val="20"/>
                <w:szCs w:val="20"/>
              </w:rPr>
              <w:t>*</w:t>
            </w:r>
          </w:p>
        </w:tc>
      </w:tr>
      <w:tr w:rsidR="00FB5C78" w:rsidRPr="00FB5C78" w:rsidTr="00FB5C78">
        <w:trPr>
          <w:cnfStyle w:val="000000100000" w:firstRow="0" w:lastRow="0" w:firstColumn="0" w:lastColumn="0" w:oddVBand="0" w:evenVBand="0" w:oddHBand="1" w:evenHBand="0" w:firstRowFirstColumn="0" w:firstRowLastColumn="0" w:lastRowFirstColumn="0" w:lastRowLastColumn="0"/>
          <w:trHeight w:hRule="exact" w:val="306"/>
          <w:jc w:val="center"/>
        </w:trPr>
        <w:tc>
          <w:tcPr>
            <w:cnfStyle w:val="001000000000" w:firstRow="0" w:lastRow="0" w:firstColumn="1" w:lastColumn="0" w:oddVBand="0" w:evenVBand="0" w:oddHBand="0" w:evenHBand="0" w:firstRowFirstColumn="0" w:firstRowLastColumn="0" w:lastRowFirstColumn="0" w:lastRowLastColumn="0"/>
            <w:tcW w:w="1718" w:type="dxa"/>
            <w:shd w:val="clear" w:color="auto" w:fill="auto"/>
            <w:hideMark/>
          </w:tcPr>
          <w:p w:rsidR="00FB5C78" w:rsidRPr="00FB5C78" w:rsidRDefault="00FB5C78" w:rsidP="00FF5AB8">
            <w:pPr>
              <w:spacing w:after="120"/>
              <w:jc w:val="both"/>
              <w:rPr>
                <w:b w:val="0"/>
                <w:bCs w:val="0"/>
                <w:sz w:val="20"/>
                <w:szCs w:val="20"/>
              </w:rPr>
            </w:pPr>
            <w:r w:rsidRPr="00FB5C78">
              <w:rPr>
                <w:b w:val="0"/>
                <w:bCs w:val="0"/>
                <w:sz w:val="20"/>
                <w:szCs w:val="20"/>
              </w:rPr>
              <w:t> </w:t>
            </w:r>
          </w:p>
        </w:tc>
        <w:tc>
          <w:tcPr>
            <w:tcW w:w="697" w:type="dxa"/>
            <w:shd w:val="clear" w:color="auto" w:fill="auto"/>
            <w:hideMark/>
          </w:tcPr>
          <w:p w:rsidR="00FB5C78" w:rsidRPr="00FB5C78" w:rsidRDefault="00FB5C78" w:rsidP="00FF5AB8">
            <w:pPr>
              <w:spacing w:after="120"/>
              <w:jc w:val="right"/>
              <w:cnfStyle w:val="000000100000" w:firstRow="0" w:lastRow="0" w:firstColumn="0" w:lastColumn="0" w:oddVBand="0" w:evenVBand="0" w:oddHBand="1" w:evenHBand="0" w:firstRowFirstColumn="0" w:firstRowLastColumn="0" w:lastRowFirstColumn="0" w:lastRowLastColumn="0"/>
              <w:rPr>
                <w:bCs/>
                <w:sz w:val="20"/>
                <w:szCs w:val="20"/>
              </w:rPr>
            </w:pPr>
            <w:r w:rsidRPr="00FB5C78">
              <w:rPr>
                <w:bCs/>
                <w:sz w:val="20"/>
                <w:szCs w:val="20"/>
              </w:rPr>
              <w:t> </w:t>
            </w:r>
          </w:p>
        </w:tc>
        <w:tc>
          <w:tcPr>
            <w:tcW w:w="243" w:type="dxa"/>
            <w:shd w:val="clear" w:color="auto" w:fill="auto"/>
            <w:hideMark/>
          </w:tcPr>
          <w:p w:rsidR="00FB5C78" w:rsidRPr="00FB5C78" w:rsidRDefault="00FB5C78" w:rsidP="00FF5AB8">
            <w:pPr>
              <w:spacing w:after="120"/>
              <w:jc w:val="right"/>
              <w:cnfStyle w:val="000000100000" w:firstRow="0" w:lastRow="0" w:firstColumn="0" w:lastColumn="0" w:oddVBand="0" w:evenVBand="0" w:oddHBand="1" w:evenHBand="0" w:firstRowFirstColumn="0" w:firstRowLastColumn="0" w:lastRowFirstColumn="0" w:lastRowLastColumn="0"/>
              <w:rPr>
                <w:bCs/>
                <w:sz w:val="20"/>
                <w:szCs w:val="20"/>
              </w:rPr>
            </w:pPr>
            <w:r w:rsidRPr="00FB5C78">
              <w:rPr>
                <w:bCs/>
                <w:sz w:val="20"/>
                <w:szCs w:val="20"/>
              </w:rPr>
              <w:t> </w:t>
            </w:r>
          </w:p>
        </w:tc>
        <w:tc>
          <w:tcPr>
            <w:tcW w:w="775" w:type="dxa"/>
            <w:shd w:val="clear" w:color="auto" w:fill="auto"/>
            <w:hideMark/>
          </w:tcPr>
          <w:p w:rsidR="00FB5C78" w:rsidRPr="00FB5C78" w:rsidRDefault="00FB5C78" w:rsidP="00FF5AB8">
            <w:pPr>
              <w:spacing w:after="120"/>
              <w:jc w:val="right"/>
              <w:cnfStyle w:val="000000100000" w:firstRow="0" w:lastRow="0" w:firstColumn="0" w:lastColumn="0" w:oddVBand="0" w:evenVBand="0" w:oddHBand="1" w:evenHBand="0" w:firstRowFirstColumn="0" w:firstRowLastColumn="0" w:lastRowFirstColumn="0" w:lastRowLastColumn="0"/>
              <w:rPr>
                <w:bCs/>
                <w:sz w:val="20"/>
                <w:szCs w:val="20"/>
              </w:rPr>
            </w:pPr>
            <w:r w:rsidRPr="00FB5C78">
              <w:rPr>
                <w:bCs/>
                <w:sz w:val="20"/>
                <w:szCs w:val="20"/>
              </w:rPr>
              <w:t> </w:t>
            </w:r>
          </w:p>
        </w:tc>
        <w:tc>
          <w:tcPr>
            <w:tcW w:w="203" w:type="dxa"/>
            <w:shd w:val="clear" w:color="auto" w:fill="auto"/>
            <w:hideMark/>
          </w:tcPr>
          <w:p w:rsidR="00FB5C78" w:rsidRPr="00FB5C78" w:rsidRDefault="00FB5C78" w:rsidP="00FF5AB8">
            <w:pPr>
              <w:spacing w:after="120"/>
              <w:jc w:val="right"/>
              <w:cnfStyle w:val="000000100000" w:firstRow="0" w:lastRow="0" w:firstColumn="0" w:lastColumn="0" w:oddVBand="0" w:evenVBand="0" w:oddHBand="1" w:evenHBand="0" w:firstRowFirstColumn="0" w:firstRowLastColumn="0" w:lastRowFirstColumn="0" w:lastRowLastColumn="0"/>
              <w:rPr>
                <w:bCs/>
                <w:sz w:val="20"/>
                <w:szCs w:val="20"/>
              </w:rPr>
            </w:pPr>
            <w:r w:rsidRPr="00FB5C78">
              <w:rPr>
                <w:bCs/>
                <w:sz w:val="20"/>
                <w:szCs w:val="20"/>
              </w:rPr>
              <w:t> </w:t>
            </w:r>
          </w:p>
        </w:tc>
        <w:tc>
          <w:tcPr>
            <w:tcW w:w="777" w:type="dxa"/>
            <w:shd w:val="clear" w:color="auto" w:fill="auto"/>
            <w:hideMark/>
          </w:tcPr>
          <w:p w:rsidR="00FB5C78" w:rsidRPr="00FB5C78" w:rsidRDefault="00FB5C78" w:rsidP="00FF5AB8">
            <w:pPr>
              <w:spacing w:after="120"/>
              <w:jc w:val="right"/>
              <w:cnfStyle w:val="000000100000" w:firstRow="0" w:lastRow="0" w:firstColumn="0" w:lastColumn="0" w:oddVBand="0" w:evenVBand="0" w:oddHBand="1" w:evenHBand="0" w:firstRowFirstColumn="0" w:firstRowLastColumn="0" w:lastRowFirstColumn="0" w:lastRowLastColumn="0"/>
              <w:rPr>
                <w:bCs/>
                <w:sz w:val="20"/>
                <w:szCs w:val="20"/>
              </w:rPr>
            </w:pPr>
            <w:r w:rsidRPr="00FB5C78">
              <w:rPr>
                <w:bCs/>
                <w:sz w:val="20"/>
                <w:szCs w:val="20"/>
              </w:rPr>
              <w:t> </w:t>
            </w:r>
          </w:p>
        </w:tc>
        <w:tc>
          <w:tcPr>
            <w:tcW w:w="226" w:type="dxa"/>
            <w:shd w:val="clear" w:color="auto" w:fill="auto"/>
            <w:hideMark/>
          </w:tcPr>
          <w:p w:rsidR="00FB5C78" w:rsidRPr="00FB5C78" w:rsidRDefault="00FB5C78" w:rsidP="00FF5AB8">
            <w:pPr>
              <w:spacing w:after="120"/>
              <w:jc w:val="right"/>
              <w:cnfStyle w:val="000000100000" w:firstRow="0" w:lastRow="0" w:firstColumn="0" w:lastColumn="0" w:oddVBand="0" w:evenVBand="0" w:oddHBand="1" w:evenHBand="0" w:firstRowFirstColumn="0" w:firstRowLastColumn="0" w:lastRowFirstColumn="0" w:lastRowLastColumn="0"/>
              <w:rPr>
                <w:bCs/>
                <w:sz w:val="20"/>
                <w:szCs w:val="20"/>
              </w:rPr>
            </w:pPr>
            <w:r w:rsidRPr="00FB5C78">
              <w:rPr>
                <w:bCs/>
                <w:sz w:val="20"/>
                <w:szCs w:val="20"/>
              </w:rPr>
              <w:t> </w:t>
            </w:r>
          </w:p>
        </w:tc>
        <w:tc>
          <w:tcPr>
            <w:tcW w:w="775" w:type="dxa"/>
            <w:shd w:val="clear" w:color="auto" w:fill="auto"/>
            <w:hideMark/>
          </w:tcPr>
          <w:p w:rsidR="00FB5C78" w:rsidRPr="00FB5C78" w:rsidRDefault="00FB5C78" w:rsidP="00FF5AB8">
            <w:pPr>
              <w:spacing w:after="120"/>
              <w:jc w:val="right"/>
              <w:cnfStyle w:val="000000100000" w:firstRow="0" w:lastRow="0" w:firstColumn="0" w:lastColumn="0" w:oddVBand="0" w:evenVBand="0" w:oddHBand="1" w:evenHBand="0" w:firstRowFirstColumn="0" w:firstRowLastColumn="0" w:lastRowFirstColumn="0" w:lastRowLastColumn="0"/>
              <w:rPr>
                <w:bCs/>
                <w:sz w:val="20"/>
                <w:szCs w:val="20"/>
              </w:rPr>
            </w:pPr>
            <w:r w:rsidRPr="00FB5C78">
              <w:rPr>
                <w:bCs/>
                <w:sz w:val="20"/>
                <w:szCs w:val="20"/>
              </w:rPr>
              <w:t> </w:t>
            </w:r>
          </w:p>
        </w:tc>
        <w:tc>
          <w:tcPr>
            <w:tcW w:w="226" w:type="dxa"/>
            <w:shd w:val="clear" w:color="auto" w:fill="auto"/>
            <w:hideMark/>
          </w:tcPr>
          <w:p w:rsidR="00FB5C78" w:rsidRPr="00FB5C78" w:rsidRDefault="00FB5C78" w:rsidP="00FF5AB8">
            <w:pPr>
              <w:spacing w:after="120"/>
              <w:jc w:val="right"/>
              <w:cnfStyle w:val="000000100000" w:firstRow="0" w:lastRow="0" w:firstColumn="0" w:lastColumn="0" w:oddVBand="0" w:evenVBand="0" w:oddHBand="1" w:evenHBand="0" w:firstRowFirstColumn="0" w:firstRowLastColumn="0" w:lastRowFirstColumn="0" w:lastRowLastColumn="0"/>
              <w:rPr>
                <w:bCs/>
                <w:sz w:val="20"/>
                <w:szCs w:val="20"/>
              </w:rPr>
            </w:pPr>
            <w:r w:rsidRPr="00FB5C78">
              <w:rPr>
                <w:bCs/>
                <w:sz w:val="20"/>
                <w:szCs w:val="20"/>
              </w:rPr>
              <w:t> </w:t>
            </w:r>
          </w:p>
        </w:tc>
        <w:tc>
          <w:tcPr>
            <w:tcW w:w="778" w:type="dxa"/>
            <w:shd w:val="clear" w:color="auto" w:fill="auto"/>
            <w:hideMark/>
          </w:tcPr>
          <w:p w:rsidR="00FB5C78" w:rsidRPr="00FB5C78" w:rsidRDefault="00FB5C78" w:rsidP="00FF5AB8">
            <w:pPr>
              <w:spacing w:after="120"/>
              <w:jc w:val="right"/>
              <w:cnfStyle w:val="000000100000" w:firstRow="0" w:lastRow="0" w:firstColumn="0" w:lastColumn="0" w:oddVBand="0" w:evenVBand="0" w:oddHBand="1" w:evenHBand="0" w:firstRowFirstColumn="0" w:firstRowLastColumn="0" w:lastRowFirstColumn="0" w:lastRowLastColumn="0"/>
              <w:rPr>
                <w:bCs/>
                <w:sz w:val="20"/>
                <w:szCs w:val="20"/>
              </w:rPr>
            </w:pPr>
            <w:r w:rsidRPr="00FB5C78">
              <w:rPr>
                <w:bCs/>
                <w:sz w:val="20"/>
                <w:szCs w:val="20"/>
              </w:rPr>
              <w:t> </w:t>
            </w:r>
          </w:p>
        </w:tc>
        <w:tc>
          <w:tcPr>
            <w:tcW w:w="259" w:type="dxa"/>
            <w:shd w:val="clear" w:color="auto" w:fill="auto"/>
            <w:hideMark/>
          </w:tcPr>
          <w:p w:rsidR="00FB5C78" w:rsidRPr="00FB5C78" w:rsidRDefault="00FB5C78" w:rsidP="00FF5AB8">
            <w:pPr>
              <w:spacing w:after="120"/>
              <w:jc w:val="right"/>
              <w:cnfStyle w:val="000000100000" w:firstRow="0" w:lastRow="0" w:firstColumn="0" w:lastColumn="0" w:oddVBand="0" w:evenVBand="0" w:oddHBand="1" w:evenHBand="0" w:firstRowFirstColumn="0" w:firstRowLastColumn="0" w:lastRowFirstColumn="0" w:lastRowLastColumn="0"/>
              <w:rPr>
                <w:bCs/>
                <w:sz w:val="20"/>
                <w:szCs w:val="20"/>
              </w:rPr>
            </w:pPr>
            <w:r w:rsidRPr="00FB5C78">
              <w:rPr>
                <w:bCs/>
                <w:sz w:val="20"/>
                <w:szCs w:val="20"/>
              </w:rPr>
              <w:t> </w:t>
            </w:r>
          </w:p>
        </w:tc>
        <w:tc>
          <w:tcPr>
            <w:tcW w:w="775" w:type="dxa"/>
            <w:shd w:val="clear" w:color="auto" w:fill="auto"/>
            <w:hideMark/>
          </w:tcPr>
          <w:p w:rsidR="00FB5C78" w:rsidRPr="00FB5C78" w:rsidRDefault="00FB5C78" w:rsidP="00FF5AB8">
            <w:pPr>
              <w:spacing w:after="120"/>
              <w:jc w:val="right"/>
              <w:cnfStyle w:val="000000100000" w:firstRow="0" w:lastRow="0" w:firstColumn="0" w:lastColumn="0" w:oddVBand="0" w:evenVBand="0" w:oddHBand="1" w:evenHBand="0" w:firstRowFirstColumn="0" w:firstRowLastColumn="0" w:lastRowFirstColumn="0" w:lastRowLastColumn="0"/>
              <w:rPr>
                <w:bCs/>
                <w:sz w:val="20"/>
                <w:szCs w:val="20"/>
              </w:rPr>
            </w:pPr>
            <w:r w:rsidRPr="00FB5C78">
              <w:rPr>
                <w:bCs/>
                <w:sz w:val="20"/>
                <w:szCs w:val="20"/>
              </w:rPr>
              <w:t> </w:t>
            </w:r>
          </w:p>
        </w:tc>
        <w:tc>
          <w:tcPr>
            <w:tcW w:w="274" w:type="dxa"/>
            <w:shd w:val="clear" w:color="auto" w:fill="auto"/>
            <w:hideMark/>
          </w:tcPr>
          <w:p w:rsidR="00FB5C78" w:rsidRPr="00FB5C78" w:rsidRDefault="00FB5C78" w:rsidP="00FF5AB8">
            <w:pPr>
              <w:spacing w:after="120"/>
              <w:jc w:val="right"/>
              <w:cnfStyle w:val="000000100000" w:firstRow="0" w:lastRow="0" w:firstColumn="0" w:lastColumn="0" w:oddVBand="0" w:evenVBand="0" w:oddHBand="1" w:evenHBand="0" w:firstRowFirstColumn="0" w:firstRowLastColumn="0" w:lastRowFirstColumn="0" w:lastRowLastColumn="0"/>
              <w:rPr>
                <w:bCs/>
                <w:sz w:val="20"/>
                <w:szCs w:val="20"/>
              </w:rPr>
            </w:pPr>
            <w:r w:rsidRPr="00FB5C78">
              <w:rPr>
                <w:bCs/>
                <w:sz w:val="20"/>
                <w:szCs w:val="20"/>
              </w:rPr>
              <w:t> </w:t>
            </w:r>
          </w:p>
        </w:tc>
      </w:tr>
      <w:tr w:rsidR="00FB5C78" w:rsidRPr="00FB5C78" w:rsidTr="00FB5C78">
        <w:trPr>
          <w:trHeight w:hRule="exact" w:val="306"/>
          <w:jc w:val="center"/>
        </w:trPr>
        <w:tc>
          <w:tcPr>
            <w:cnfStyle w:val="001000000000" w:firstRow="0" w:lastRow="0" w:firstColumn="1" w:lastColumn="0" w:oddVBand="0" w:evenVBand="0" w:oddHBand="0" w:evenHBand="0" w:firstRowFirstColumn="0" w:firstRowLastColumn="0" w:lastRowFirstColumn="0" w:lastRowLastColumn="0"/>
            <w:tcW w:w="1718" w:type="dxa"/>
            <w:shd w:val="clear" w:color="auto" w:fill="auto"/>
            <w:hideMark/>
          </w:tcPr>
          <w:p w:rsidR="00FB5C78" w:rsidRPr="00FB5C78" w:rsidRDefault="00FB5C78" w:rsidP="00FF5AB8">
            <w:pPr>
              <w:spacing w:after="120"/>
              <w:jc w:val="both"/>
              <w:rPr>
                <w:b w:val="0"/>
                <w:bCs w:val="0"/>
                <w:sz w:val="20"/>
                <w:szCs w:val="20"/>
              </w:rPr>
            </w:pPr>
            <w:proofErr w:type="spellStart"/>
            <w:r w:rsidRPr="00FB5C78">
              <w:rPr>
                <w:b w:val="0"/>
                <w:bCs w:val="0"/>
                <w:sz w:val="20"/>
                <w:szCs w:val="20"/>
              </w:rPr>
              <w:t>Equity</w:t>
            </w:r>
            <w:proofErr w:type="spellEnd"/>
            <w:r w:rsidRPr="00FB5C78">
              <w:rPr>
                <w:b w:val="0"/>
                <w:bCs w:val="0"/>
                <w:sz w:val="20"/>
                <w:szCs w:val="20"/>
              </w:rPr>
              <w:t xml:space="preserve"> Premium</w:t>
            </w:r>
          </w:p>
        </w:tc>
        <w:tc>
          <w:tcPr>
            <w:tcW w:w="697" w:type="dxa"/>
            <w:shd w:val="clear" w:color="auto" w:fill="auto"/>
            <w:hideMark/>
          </w:tcPr>
          <w:p w:rsidR="00FB5C78" w:rsidRPr="00FB5C78" w:rsidRDefault="00FB5C78" w:rsidP="00FF5AB8">
            <w:pPr>
              <w:spacing w:after="120"/>
              <w:jc w:val="right"/>
              <w:cnfStyle w:val="000000000000" w:firstRow="0" w:lastRow="0" w:firstColumn="0" w:lastColumn="0" w:oddVBand="0" w:evenVBand="0" w:oddHBand="0" w:evenHBand="0" w:firstRowFirstColumn="0" w:firstRowLastColumn="0" w:lastRowFirstColumn="0" w:lastRowLastColumn="0"/>
              <w:rPr>
                <w:sz w:val="20"/>
                <w:szCs w:val="20"/>
              </w:rPr>
            </w:pPr>
            <w:r w:rsidRPr="00FB5C78">
              <w:rPr>
                <w:sz w:val="20"/>
                <w:szCs w:val="20"/>
              </w:rPr>
              <w:t>-2,15</w:t>
            </w:r>
          </w:p>
        </w:tc>
        <w:tc>
          <w:tcPr>
            <w:tcW w:w="243" w:type="dxa"/>
            <w:shd w:val="clear" w:color="auto" w:fill="auto"/>
            <w:hideMark/>
          </w:tcPr>
          <w:p w:rsidR="00FB5C78" w:rsidRPr="00FB5C78" w:rsidRDefault="00FB5C78" w:rsidP="00FF5AB8">
            <w:pPr>
              <w:spacing w:after="120"/>
              <w:jc w:val="right"/>
              <w:cnfStyle w:val="000000000000" w:firstRow="0" w:lastRow="0" w:firstColumn="0" w:lastColumn="0" w:oddVBand="0" w:evenVBand="0" w:oddHBand="0" w:evenHBand="0" w:firstRowFirstColumn="0" w:firstRowLastColumn="0" w:lastRowFirstColumn="0" w:lastRowLastColumn="0"/>
              <w:rPr>
                <w:sz w:val="20"/>
                <w:szCs w:val="20"/>
              </w:rPr>
            </w:pPr>
            <w:r w:rsidRPr="00FB5C78">
              <w:rPr>
                <w:sz w:val="20"/>
                <w:szCs w:val="20"/>
              </w:rPr>
              <w:t>*</w:t>
            </w:r>
          </w:p>
        </w:tc>
        <w:tc>
          <w:tcPr>
            <w:tcW w:w="775" w:type="dxa"/>
            <w:shd w:val="clear" w:color="auto" w:fill="auto"/>
            <w:hideMark/>
          </w:tcPr>
          <w:p w:rsidR="00FB5C78" w:rsidRPr="00FB5C78" w:rsidRDefault="00FB5C78" w:rsidP="00FF5AB8">
            <w:pPr>
              <w:spacing w:after="120"/>
              <w:jc w:val="right"/>
              <w:cnfStyle w:val="000000000000" w:firstRow="0" w:lastRow="0" w:firstColumn="0" w:lastColumn="0" w:oddVBand="0" w:evenVBand="0" w:oddHBand="0" w:evenHBand="0" w:firstRowFirstColumn="0" w:firstRowLastColumn="0" w:lastRowFirstColumn="0" w:lastRowLastColumn="0"/>
              <w:rPr>
                <w:sz w:val="20"/>
                <w:szCs w:val="20"/>
              </w:rPr>
            </w:pPr>
            <w:r w:rsidRPr="00FB5C78">
              <w:rPr>
                <w:sz w:val="20"/>
                <w:szCs w:val="20"/>
              </w:rPr>
              <w:t>1,32</w:t>
            </w:r>
          </w:p>
        </w:tc>
        <w:tc>
          <w:tcPr>
            <w:tcW w:w="203" w:type="dxa"/>
            <w:shd w:val="clear" w:color="auto" w:fill="auto"/>
            <w:hideMark/>
          </w:tcPr>
          <w:p w:rsidR="00FB5C78" w:rsidRPr="00FB5C78" w:rsidRDefault="00FB5C78" w:rsidP="00FF5AB8">
            <w:pPr>
              <w:spacing w:after="120"/>
              <w:jc w:val="right"/>
              <w:cnfStyle w:val="000000000000" w:firstRow="0" w:lastRow="0" w:firstColumn="0" w:lastColumn="0" w:oddVBand="0" w:evenVBand="0" w:oddHBand="0" w:evenHBand="0" w:firstRowFirstColumn="0" w:firstRowLastColumn="0" w:lastRowFirstColumn="0" w:lastRowLastColumn="0"/>
              <w:rPr>
                <w:sz w:val="20"/>
                <w:szCs w:val="20"/>
              </w:rPr>
            </w:pPr>
            <w:r w:rsidRPr="00FB5C78">
              <w:rPr>
                <w:sz w:val="20"/>
                <w:szCs w:val="20"/>
              </w:rPr>
              <w:t>*</w:t>
            </w:r>
          </w:p>
        </w:tc>
        <w:tc>
          <w:tcPr>
            <w:tcW w:w="777" w:type="dxa"/>
            <w:shd w:val="clear" w:color="auto" w:fill="auto"/>
            <w:hideMark/>
          </w:tcPr>
          <w:p w:rsidR="00FB5C78" w:rsidRPr="00FB5C78" w:rsidRDefault="00FB5C78" w:rsidP="00FF5AB8">
            <w:pPr>
              <w:spacing w:after="120"/>
              <w:jc w:val="right"/>
              <w:cnfStyle w:val="000000000000" w:firstRow="0" w:lastRow="0" w:firstColumn="0" w:lastColumn="0" w:oddVBand="0" w:evenVBand="0" w:oddHBand="0" w:evenHBand="0" w:firstRowFirstColumn="0" w:firstRowLastColumn="0" w:lastRowFirstColumn="0" w:lastRowLastColumn="0"/>
              <w:rPr>
                <w:sz w:val="20"/>
                <w:szCs w:val="20"/>
              </w:rPr>
            </w:pPr>
            <w:r w:rsidRPr="00FB5C78">
              <w:rPr>
                <w:sz w:val="20"/>
                <w:szCs w:val="20"/>
              </w:rPr>
              <w:t>-3,40</w:t>
            </w:r>
          </w:p>
        </w:tc>
        <w:tc>
          <w:tcPr>
            <w:tcW w:w="226" w:type="dxa"/>
            <w:shd w:val="clear" w:color="auto" w:fill="auto"/>
            <w:hideMark/>
          </w:tcPr>
          <w:p w:rsidR="00FB5C78" w:rsidRPr="00FB5C78" w:rsidRDefault="00FB5C78" w:rsidP="00FF5AB8">
            <w:pPr>
              <w:spacing w:after="120"/>
              <w:jc w:val="right"/>
              <w:cnfStyle w:val="000000000000" w:firstRow="0" w:lastRow="0" w:firstColumn="0" w:lastColumn="0" w:oddVBand="0" w:evenVBand="0" w:oddHBand="0" w:evenHBand="0" w:firstRowFirstColumn="0" w:firstRowLastColumn="0" w:lastRowFirstColumn="0" w:lastRowLastColumn="0"/>
              <w:rPr>
                <w:sz w:val="20"/>
                <w:szCs w:val="20"/>
              </w:rPr>
            </w:pPr>
            <w:r w:rsidRPr="00FB5C78">
              <w:rPr>
                <w:sz w:val="20"/>
                <w:szCs w:val="20"/>
              </w:rPr>
              <w:t>*</w:t>
            </w:r>
          </w:p>
        </w:tc>
        <w:tc>
          <w:tcPr>
            <w:tcW w:w="775" w:type="dxa"/>
            <w:shd w:val="clear" w:color="auto" w:fill="auto"/>
            <w:hideMark/>
          </w:tcPr>
          <w:p w:rsidR="00FB5C78" w:rsidRPr="00FB5C78" w:rsidRDefault="00FB5C78" w:rsidP="00FF5AB8">
            <w:pPr>
              <w:spacing w:after="120"/>
              <w:jc w:val="right"/>
              <w:cnfStyle w:val="000000000000" w:firstRow="0" w:lastRow="0" w:firstColumn="0" w:lastColumn="0" w:oddVBand="0" w:evenVBand="0" w:oddHBand="0" w:evenHBand="0" w:firstRowFirstColumn="0" w:firstRowLastColumn="0" w:lastRowFirstColumn="0" w:lastRowLastColumn="0"/>
              <w:rPr>
                <w:sz w:val="20"/>
                <w:szCs w:val="20"/>
              </w:rPr>
            </w:pPr>
            <w:r w:rsidRPr="00FB5C78">
              <w:rPr>
                <w:sz w:val="20"/>
                <w:szCs w:val="20"/>
              </w:rPr>
              <w:t>-4,09</w:t>
            </w:r>
          </w:p>
        </w:tc>
        <w:tc>
          <w:tcPr>
            <w:tcW w:w="226" w:type="dxa"/>
            <w:shd w:val="clear" w:color="auto" w:fill="auto"/>
            <w:hideMark/>
          </w:tcPr>
          <w:p w:rsidR="00FB5C78" w:rsidRPr="00FB5C78" w:rsidRDefault="00FB5C78" w:rsidP="00FF5AB8">
            <w:pPr>
              <w:spacing w:after="120"/>
              <w:jc w:val="right"/>
              <w:cnfStyle w:val="000000000000" w:firstRow="0" w:lastRow="0" w:firstColumn="0" w:lastColumn="0" w:oddVBand="0" w:evenVBand="0" w:oddHBand="0" w:evenHBand="0" w:firstRowFirstColumn="0" w:firstRowLastColumn="0" w:lastRowFirstColumn="0" w:lastRowLastColumn="0"/>
              <w:rPr>
                <w:sz w:val="20"/>
                <w:szCs w:val="20"/>
              </w:rPr>
            </w:pPr>
            <w:r w:rsidRPr="00FB5C78">
              <w:rPr>
                <w:sz w:val="20"/>
                <w:szCs w:val="20"/>
              </w:rPr>
              <w:t>*</w:t>
            </w:r>
          </w:p>
        </w:tc>
        <w:tc>
          <w:tcPr>
            <w:tcW w:w="778" w:type="dxa"/>
            <w:shd w:val="clear" w:color="auto" w:fill="auto"/>
            <w:hideMark/>
          </w:tcPr>
          <w:p w:rsidR="00FB5C78" w:rsidRPr="00FB5C78" w:rsidRDefault="00FB5C78" w:rsidP="00FF5AB8">
            <w:pPr>
              <w:spacing w:after="120"/>
              <w:jc w:val="right"/>
              <w:cnfStyle w:val="000000000000" w:firstRow="0" w:lastRow="0" w:firstColumn="0" w:lastColumn="0" w:oddVBand="0" w:evenVBand="0" w:oddHBand="0" w:evenHBand="0" w:firstRowFirstColumn="0" w:firstRowLastColumn="0" w:lastRowFirstColumn="0" w:lastRowLastColumn="0"/>
              <w:rPr>
                <w:sz w:val="20"/>
                <w:szCs w:val="20"/>
              </w:rPr>
            </w:pPr>
            <w:r w:rsidRPr="00FB5C78">
              <w:rPr>
                <w:sz w:val="20"/>
                <w:szCs w:val="20"/>
              </w:rPr>
              <w:t>3,06</w:t>
            </w:r>
          </w:p>
        </w:tc>
        <w:tc>
          <w:tcPr>
            <w:tcW w:w="259" w:type="dxa"/>
            <w:shd w:val="clear" w:color="auto" w:fill="auto"/>
            <w:hideMark/>
          </w:tcPr>
          <w:p w:rsidR="00FB5C78" w:rsidRPr="00FB5C78" w:rsidRDefault="00FB5C78" w:rsidP="00FF5AB8">
            <w:pPr>
              <w:spacing w:after="120"/>
              <w:jc w:val="right"/>
              <w:cnfStyle w:val="000000000000" w:firstRow="0" w:lastRow="0" w:firstColumn="0" w:lastColumn="0" w:oddVBand="0" w:evenVBand="0" w:oddHBand="0" w:evenHBand="0" w:firstRowFirstColumn="0" w:firstRowLastColumn="0" w:lastRowFirstColumn="0" w:lastRowLastColumn="0"/>
              <w:rPr>
                <w:sz w:val="20"/>
                <w:szCs w:val="20"/>
              </w:rPr>
            </w:pPr>
            <w:r w:rsidRPr="00FB5C78">
              <w:rPr>
                <w:sz w:val="20"/>
                <w:szCs w:val="20"/>
              </w:rPr>
              <w:t> </w:t>
            </w:r>
          </w:p>
        </w:tc>
        <w:tc>
          <w:tcPr>
            <w:tcW w:w="775" w:type="dxa"/>
            <w:shd w:val="clear" w:color="auto" w:fill="auto"/>
            <w:hideMark/>
          </w:tcPr>
          <w:p w:rsidR="00FB5C78" w:rsidRPr="00FB5C78" w:rsidRDefault="00FB5C78" w:rsidP="00FF5AB8">
            <w:pPr>
              <w:spacing w:after="120"/>
              <w:jc w:val="right"/>
              <w:cnfStyle w:val="000000000000" w:firstRow="0" w:lastRow="0" w:firstColumn="0" w:lastColumn="0" w:oddVBand="0" w:evenVBand="0" w:oddHBand="0" w:evenHBand="0" w:firstRowFirstColumn="0" w:firstRowLastColumn="0" w:lastRowFirstColumn="0" w:lastRowLastColumn="0"/>
              <w:rPr>
                <w:sz w:val="20"/>
                <w:szCs w:val="20"/>
              </w:rPr>
            </w:pPr>
            <w:r w:rsidRPr="00FB5C78">
              <w:rPr>
                <w:sz w:val="20"/>
                <w:szCs w:val="20"/>
              </w:rPr>
              <w:t>-1,03</w:t>
            </w:r>
          </w:p>
        </w:tc>
        <w:tc>
          <w:tcPr>
            <w:tcW w:w="274" w:type="dxa"/>
            <w:shd w:val="clear" w:color="auto" w:fill="auto"/>
            <w:hideMark/>
          </w:tcPr>
          <w:p w:rsidR="00FB5C78" w:rsidRPr="00FB5C78" w:rsidRDefault="00FB5C78" w:rsidP="00FF5AB8">
            <w:pPr>
              <w:spacing w:after="120"/>
              <w:jc w:val="right"/>
              <w:cnfStyle w:val="000000000000" w:firstRow="0" w:lastRow="0" w:firstColumn="0" w:lastColumn="0" w:oddVBand="0" w:evenVBand="0" w:oddHBand="0" w:evenHBand="0" w:firstRowFirstColumn="0" w:firstRowLastColumn="0" w:lastRowFirstColumn="0" w:lastRowLastColumn="0"/>
              <w:rPr>
                <w:sz w:val="20"/>
                <w:szCs w:val="20"/>
              </w:rPr>
            </w:pPr>
            <w:r w:rsidRPr="00FB5C78">
              <w:rPr>
                <w:sz w:val="20"/>
                <w:szCs w:val="20"/>
              </w:rPr>
              <w:t>*</w:t>
            </w:r>
          </w:p>
        </w:tc>
      </w:tr>
      <w:tr w:rsidR="00FB5C78" w:rsidRPr="00FB5C78" w:rsidTr="00FB5C78">
        <w:trPr>
          <w:cnfStyle w:val="000000100000" w:firstRow="0" w:lastRow="0" w:firstColumn="0" w:lastColumn="0" w:oddVBand="0" w:evenVBand="0" w:oddHBand="1" w:evenHBand="0" w:firstRowFirstColumn="0" w:firstRowLastColumn="0" w:lastRowFirstColumn="0" w:lastRowLastColumn="0"/>
          <w:trHeight w:hRule="exact" w:val="306"/>
          <w:jc w:val="center"/>
        </w:trPr>
        <w:tc>
          <w:tcPr>
            <w:cnfStyle w:val="001000000000" w:firstRow="0" w:lastRow="0" w:firstColumn="1" w:lastColumn="0" w:oddVBand="0" w:evenVBand="0" w:oddHBand="0" w:evenHBand="0" w:firstRowFirstColumn="0" w:firstRowLastColumn="0" w:lastRowFirstColumn="0" w:lastRowLastColumn="0"/>
            <w:tcW w:w="1718" w:type="dxa"/>
            <w:shd w:val="clear" w:color="auto" w:fill="auto"/>
            <w:hideMark/>
          </w:tcPr>
          <w:p w:rsidR="00FB5C78" w:rsidRPr="00FB5C78" w:rsidRDefault="00FB5C78" w:rsidP="00FF5AB8">
            <w:pPr>
              <w:spacing w:after="120"/>
              <w:jc w:val="both"/>
              <w:rPr>
                <w:b w:val="0"/>
                <w:bCs w:val="0"/>
                <w:sz w:val="20"/>
                <w:szCs w:val="20"/>
              </w:rPr>
            </w:pPr>
            <w:proofErr w:type="spellStart"/>
            <w:r w:rsidRPr="00FB5C78">
              <w:rPr>
                <w:b w:val="0"/>
                <w:bCs w:val="0"/>
                <w:sz w:val="20"/>
                <w:szCs w:val="20"/>
              </w:rPr>
              <w:t>Volatility</w:t>
            </w:r>
            <w:proofErr w:type="spellEnd"/>
            <w:r w:rsidRPr="00FB5C78">
              <w:rPr>
                <w:b w:val="0"/>
                <w:bCs w:val="0"/>
                <w:sz w:val="20"/>
                <w:szCs w:val="20"/>
              </w:rPr>
              <w:t xml:space="preserve"> Premium</w:t>
            </w:r>
          </w:p>
        </w:tc>
        <w:tc>
          <w:tcPr>
            <w:tcW w:w="697" w:type="dxa"/>
            <w:shd w:val="clear" w:color="auto" w:fill="auto"/>
            <w:hideMark/>
          </w:tcPr>
          <w:p w:rsidR="00FB5C78" w:rsidRPr="00FB5C78" w:rsidRDefault="00FB5C78" w:rsidP="00FF5AB8">
            <w:pPr>
              <w:spacing w:after="120"/>
              <w:jc w:val="right"/>
              <w:cnfStyle w:val="000000100000" w:firstRow="0" w:lastRow="0" w:firstColumn="0" w:lastColumn="0" w:oddVBand="0" w:evenVBand="0" w:oddHBand="1" w:evenHBand="0" w:firstRowFirstColumn="0" w:firstRowLastColumn="0" w:lastRowFirstColumn="0" w:lastRowLastColumn="0"/>
              <w:rPr>
                <w:sz w:val="20"/>
                <w:szCs w:val="20"/>
              </w:rPr>
            </w:pPr>
            <w:r w:rsidRPr="00FB5C78">
              <w:rPr>
                <w:sz w:val="20"/>
                <w:szCs w:val="20"/>
              </w:rPr>
              <w:t>3,07</w:t>
            </w:r>
          </w:p>
        </w:tc>
        <w:tc>
          <w:tcPr>
            <w:tcW w:w="243" w:type="dxa"/>
            <w:shd w:val="clear" w:color="auto" w:fill="auto"/>
            <w:hideMark/>
          </w:tcPr>
          <w:p w:rsidR="00FB5C78" w:rsidRPr="00FB5C78" w:rsidRDefault="00FB5C78" w:rsidP="00FF5AB8">
            <w:pPr>
              <w:spacing w:after="120"/>
              <w:jc w:val="right"/>
              <w:cnfStyle w:val="000000100000" w:firstRow="0" w:lastRow="0" w:firstColumn="0" w:lastColumn="0" w:oddVBand="0" w:evenVBand="0" w:oddHBand="1" w:evenHBand="0" w:firstRowFirstColumn="0" w:firstRowLastColumn="0" w:lastRowFirstColumn="0" w:lastRowLastColumn="0"/>
              <w:rPr>
                <w:sz w:val="20"/>
                <w:szCs w:val="20"/>
              </w:rPr>
            </w:pPr>
            <w:r w:rsidRPr="00FB5C78">
              <w:rPr>
                <w:sz w:val="20"/>
                <w:szCs w:val="20"/>
              </w:rPr>
              <w:t>*</w:t>
            </w:r>
          </w:p>
        </w:tc>
        <w:tc>
          <w:tcPr>
            <w:tcW w:w="775" w:type="dxa"/>
            <w:shd w:val="clear" w:color="auto" w:fill="auto"/>
            <w:hideMark/>
          </w:tcPr>
          <w:p w:rsidR="00FB5C78" w:rsidRPr="00FB5C78" w:rsidRDefault="00FB5C78" w:rsidP="00FF5AB8">
            <w:pPr>
              <w:spacing w:after="120"/>
              <w:jc w:val="right"/>
              <w:cnfStyle w:val="000000100000" w:firstRow="0" w:lastRow="0" w:firstColumn="0" w:lastColumn="0" w:oddVBand="0" w:evenVBand="0" w:oddHBand="1" w:evenHBand="0" w:firstRowFirstColumn="0" w:firstRowLastColumn="0" w:lastRowFirstColumn="0" w:lastRowLastColumn="0"/>
              <w:rPr>
                <w:sz w:val="20"/>
                <w:szCs w:val="20"/>
              </w:rPr>
            </w:pPr>
            <w:r w:rsidRPr="00FB5C78">
              <w:rPr>
                <w:sz w:val="20"/>
                <w:szCs w:val="20"/>
              </w:rPr>
              <w:t>0,59</w:t>
            </w:r>
          </w:p>
        </w:tc>
        <w:tc>
          <w:tcPr>
            <w:tcW w:w="203" w:type="dxa"/>
            <w:shd w:val="clear" w:color="auto" w:fill="auto"/>
            <w:hideMark/>
          </w:tcPr>
          <w:p w:rsidR="00FB5C78" w:rsidRPr="00FB5C78" w:rsidRDefault="00FB5C78" w:rsidP="00FF5AB8">
            <w:pPr>
              <w:spacing w:after="120"/>
              <w:jc w:val="right"/>
              <w:cnfStyle w:val="000000100000" w:firstRow="0" w:lastRow="0" w:firstColumn="0" w:lastColumn="0" w:oddVBand="0" w:evenVBand="0" w:oddHBand="1" w:evenHBand="0" w:firstRowFirstColumn="0" w:firstRowLastColumn="0" w:lastRowFirstColumn="0" w:lastRowLastColumn="0"/>
              <w:rPr>
                <w:sz w:val="20"/>
                <w:szCs w:val="20"/>
              </w:rPr>
            </w:pPr>
            <w:r w:rsidRPr="00FB5C78">
              <w:rPr>
                <w:sz w:val="20"/>
                <w:szCs w:val="20"/>
              </w:rPr>
              <w:t>*</w:t>
            </w:r>
          </w:p>
        </w:tc>
        <w:tc>
          <w:tcPr>
            <w:tcW w:w="777" w:type="dxa"/>
            <w:shd w:val="clear" w:color="auto" w:fill="auto"/>
            <w:hideMark/>
          </w:tcPr>
          <w:p w:rsidR="00FB5C78" w:rsidRPr="00FB5C78" w:rsidRDefault="00FB5C78" w:rsidP="00FF5AB8">
            <w:pPr>
              <w:spacing w:after="120"/>
              <w:jc w:val="right"/>
              <w:cnfStyle w:val="000000100000" w:firstRow="0" w:lastRow="0" w:firstColumn="0" w:lastColumn="0" w:oddVBand="0" w:evenVBand="0" w:oddHBand="1" w:evenHBand="0" w:firstRowFirstColumn="0" w:firstRowLastColumn="0" w:lastRowFirstColumn="0" w:lastRowLastColumn="0"/>
              <w:rPr>
                <w:sz w:val="20"/>
                <w:szCs w:val="20"/>
              </w:rPr>
            </w:pPr>
            <w:r w:rsidRPr="00FB5C78">
              <w:rPr>
                <w:sz w:val="20"/>
                <w:szCs w:val="20"/>
              </w:rPr>
              <w:t>3,03</w:t>
            </w:r>
          </w:p>
        </w:tc>
        <w:tc>
          <w:tcPr>
            <w:tcW w:w="226" w:type="dxa"/>
            <w:shd w:val="clear" w:color="auto" w:fill="auto"/>
            <w:hideMark/>
          </w:tcPr>
          <w:p w:rsidR="00FB5C78" w:rsidRPr="00FB5C78" w:rsidRDefault="00FB5C78" w:rsidP="00FF5AB8">
            <w:pPr>
              <w:spacing w:after="120"/>
              <w:jc w:val="right"/>
              <w:cnfStyle w:val="000000100000" w:firstRow="0" w:lastRow="0" w:firstColumn="0" w:lastColumn="0" w:oddVBand="0" w:evenVBand="0" w:oddHBand="1" w:evenHBand="0" w:firstRowFirstColumn="0" w:firstRowLastColumn="0" w:lastRowFirstColumn="0" w:lastRowLastColumn="0"/>
              <w:rPr>
                <w:sz w:val="20"/>
                <w:szCs w:val="20"/>
              </w:rPr>
            </w:pPr>
            <w:r w:rsidRPr="00FB5C78">
              <w:rPr>
                <w:sz w:val="20"/>
                <w:szCs w:val="20"/>
              </w:rPr>
              <w:t> </w:t>
            </w:r>
          </w:p>
        </w:tc>
        <w:tc>
          <w:tcPr>
            <w:tcW w:w="775" w:type="dxa"/>
            <w:shd w:val="clear" w:color="auto" w:fill="auto"/>
            <w:hideMark/>
          </w:tcPr>
          <w:p w:rsidR="00FB5C78" w:rsidRPr="00FB5C78" w:rsidRDefault="00FB5C78" w:rsidP="00FF5AB8">
            <w:pPr>
              <w:spacing w:after="120"/>
              <w:jc w:val="right"/>
              <w:cnfStyle w:val="000000100000" w:firstRow="0" w:lastRow="0" w:firstColumn="0" w:lastColumn="0" w:oddVBand="0" w:evenVBand="0" w:oddHBand="1" w:evenHBand="0" w:firstRowFirstColumn="0" w:firstRowLastColumn="0" w:lastRowFirstColumn="0" w:lastRowLastColumn="0"/>
              <w:rPr>
                <w:sz w:val="20"/>
                <w:szCs w:val="20"/>
              </w:rPr>
            </w:pPr>
            <w:r w:rsidRPr="00FB5C78">
              <w:rPr>
                <w:sz w:val="20"/>
                <w:szCs w:val="20"/>
              </w:rPr>
              <w:t>0,12</w:t>
            </w:r>
          </w:p>
        </w:tc>
        <w:tc>
          <w:tcPr>
            <w:tcW w:w="226" w:type="dxa"/>
            <w:shd w:val="clear" w:color="auto" w:fill="auto"/>
            <w:hideMark/>
          </w:tcPr>
          <w:p w:rsidR="00FB5C78" w:rsidRPr="00FB5C78" w:rsidRDefault="00FB5C78" w:rsidP="00FF5AB8">
            <w:pPr>
              <w:spacing w:after="120"/>
              <w:jc w:val="right"/>
              <w:cnfStyle w:val="000000100000" w:firstRow="0" w:lastRow="0" w:firstColumn="0" w:lastColumn="0" w:oddVBand="0" w:evenVBand="0" w:oddHBand="1" w:evenHBand="0" w:firstRowFirstColumn="0" w:firstRowLastColumn="0" w:lastRowFirstColumn="0" w:lastRowLastColumn="0"/>
              <w:rPr>
                <w:sz w:val="20"/>
                <w:szCs w:val="20"/>
              </w:rPr>
            </w:pPr>
            <w:r w:rsidRPr="00FB5C78">
              <w:rPr>
                <w:sz w:val="20"/>
                <w:szCs w:val="20"/>
              </w:rPr>
              <w:t>*</w:t>
            </w:r>
          </w:p>
        </w:tc>
        <w:tc>
          <w:tcPr>
            <w:tcW w:w="778" w:type="dxa"/>
            <w:shd w:val="clear" w:color="auto" w:fill="auto"/>
            <w:hideMark/>
          </w:tcPr>
          <w:p w:rsidR="00FB5C78" w:rsidRPr="00FB5C78" w:rsidRDefault="00FB5C78" w:rsidP="00FF5AB8">
            <w:pPr>
              <w:spacing w:after="120"/>
              <w:jc w:val="right"/>
              <w:cnfStyle w:val="000000100000" w:firstRow="0" w:lastRow="0" w:firstColumn="0" w:lastColumn="0" w:oddVBand="0" w:evenVBand="0" w:oddHBand="1" w:evenHBand="0" w:firstRowFirstColumn="0" w:firstRowLastColumn="0" w:lastRowFirstColumn="0" w:lastRowLastColumn="0"/>
              <w:rPr>
                <w:sz w:val="20"/>
                <w:szCs w:val="20"/>
              </w:rPr>
            </w:pPr>
            <w:r w:rsidRPr="00FB5C78">
              <w:rPr>
                <w:sz w:val="20"/>
                <w:szCs w:val="20"/>
              </w:rPr>
              <w:t>-1,23</w:t>
            </w:r>
          </w:p>
        </w:tc>
        <w:tc>
          <w:tcPr>
            <w:tcW w:w="259" w:type="dxa"/>
            <w:shd w:val="clear" w:color="auto" w:fill="auto"/>
            <w:hideMark/>
          </w:tcPr>
          <w:p w:rsidR="00FB5C78" w:rsidRPr="00FB5C78" w:rsidRDefault="00FB5C78" w:rsidP="00FF5AB8">
            <w:pPr>
              <w:spacing w:after="120"/>
              <w:jc w:val="right"/>
              <w:cnfStyle w:val="000000100000" w:firstRow="0" w:lastRow="0" w:firstColumn="0" w:lastColumn="0" w:oddVBand="0" w:evenVBand="0" w:oddHBand="1" w:evenHBand="0" w:firstRowFirstColumn="0" w:firstRowLastColumn="0" w:lastRowFirstColumn="0" w:lastRowLastColumn="0"/>
              <w:rPr>
                <w:sz w:val="20"/>
                <w:szCs w:val="20"/>
              </w:rPr>
            </w:pPr>
            <w:r w:rsidRPr="00FB5C78">
              <w:rPr>
                <w:sz w:val="20"/>
                <w:szCs w:val="20"/>
              </w:rPr>
              <w:t>*</w:t>
            </w:r>
          </w:p>
        </w:tc>
        <w:tc>
          <w:tcPr>
            <w:tcW w:w="775" w:type="dxa"/>
            <w:shd w:val="clear" w:color="auto" w:fill="auto"/>
            <w:hideMark/>
          </w:tcPr>
          <w:p w:rsidR="00FB5C78" w:rsidRPr="00FB5C78" w:rsidRDefault="00FB5C78" w:rsidP="00FF5AB8">
            <w:pPr>
              <w:spacing w:after="120"/>
              <w:jc w:val="right"/>
              <w:cnfStyle w:val="000000100000" w:firstRow="0" w:lastRow="0" w:firstColumn="0" w:lastColumn="0" w:oddVBand="0" w:evenVBand="0" w:oddHBand="1" w:evenHBand="0" w:firstRowFirstColumn="0" w:firstRowLastColumn="0" w:lastRowFirstColumn="0" w:lastRowLastColumn="0"/>
              <w:rPr>
                <w:sz w:val="20"/>
                <w:szCs w:val="20"/>
              </w:rPr>
            </w:pPr>
            <w:r w:rsidRPr="00FB5C78">
              <w:rPr>
                <w:sz w:val="20"/>
                <w:szCs w:val="20"/>
              </w:rPr>
              <w:t>0,58</w:t>
            </w:r>
          </w:p>
        </w:tc>
        <w:tc>
          <w:tcPr>
            <w:tcW w:w="274" w:type="dxa"/>
            <w:shd w:val="clear" w:color="auto" w:fill="auto"/>
            <w:hideMark/>
          </w:tcPr>
          <w:p w:rsidR="00FB5C78" w:rsidRPr="00FB5C78" w:rsidRDefault="00FB5C78" w:rsidP="00FF5AB8">
            <w:pPr>
              <w:spacing w:after="120"/>
              <w:jc w:val="right"/>
              <w:cnfStyle w:val="000000100000" w:firstRow="0" w:lastRow="0" w:firstColumn="0" w:lastColumn="0" w:oddVBand="0" w:evenVBand="0" w:oddHBand="1" w:evenHBand="0" w:firstRowFirstColumn="0" w:firstRowLastColumn="0" w:lastRowFirstColumn="0" w:lastRowLastColumn="0"/>
              <w:rPr>
                <w:sz w:val="20"/>
                <w:szCs w:val="20"/>
              </w:rPr>
            </w:pPr>
            <w:r w:rsidRPr="00FB5C78">
              <w:rPr>
                <w:sz w:val="20"/>
                <w:szCs w:val="20"/>
              </w:rPr>
              <w:t>*</w:t>
            </w:r>
          </w:p>
        </w:tc>
      </w:tr>
      <w:tr w:rsidR="00FB5C78" w:rsidRPr="00FB5C78" w:rsidTr="00FB5C78">
        <w:trPr>
          <w:trHeight w:hRule="exact" w:val="306"/>
          <w:jc w:val="center"/>
        </w:trPr>
        <w:tc>
          <w:tcPr>
            <w:cnfStyle w:val="001000000000" w:firstRow="0" w:lastRow="0" w:firstColumn="1" w:lastColumn="0" w:oddVBand="0" w:evenVBand="0" w:oddHBand="0" w:evenHBand="0" w:firstRowFirstColumn="0" w:firstRowLastColumn="0" w:lastRowFirstColumn="0" w:lastRowLastColumn="0"/>
            <w:tcW w:w="1718" w:type="dxa"/>
            <w:shd w:val="clear" w:color="auto" w:fill="auto"/>
            <w:hideMark/>
          </w:tcPr>
          <w:p w:rsidR="00FB5C78" w:rsidRPr="00FB5C78" w:rsidRDefault="00FB5C78" w:rsidP="00FF5AB8">
            <w:pPr>
              <w:spacing w:after="120"/>
              <w:jc w:val="both"/>
              <w:rPr>
                <w:b w:val="0"/>
                <w:bCs w:val="0"/>
                <w:sz w:val="20"/>
                <w:szCs w:val="20"/>
              </w:rPr>
            </w:pPr>
            <w:proofErr w:type="spellStart"/>
            <w:r w:rsidRPr="00FB5C78">
              <w:rPr>
                <w:b w:val="0"/>
                <w:bCs w:val="0"/>
                <w:sz w:val="20"/>
                <w:szCs w:val="20"/>
              </w:rPr>
              <w:t>Term</w:t>
            </w:r>
            <w:proofErr w:type="spellEnd"/>
            <w:r w:rsidRPr="00FB5C78">
              <w:rPr>
                <w:b w:val="0"/>
                <w:bCs w:val="0"/>
                <w:sz w:val="20"/>
                <w:szCs w:val="20"/>
              </w:rPr>
              <w:t xml:space="preserve"> Premium</w:t>
            </w:r>
          </w:p>
        </w:tc>
        <w:tc>
          <w:tcPr>
            <w:tcW w:w="697" w:type="dxa"/>
            <w:shd w:val="clear" w:color="auto" w:fill="auto"/>
            <w:hideMark/>
          </w:tcPr>
          <w:p w:rsidR="00FB5C78" w:rsidRPr="00FB5C78" w:rsidRDefault="00FB5C78" w:rsidP="00FF5AB8">
            <w:pPr>
              <w:spacing w:after="120"/>
              <w:jc w:val="right"/>
              <w:cnfStyle w:val="000000000000" w:firstRow="0" w:lastRow="0" w:firstColumn="0" w:lastColumn="0" w:oddVBand="0" w:evenVBand="0" w:oddHBand="0" w:evenHBand="0" w:firstRowFirstColumn="0" w:firstRowLastColumn="0" w:lastRowFirstColumn="0" w:lastRowLastColumn="0"/>
              <w:rPr>
                <w:sz w:val="20"/>
                <w:szCs w:val="20"/>
              </w:rPr>
            </w:pPr>
            <w:r w:rsidRPr="00FB5C78">
              <w:rPr>
                <w:sz w:val="20"/>
                <w:szCs w:val="20"/>
              </w:rPr>
              <w:t>-3,5</w:t>
            </w:r>
          </w:p>
        </w:tc>
        <w:tc>
          <w:tcPr>
            <w:tcW w:w="243" w:type="dxa"/>
            <w:shd w:val="clear" w:color="auto" w:fill="auto"/>
            <w:hideMark/>
          </w:tcPr>
          <w:p w:rsidR="00FB5C78" w:rsidRPr="00FB5C78" w:rsidRDefault="00FB5C78" w:rsidP="00FF5AB8">
            <w:pPr>
              <w:spacing w:after="120"/>
              <w:jc w:val="right"/>
              <w:cnfStyle w:val="000000000000" w:firstRow="0" w:lastRow="0" w:firstColumn="0" w:lastColumn="0" w:oddVBand="0" w:evenVBand="0" w:oddHBand="0" w:evenHBand="0" w:firstRowFirstColumn="0" w:firstRowLastColumn="0" w:lastRowFirstColumn="0" w:lastRowLastColumn="0"/>
              <w:rPr>
                <w:sz w:val="20"/>
                <w:szCs w:val="20"/>
              </w:rPr>
            </w:pPr>
            <w:r w:rsidRPr="00FB5C78">
              <w:rPr>
                <w:sz w:val="20"/>
                <w:szCs w:val="20"/>
              </w:rPr>
              <w:t> </w:t>
            </w:r>
          </w:p>
        </w:tc>
        <w:tc>
          <w:tcPr>
            <w:tcW w:w="775" w:type="dxa"/>
            <w:shd w:val="clear" w:color="auto" w:fill="auto"/>
            <w:hideMark/>
          </w:tcPr>
          <w:p w:rsidR="00FB5C78" w:rsidRPr="00FB5C78" w:rsidRDefault="00FB5C78" w:rsidP="00FF5AB8">
            <w:pPr>
              <w:spacing w:after="120"/>
              <w:jc w:val="right"/>
              <w:cnfStyle w:val="000000000000" w:firstRow="0" w:lastRow="0" w:firstColumn="0" w:lastColumn="0" w:oddVBand="0" w:evenVBand="0" w:oddHBand="0" w:evenHBand="0" w:firstRowFirstColumn="0" w:firstRowLastColumn="0" w:lastRowFirstColumn="0" w:lastRowLastColumn="0"/>
              <w:rPr>
                <w:sz w:val="20"/>
                <w:szCs w:val="20"/>
              </w:rPr>
            </w:pPr>
            <w:r w:rsidRPr="00FB5C78">
              <w:rPr>
                <w:sz w:val="20"/>
                <w:szCs w:val="20"/>
              </w:rPr>
              <w:t>2,59</w:t>
            </w:r>
          </w:p>
        </w:tc>
        <w:tc>
          <w:tcPr>
            <w:tcW w:w="203" w:type="dxa"/>
            <w:shd w:val="clear" w:color="auto" w:fill="auto"/>
            <w:hideMark/>
          </w:tcPr>
          <w:p w:rsidR="00FB5C78" w:rsidRPr="00FB5C78" w:rsidRDefault="00FB5C78" w:rsidP="00FF5AB8">
            <w:pPr>
              <w:spacing w:after="120"/>
              <w:jc w:val="right"/>
              <w:cnfStyle w:val="000000000000" w:firstRow="0" w:lastRow="0" w:firstColumn="0" w:lastColumn="0" w:oddVBand="0" w:evenVBand="0" w:oddHBand="0" w:evenHBand="0" w:firstRowFirstColumn="0" w:firstRowLastColumn="0" w:lastRowFirstColumn="0" w:lastRowLastColumn="0"/>
              <w:rPr>
                <w:sz w:val="20"/>
                <w:szCs w:val="20"/>
              </w:rPr>
            </w:pPr>
            <w:r w:rsidRPr="00FB5C78">
              <w:rPr>
                <w:sz w:val="20"/>
                <w:szCs w:val="20"/>
              </w:rPr>
              <w:t>*</w:t>
            </w:r>
          </w:p>
        </w:tc>
        <w:tc>
          <w:tcPr>
            <w:tcW w:w="777" w:type="dxa"/>
            <w:shd w:val="clear" w:color="auto" w:fill="auto"/>
            <w:hideMark/>
          </w:tcPr>
          <w:p w:rsidR="00FB5C78" w:rsidRPr="00FB5C78" w:rsidRDefault="00FB5C78" w:rsidP="00FF5AB8">
            <w:pPr>
              <w:spacing w:after="120"/>
              <w:jc w:val="right"/>
              <w:cnfStyle w:val="000000000000" w:firstRow="0" w:lastRow="0" w:firstColumn="0" w:lastColumn="0" w:oddVBand="0" w:evenVBand="0" w:oddHBand="0" w:evenHBand="0" w:firstRowFirstColumn="0" w:firstRowLastColumn="0" w:lastRowFirstColumn="0" w:lastRowLastColumn="0"/>
              <w:rPr>
                <w:sz w:val="20"/>
                <w:szCs w:val="20"/>
              </w:rPr>
            </w:pPr>
            <w:r w:rsidRPr="00FB5C78">
              <w:rPr>
                <w:sz w:val="20"/>
                <w:szCs w:val="20"/>
              </w:rPr>
              <w:t>1,77</w:t>
            </w:r>
          </w:p>
        </w:tc>
        <w:tc>
          <w:tcPr>
            <w:tcW w:w="226" w:type="dxa"/>
            <w:shd w:val="clear" w:color="auto" w:fill="auto"/>
            <w:hideMark/>
          </w:tcPr>
          <w:p w:rsidR="00FB5C78" w:rsidRPr="00FB5C78" w:rsidRDefault="00FB5C78" w:rsidP="00FF5AB8">
            <w:pPr>
              <w:spacing w:after="120"/>
              <w:jc w:val="right"/>
              <w:cnfStyle w:val="000000000000" w:firstRow="0" w:lastRow="0" w:firstColumn="0" w:lastColumn="0" w:oddVBand="0" w:evenVBand="0" w:oddHBand="0" w:evenHBand="0" w:firstRowFirstColumn="0" w:firstRowLastColumn="0" w:lastRowFirstColumn="0" w:lastRowLastColumn="0"/>
              <w:rPr>
                <w:sz w:val="20"/>
                <w:szCs w:val="20"/>
              </w:rPr>
            </w:pPr>
            <w:r w:rsidRPr="00FB5C78">
              <w:rPr>
                <w:sz w:val="20"/>
                <w:szCs w:val="20"/>
              </w:rPr>
              <w:t>*</w:t>
            </w:r>
          </w:p>
        </w:tc>
        <w:tc>
          <w:tcPr>
            <w:tcW w:w="775" w:type="dxa"/>
            <w:shd w:val="clear" w:color="auto" w:fill="auto"/>
            <w:hideMark/>
          </w:tcPr>
          <w:p w:rsidR="00FB5C78" w:rsidRPr="00FB5C78" w:rsidRDefault="00FB5C78" w:rsidP="00FF5AB8">
            <w:pPr>
              <w:spacing w:after="120"/>
              <w:jc w:val="right"/>
              <w:cnfStyle w:val="000000000000" w:firstRow="0" w:lastRow="0" w:firstColumn="0" w:lastColumn="0" w:oddVBand="0" w:evenVBand="0" w:oddHBand="0" w:evenHBand="0" w:firstRowFirstColumn="0" w:firstRowLastColumn="0" w:lastRowFirstColumn="0" w:lastRowLastColumn="0"/>
              <w:rPr>
                <w:sz w:val="20"/>
                <w:szCs w:val="20"/>
              </w:rPr>
            </w:pPr>
            <w:r w:rsidRPr="00FB5C78">
              <w:rPr>
                <w:sz w:val="20"/>
                <w:szCs w:val="20"/>
              </w:rPr>
              <w:t>1,12</w:t>
            </w:r>
          </w:p>
        </w:tc>
        <w:tc>
          <w:tcPr>
            <w:tcW w:w="226" w:type="dxa"/>
            <w:shd w:val="clear" w:color="auto" w:fill="auto"/>
            <w:hideMark/>
          </w:tcPr>
          <w:p w:rsidR="00FB5C78" w:rsidRPr="00FB5C78" w:rsidRDefault="00FB5C78" w:rsidP="00FF5AB8">
            <w:pPr>
              <w:spacing w:after="120"/>
              <w:jc w:val="right"/>
              <w:cnfStyle w:val="000000000000" w:firstRow="0" w:lastRow="0" w:firstColumn="0" w:lastColumn="0" w:oddVBand="0" w:evenVBand="0" w:oddHBand="0" w:evenHBand="0" w:firstRowFirstColumn="0" w:firstRowLastColumn="0" w:lastRowFirstColumn="0" w:lastRowLastColumn="0"/>
              <w:rPr>
                <w:sz w:val="20"/>
                <w:szCs w:val="20"/>
              </w:rPr>
            </w:pPr>
            <w:r w:rsidRPr="00FB5C78">
              <w:rPr>
                <w:sz w:val="20"/>
                <w:szCs w:val="20"/>
              </w:rPr>
              <w:t>*</w:t>
            </w:r>
          </w:p>
        </w:tc>
        <w:tc>
          <w:tcPr>
            <w:tcW w:w="778" w:type="dxa"/>
            <w:shd w:val="clear" w:color="auto" w:fill="auto"/>
            <w:hideMark/>
          </w:tcPr>
          <w:p w:rsidR="00FB5C78" w:rsidRPr="00FB5C78" w:rsidRDefault="00FB5C78" w:rsidP="00FF5AB8">
            <w:pPr>
              <w:spacing w:after="120"/>
              <w:jc w:val="right"/>
              <w:cnfStyle w:val="000000000000" w:firstRow="0" w:lastRow="0" w:firstColumn="0" w:lastColumn="0" w:oddVBand="0" w:evenVBand="0" w:oddHBand="0" w:evenHBand="0" w:firstRowFirstColumn="0" w:firstRowLastColumn="0" w:lastRowFirstColumn="0" w:lastRowLastColumn="0"/>
              <w:rPr>
                <w:sz w:val="20"/>
                <w:szCs w:val="20"/>
              </w:rPr>
            </w:pPr>
            <w:r w:rsidRPr="00FB5C78">
              <w:rPr>
                <w:sz w:val="20"/>
                <w:szCs w:val="20"/>
              </w:rPr>
              <w:t>-1,34</w:t>
            </w:r>
          </w:p>
        </w:tc>
        <w:tc>
          <w:tcPr>
            <w:tcW w:w="259" w:type="dxa"/>
            <w:shd w:val="clear" w:color="auto" w:fill="auto"/>
            <w:hideMark/>
          </w:tcPr>
          <w:p w:rsidR="00FB5C78" w:rsidRPr="00FB5C78" w:rsidRDefault="00FB5C78" w:rsidP="00FF5AB8">
            <w:pPr>
              <w:spacing w:after="120"/>
              <w:jc w:val="right"/>
              <w:cnfStyle w:val="000000000000" w:firstRow="0" w:lastRow="0" w:firstColumn="0" w:lastColumn="0" w:oddVBand="0" w:evenVBand="0" w:oddHBand="0" w:evenHBand="0" w:firstRowFirstColumn="0" w:firstRowLastColumn="0" w:lastRowFirstColumn="0" w:lastRowLastColumn="0"/>
              <w:rPr>
                <w:sz w:val="20"/>
                <w:szCs w:val="20"/>
              </w:rPr>
            </w:pPr>
            <w:r w:rsidRPr="00FB5C78">
              <w:rPr>
                <w:sz w:val="20"/>
                <w:szCs w:val="20"/>
              </w:rPr>
              <w:t>*</w:t>
            </w:r>
          </w:p>
        </w:tc>
        <w:tc>
          <w:tcPr>
            <w:tcW w:w="775" w:type="dxa"/>
            <w:shd w:val="clear" w:color="auto" w:fill="auto"/>
            <w:hideMark/>
          </w:tcPr>
          <w:p w:rsidR="00FB5C78" w:rsidRPr="00FB5C78" w:rsidRDefault="00FB5C78" w:rsidP="00FF5AB8">
            <w:pPr>
              <w:spacing w:after="120"/>
              <w:jc w:val="right"/>
              <w:cnfStyle w:val="000000000000" w:firstRow="0" w:lastRow="0" w:firstColumn="0" w:lastColumn="0" w:oddVBand="0" w:evenVBand="0" w:oddHBand="0" w:evenHBand="0" w:firstRowFirstColumn="0" w:firstRowLastColumn="0" w:lastRowFirstColumn="0" w:lastRowLastColumn="0"/>
              <w:rPr>
                <w:sz w:val="20"/>
                <w:szCs w:val="20"/>
              </w:rPr>
            </w:pPr>
            <w:r w:rsidRPr="00FB5C78">
              <w:rPr>
                <w:sz w:val="20"/>
                <w:szCs w:val="20"/>
              </w:rPr>
              <w:t>-2,17</w:t>
            </w:r>
          </w:p>
        </w:tc>
        <w:tc>
          <w:tcPr>
            <w:tcW w:w="274" w:type="dxa"/>
            <w:shd w:val="clear" w:color="auto" w:fill="auto"/>
            <w:hideMark/>
          </w:tcPr>
          <w:p w:rsidR="00FB5C78" w:rsidRPr="00FB5C78" w:rsidRDefault="00FB5C78" w:rsidP="00FF5AB8">
            <w:pPr>
              <w:spacing w:after="120"/>
              <w:jc w:val="right"/>
              <w:cnfStyle w:val="000000000000" w:firstRow="0" w:lastRow="0" w:firstColumn="0" w:lastColumn="0" w:oddVBand="0" w:evenVBand="0" w:oddHBand="0" w:evenHBand="0" w:firstRowFirstColumn="0" w:firstRowLastColumn="0" w:lastRowFirstColumn="0" w:lastRowLastColumn="0"/>
              <w:rPr>
                <w:sz w:val="20"/>
                <w:szCs w:val="20"/>
              </w:rPr>
            </w:pPr>
            <w:r w:rsidRPr="00FB5C78">
              <w:rPr>
                <w:sz w:val="20"/>
                <w:szCs w:val="20"/>
              </w:rPr>
              <w:t>*</w:t>
            </w:r>
          </w:p>
        </w:tc>
      </w:tr>
      <w:tr w:rsidR="00FB5C78" w:rsidRPr="00FB5C78" w:rsidTr="00FB5C78">
        <w:trPr>
          <w:cnfStyle w:val="000000100000" w:firstRow="0" w:lastRow="0" w:firstColumn="0" w:lastColumn="0" w:oddVBand="0" w:evenVBand="0" w:oddHBand="1" w:evenHBand="0" w:firstRowFirstColumn="0" w:firstRowLastColumn="0" w:lastRowFirstColumn="0" w:lastRowLastColumn="0"/>
          <w:trHeight w:hRule="exact" w:val="306"/>
          <w:jc w:val="center"/>
        </w:trPr>
        <w:tc>
          <w:tcPr>
            <w:cnfStyle w:val="001000000000" w:firstRow="0" w:lastRow="0" w:firstColumn="1" w:lastColumn="0" w:oddVBand="0" w:evenVBand="0" w:oddHBand="0" w:evenHBand="0" w:firstRowFirstColumn="0" w:firstRowLastColumn="0" w:lastRowFirstColumn="0" w:lastRowLastColumn="0"/>
            <w:tcW w:w="1718" w:type="dxa"/>
            <w:shd w:val="clear" w:color="auto" w:fill="auto"/>
            <w:hideMark/>
          </w:tcPr>
          <w:p w:rsidR="00FB5C78" w:rsidRPr="00FB5C78" w:rsidRDefault="00FB5C78" w:rsidP="00FF5AB8">
            <w:pPr>
              <w:spacing w:after="120"/>
              <w:jc w:val="both"/>
              <w:rPr>
                <w:b w:val="0"/>
                <w:bCs w:val="0"/>
                <w:sz w:val="20"/>
                <w:szCs w:val="20"/>
              </w:rPr>
            </w:pPr>
            <w:r w:rsidRPr="00FB5C78">
              <w:rPr>
                <w:b w:val="0"/>
                <w:bCs w:val="0"/>
                <w:sz w:val="20"/>
                <w:szCs w:val="20"/>
              </w:rPr>
              <w:t> </w:t>
            </w:r>
          </w:p>
        </w:tc>
        <w:tc>
          <w:tcPr>
            <w:tcW w:w="697" w:type="dxa"/>
            <w:shd w:val="clear" w:color="auto" w:fill="auto"/>
            <w:hideMark/>
          </w:tcPr>
          <w:p w:rsidR="00FB5C78" w:rsidRPr="00FB5C78" w:rsidRDefault="00FB5C78" w:rsidP="00FF5AB8">
            <w:pPr>
              <w:spacing w:after="120"/>
              <w:jc w:val="right"/>
              <w:cnfStyle w:val="000000100000" w:firstRow="0" w:lastRow="0" w:firstColumn="0" w:lastColumn="0" w:oddVBand="0" w:evenVBand="0" w:oddHBand="1" w:evenHBand="0" w:firstRowFirstColumn="0" w:firstRowLastColumn="0" w:lastRowFirstColumn="0" w:lastRowLastColumn="0"/>
              <w:rPr>
                <w:sz w:val="20"/>
                <w:szCs w:val="20"/>
              </w:rPr>
            </w:pPr>
            <w:r w:rsidRPr="00FB5C78">
              <w:rPr>
                <w:sz w:val="20"/>
                <w:szCs w:val="20"/>
              </w:rPr>
              <w:t> </w:t>
            </w:r>
          </w:p>
        </w:tc>
        <w:tc>
          <w:tcPr>
            <w:tcW w:w="243" w:type="dxa"/>
            <w:shd w:val="clear" w:color="auto" w:fill="auto"/>
            <w:hideMark/>
          </w:tcPr>
          <w:p w:rsidR="00FB5C78" w:rsidRPr="00FB5C78" w:rsidRDefault="00FB5C78" w:rsidP="00FF5AB8">
            <w:pPr>
              <w:spacing w:after="120"/>
              <w:jc w:val="right"/>
              <w:cnfStyle w:val="000000100000" w:firstRow="0" w:lastRow="0" w:firstColumn="0" w:lastColumn="0" w:oddVBand="0" w:evenVBand="0" w:oddHBand="1" w:evenHBand="0" w:firstRowFirstColumn="0" w:firstRowLastColumn="0" w:lastRowFirstColumn="0" w:lastRowLastColumn="0"/>
              <w:rPr>
                <w:sz w:val="20"/>
                <w:szCs w:val="20"/>
              </w:rPr>
            </w:pPr>
            <w:r w:rsidRPr="00FB5C78">
              <w:rPr>
                <w:sz w:val="20"/>
                <w:szCs w:val="20"/>
              </w:rPr>
              <w:t> </w:t>
            </w:r>
          </w:p>
        </w:tc>
        <w:tc>
          <w:tcPr>
            <w:tcW w:w="775" w:type="dxa"/>
            <w:shd w:val="clear" w:color="auto" w:fill="auto"/>
            <w:hideMark/>
          </w:tcPr>
          <w:p w:rsidR="00FB5C78" w:rsidRPr="00FB5C78" w:rsidRDefault="00FB5C78" w:rsidP="00FF5AB8">
            <w:pPr>
              <w:spacing w:after="120"/>
              <w:jc w:val="right"/>
              <w:cnfStyle w:val="000000100000" w:firstRow="0" w:lastRow="0" w:firstColumn="0" w:lastColumn="0" w:oddVBand="0" w:evenVBand="0" w:oddHBand="1" w:evenHBand="0" w:firstRowFirstColumn="0" w:firstRowLastColumn="0" w:lastRowFirstColumn="0" w:lastRowLastColumn="0"/>
              <w:rPr>
                <w:sz w:val="20"/>
                <w:szCs w:val="20"/>
              </w:rPr>
            </w:pPr>
            <w:r w:rsidRPr="00FB5C78">
              <w:rPr>
                <w:sz w:val="20"/>
                <w:szCs w:val="20"/>
              </w:rPr>
              <w:t> </w:t>
            </w:r>
          </w:p>
        </w:tc>
        <w:tc>
          <w:tcPr>
            <w:tcW w:w="203" w:type="dxa"/>
            <w:shd w:val="clear" w:color="auto" w:fill="auto"/>
            <w:hideMark/>
          </w:tcPr>
          <w:p w:rsidR="00FB5C78" w:rsidRPr="00FB5C78" w:rsidRDefault="00FB5C78" w:rsidP="00FF5AB8">
            <w:pPr>
              <w:spacing w:after="120"/>
              <w:jc w:val="right"/>
              <w:cnfStyle w:val="000000100000" w:firstRow="0" w:lastRow="0" w:firstColumn="0" w:lastColumn="0" w:oddVBand="0" w:evenVBand="0" w:oddHBand="1" w:evenHBand="0" w:firstRowFirstColumn="0" w:firstRowLastColumn="0" w:lastRowFirstColumn="0" w:lastRowLastColumn="0"/>
              <w:rPr>
                <w:sz w:val="20"/>
                <w:szCs w:val="20"/>
              </w:rPr>
            </w:pPr>
            <w:r w:rsidRPr="00FB5C78">
              <w:rPr>
                <w:sz w:val="20"/>
                <w:szCs w:val="20"/>
              </w:rPr>
              <w:t> </w:t>
            </w:r>
          </w:p>
        </w:tc>
        <w:tc>
          <w:tcPr>
            <w:tcW w:w="777" w:type="dxa"/>
            <w:shd w:val="clear" w:color="auto" w:fill="auto"/>
            <w:hideMark/>
          </w:tcPr>
          <w:p w:rsidR="00FB5C78" w:rsidRPr="00FB5C78" w:rsidRDefault="00FB5C78" w:rsidP="00FF5AB8">
            <w:pPr>
              <w:spacing w:after="120"/>
              <w:jc w:val="right"/>
              <w:cnfStyle w:val="000000100000" w:firstRow="0" w:lastRow="0" w:firstColumn="0" w:lastColumn="0" w:oddVBand="0" w:evenVBand="0" w:oddHBand="1" w:evenHBand="0" w:firstRowFirstColumn="0" w:firstRowLastColumn="0" w:lastRowFirstColumn="0" w:lastRowLastColumn="0"/>
              <w:rPr>
                <w:sz w:val="20"/>
                <w:szCs w:val="20"/>
              </w:rPr>
            </w:pPr>
            <w:r w:rsidRPr="00FB5C78">
              <w:rPr>
                <w:sz w:val="20"/>
                <w:szCs w:val="20"/>
              </w:rPr>
              <w:t> </w:t>
            </w:r>
          </w:p>
        </w:tc>
        <w:tc>
          <w:tcPr>
            <w:tcW w:w="226" w:type="dxa"/>
            <w:shd w:val="clear" w:color="auto" w:fill="auto"/>
            <w:hideMark/>
          </w:tcPr>
          <w:p w:rsidR="00FB5C78" w:rsidRPr="00FB5C78" w:rsidRDefault="00FB5C78" w:rsidP="00FF5AB8">
            <w:pPr>
              <w:spacing w:after="120"/>
              <w:jc w:val="right"/>
              <w:cnfStyle w:val="000000100000" w:firstRow="0" w:lastRow="0" w:firstColumn="0" w:lastColumn="0" w:oddVBand="0" w:evenVBand="0" w:oddHBand="1" w:evenHBand="0" w:firstRowFirstColumn="0" w:firstRowLastColumn="0" w:lastRowFirstColumn="0" w:lastRowLastColumn="0"/>
              <w:rPr>
                <w:sz w:val="20"/>
                <w:szCs w:val="20"/>
              </w:rPr>
            </w:pPr>
            <w:r w:rsidRPr="00FB5C78">
              <w:rPr>
                <w:sz w:val="20"/>
                <w:szCs w:val="20"/>
              </w:rPr>
              <w:t> </w:t>
            </w:r>
          </w:p>
        </w:tc>
        <w:tc>
          <w:tcPr>
            <w:tcW w:w="775" w:type="dxa"/>
            <w:shd w:val="clear" w:color="auto" w:fill="auto"/>
            <w:hideMark/>
          </w:tcPr>
          <w:p w:rsidR="00FB5C78" w:rsidRPr="00FB5C78" w:rsidRDefault="00FB5C78" w:rsidP="00FF5AB8">
            <w:pPr>
              <w:spacing w:after="120"/>
              <w:jc w:val="right"/>
              <w:cnfStyle w:val="000000100000" w:firstRow="0" w:lastRow="0" w:firstColumn="0" w:lastColumn="0" w:oddVBand="0" w:evenVBand="0" w:oddHBand="1" w:evenHBand="0" w:firstRowFirstColumn="0" w:firstRowLastColumn="0" w:lastRowFirstColumn="0" w:lastRowLastColumn="0"/>
              <w:rPr>
                <w:sz w:val="20"/>
                <w:szCs w:val="20"/>
              </w:rPr>
            </w:pPr>
            <w:r w:rsidRPr="00FB5C78">
              <w:rPr>
                <w:sz w:val="20"/>
                <w:szCs w:val="20"/>
              </w:rPr>
              <w:t> </w:t>
            </w:r>
          </w:p>
        </w:tc>
        <w:tc>
          <w:tcPr>
            <w:tcW w:w="226" w:type="dxa"/>
            <w:shd w:val="clear" w:color="auto" w:fill="auto"/>
            <w:hideMark/>
          </w:tcPr>
          <w:p w:rsidR="00FB5C78" w:rsidRPr="00FB5C78" w:rsidRDefault="00FB5C78" w:rsidP="00FF5AB8">
            <w:pPr>
              <w:spacing w:after="120"/>
              <w:jc w:val="right"/>
              <w:cnfStyle w:val="000000100000" w:firstRow="0" w:lastRow="0" w:firstColumn="0" w:lastColumn="0" w:oddVBand="0" w:evenVBand="0" w:oddHBand="1" w:evenHBand="0" w:firstRowFirstColumn="0" w:firstRowLastColumn="0" w:lastRowFirstColumn="0" w:lastRowLastColumn="0"/>
              <w:rPr>
                <w:sz w:val="20"/>
                <w:szCs w:val="20"/>
              </w:rPr>
            </w:pPr>
            <w:r w:rsidRPr="00FB5C78">
              <w:rPr>
                <w:sz w:val="20"/>
                <w:szCs w:val="20"/>
              </w:rPr>
              <w:t> </w:t>
            </w:r>
          </w:p>
        </w:tc>
        <w:tc>
          <w:tcPr>
            <w:tcW w:w="778" w:type="dxa"/>
            <w:shd w:val="clear" w:color="auto" w:fill="auto"/>
            <w:hideMark/>
          </w:tcPr>
          <w:p w:rsidR="00FB5C78" w:rsidRPr="00FB5C78" w:rsidRDefault="00FB5C78" w:rsidP="00FF5AB8">
            <w:pPr>
              <w:spacing w:after="120"/>
              <w:jc w:val="right"/>
              <w:cnfStyle w:val="000000100000" w:firstRow="0" w:lastRow="0" w:firstColumn="0" w:lastColumn="0" w:oddVBand="0" w:evenVBand="0" w:oddHBand="1" w:evenHBand="0" w:firstRowFirstColumn="0" w:firstRowLastColumn="0" w:lastRowFirstColumn="0" w:lastRowLastColumn="0"/>
              <w:rPr>
                <w:sz w:val="20"/>
                <w:szCs w:val="20"/>
              </w:rPr>
            </w:pPr>
            <w:r w:rsidRPr="00FB5C78">
              <w:rPr>
                <w:sz w:val="20"/>
                <w:szCs w:val="20"/>
              </w:rPr>
              <w:t> </w:t>
            </w:r>
          </w:p>
        </w:tc>
        <w:tc>
          <w:tcPr>
            <w:tcW w:w="259" w:type="dxa"/>
            <w:shd w:val="clear" w:color="auto" w:fill="auto"/>
            <w:hideMark/>
          </w:tcPr>
          <w:p w:rsidR="00FB5C78" w:rsidRPr="00FB5C78" w:rsidRDefault="00FB5C78" w:rsidP="00FF5AB8">
            <w:pPr>
              <w:spacing w:after="120"/>
              <w:jc w:val="right"/>
              <w:cnfStyle w:val="000000100000" w:firstRow="0" w:lastRow="0" w:firstColumn="0" w:lastColumn="0" w:oddVBand="0" w:evenVBand="0" w:oddHBand="1" w:evenHBand="0" w:firstRowFirstColumn="0" w:firstRowLastColumn="0" w:lastRowFirstColumn="0" w:lastRowLastColumn="0"/>
              <w:rPr>
                <w:sz w:val="20"/>
                <w:szCs w:val="20"/>
              </w:rPr>
            </w:pPr>
            <w:r w:rsidRPr="00FB5C78">
              <w:rPr>
                <w:sz w:val="20"/>
                <w:szCs w:val="20"/>
              </w:rPr>
              <w:t> </w:t>
            </w:r>
          </w:p>
        </w:tc>
        <w:tc>
          <w:tcPr>
            <w:tcW w:w="775" w:type="dxa"/>
            <w:shd w:val="clear" w:color="auto" w:fill="auto"/>
            <w:hideMark/>
          </w:tcPr>
          <w:p w:rsidR="00FB5C78" w:rsidRPr="00FB5C78" w:rsidRDefault="00FB5C78" w:rsidP="00FF5AB8">
            <w:pPr>
              <w:spacing w:after="120"/>
              <w:jc w:val="right"/>
              <w:cnfStyle w:val="000000100000" w:firstRow="0" w:lastRow="0" w:firstColumn="0" w:lastColumn="0" w:oddVBand="0" w:evenVBand="0" w:oddHBand="1" w:evenHBand="0" w:firstRowFirstColumn="0" w:firstRowLastColumn="0" w:lastRowFirstColumn="0" w:lastRowLastColumn="0"/>
              <w:rPr>
                <w:sz w:val="20"/>
                <w:szCs w:val="20"/>
              </w:rPr>
            </w:pPr>
            <w:r w:rsidRPr="00FB5C78">
              <w:rPr>
                <w:sz w:val="20"/>
                <w:szCs w:val="20"/>
              </w:rPr>
              <w:t> </w:t>
            </w:r>
          </w:p>
        </w:tc>
        <w:tc>
          <w:tcPr>
            <w:tcW w:w="274" w:type="dxa"/>
            <w:shd w:val="clear" w:color="auto" w:fill="auto"/>
            <w:hideMark/>
          </w:tcPr>
          <w:p w:rsidR="00FB5C78" w:rsidRPr="00FB5C78" w:rsidRDefault="00FB5C78" w:rsidP="00FF5AB8">
            <w:pPr>
              <w:spacing w:after="120"/>
              <w:jc w:val="right"/>
              <w:cnfStyle w:val="000000100000" w:firstRow="0" w:lastRow="0" w:firstColumn="0" w:lastColumn="0" w:oddVBand="0" w:evenVBand="0" w:oddHBand="1" w:evenHBand="0" w:firstRowFirstColumn="0" w:firstRowLastColumn="0" w:lastRowFirstColumn="0" w:lastRowLastColumn="0"/>
              <w:rPr>
                <w:sz w:val="20"/>
                <w:szCs w:val="20"/>
              </w:rPr>
            </w:pPr>
            <w:r w:rsidRPr="00FB5C78">
              <w:rPr>
                <w:sz w:val="20"/>
                <w:szCs w:val="20"/>
              </w:rPr>
              <w:t> </w:t>
            </w:r>
          </w:p>
        </w:tc>
      </w:tr>
      <w:tr w:rsidR="00FB5C78" w:rsidRPr="00FB5C78" w:rsidTr="00FB5C78">
        <w:trPr>
          <w:trHeight w:hRule="exact" w:val="306"/>
          <w:jc w:val="center"/>
        </w:trPr>
        <w:tc>
          <w:tcPr>
            <w:cnfStyle w:val="001000000000" w:firstRow="0" w:lastRow="0" w:firstColumn="1" w:lastColumn="0" w:oddVBand="0" w:evenVBand="0" w:oddHBand="0" w:evenHBand="0" w:firstRowFirstColumn="0" w:firstRowLastColumn="0" w:lastRowFirstColumn="0" w:lastRowLastColumn="0"/>
            <w:tcW w:w="1718" w:type="dxa"/>
            <w:shd w:val="clear" w:color="auto" w:fill="auto"/>
            <w:hideMark/>
          </w:tcPr>
          <w:p w:rsidR="00FB5C78" w:rsidRPr="00FB5C78" w:rsidRDefault="00FB5C78" w:rsidP="00FF5AB8">
            <w:pPr>
              <w:spacing w:after="120"/>
              <w:jc w:val="both"/>
              <w:rPr>
                <w:b w:val="0"/>
                <w:bCs w:val="0"/>
                <w:sz w:val="20"/>
                <w:szCs w:val="20"/>
              </w:rPr>
            </w:pPr>
            <w:r w:rsidRPr="00FB5C78">
              <w:rPr>
                <w:b w:val="0"/>
                <w:bCs w:val="0"/>
                <w:sz w:val="20"/>
                <w:szCs w:val="20"/>
              </w:rPr>
              <w:t xml:space="preserve">Bond </w:t>
            </w:r>
            <w:proofErr w:type="spellStart"/>
            <w:r w:rsidRPr="00FB5C78">
              <w:rPr>
                <w:b w:val="0"/>
                <w:bCs w:val="0"/>
                <w:sz w:val="20"/>
                <w:szCs w:val="20"/>
              </w:rPr>
              <w:t>Flow</w:t>
            </w:r>
            <w:proofErr w:type="spellEnd"/>
          </w:p>
        </w:tc>
        <w:tc>
          <w:tcPr>
            <w:tcW w:w="697" w:type="dxa"/>
            <w:shd w:val="clear" w:color="auto" w:fill="auto"/>
            <w:hideMark/>
          </w:tcPr>
          <w:p w:rsidR="00FB5C78" w:rsidRPr="00FB5C78" w:rsidRDefault="00FB5C78" w:rsidP="00FF5AB8">
            <w:pPr>
              <w:spacing w:after="120"/>
              <w:jc w:val="right"/>
              <w:cnfStyle w:val="000000000000" w:firstRow="0" w:lastRow="0" w:firstColumn="0" w:lastColumn="0" w:oddVBand="0" w:evenVBand="0" w:oddHBand="0" w:evenHBand="0" w:firstRowFirstColumn="0" w:firstRowLastColumn="0" w:lastRowFirstColumn="0" w:lastRowLastColumn="0"/>
              <w:rPr>
                <w:sz w:val="20"/>
                <w:szCs w:val="20"/>
              </w:rPr>
            </w:pPr>
            <w:r w:rsidRPr="00FB5C78">
              <w:rPr>
                <w:sz w:val="20"/>
                <w:szCs w:val="20"/>
              </w:rPr>
              <w:t>2,43</w:t>
            </w:r>
          </w:p>
        </w:tc>
        <w:tc>
          <w:tcPr>
            <w:tcW w:w="243" w:type="dxa"/>
            <w:shd w:val="clear" w:color="auto" w:fill="auto"/>
            <w:hideMark/>
          </w:tcPr>
          <w:p w:rsidR="00FB5C78" w:rsidRPr="00FB5C78" w:rsidRDefault="00FB5C78" w:rsidP="00FF5AB8">
            <w:pPr>
              <w:spacing w:after="120"/>
              <w:jc w:val="right"/>
              <w:cnfStyle w:val="000000000000" w:firstRow="0" w:lastRow="0" w:firstColumn="0" w:lastColumn="0" w:oddVBand="0" w:evenVBand="0" w:oddHBand="0" w:evenHBand="0" w:firstRowFirstColumn="0" w:firstRowLastColumn="0" w:lastRowFirstColumn="0" w:lastRowLastColumn="0"/>
              <w:rPr>
                <w:sz w:val="20"/>
                <w:szCs w:val="20"/>
              </w:rPr>
            </w:pPr>
            <w:r w:rsidRPr="00FB5C78">
              <w:rPr>
                <w:sz w:val="20"/>
                <w:szCs w:val="20"/>
              </w:rPr>
              <w:t> </w:t>
            </w:r>
          </w:p>
        </w:tc>
        <w:tc>
          <w:tcPr>
            <w:tcW w:w="775" w:type="dxa"/>
            <w:shd w:val="clear" w:color="auto" w:fill="auto"/>
            <w:hideMark/>
          </w:tcPr>
          <w:p w:rsidR="00FB5C78" w:rsidRPr="00FB5C78" w:rsidRDefault="00FB5C78" w:rsidP="00FF5AB8">
            <w:pPr>
              <w:spacing w:after="120"/>
              <w:jc w:val="right"/>
              <w:cnfStyle w:val="000000000000" w:firstRow="0" w:lastRow="0" w:firstColumn="0" w:lastColumn="0" w:oddVBand="0" w:evenVBand="0" w:oddHBand="0" w:evenHBand="0" w:firstRowFirstColumn="0" w:firstRowLastColumn="0" w:lastRowFirstColumn="0" w:lastRowLastColumn="0"/>
              <w:rPr>
                <w:sz w:val="20"/>
                <w:szCs w:val="20"/>
              </w:rPr>
            </w:pPr>
            <w:r w:rsidRPr="00FB5C78">
              <w:rPr>
                <w:sz w:val="20"/>
                <w:szCs w:val="20"/>
              </w:rPr>
              <w:t>2,82</w:t>
            </w:r>
          </w:p>
        </w:tc>
        <w:tc>
          <w:tcPr>
            <w:tcW w:w="203" w:type="dxa"/>
            <w:shd w:val="clear" w:color="auto" w:fill="auto"/>
            <w:hideMark/>
          </w:tcPr>
          <w:p w:rsidR="00FB5C78" w:rsidRPr="00FB5C78" w:rsidRDefault="00FB5C78" w:rsidP="00FF5AB8">
            <w:pPr>
              <w:spacing w:after="120"/>
              <w:jc w:val="right"/>
              <w:cnfStyle w:val="000000000000" w:firstRow="0" w:lastRow="0" w:firstColumn="0" w:lastColumn="0" w:oddVBand="0" w:evenVBand="0" w:oddHBand="0" w:evenHBand="0" w:firstRowFirstColumn="0" w:firstRowLastColumn="0" w:lastRowFirstColumn="0" w:lastRowLastColumn="0"/>
              <w:rPr>
                <w:sz w:val="20"/>
                <w:szCs w:val="20"/>
              </w:rPr>
            </w:pPr>
            <w:r w:rsidRPr="00FB5C78">
              <w:rPr>
                <w:sz w:val="20"/>
                <w:szCs w:val="20"/>
              </w:rPr>
              <w:t> </w:t>
            </w:r>
          </w:p>
        </w:tc>
        <w:tc>
          <w:tcPr>
            <w:tcW w:w="777" w:type="dxa"/>
            <w:shd w:val="clear" w:color="auto" w:fill="auto"/>
            <w:hideMark/>
          </w:tcPr>
          <w:p w:rsidR="00FB5C78" w:rsidRPr="00FB5C78" w:rsidRDefault="00FB5C78" w:rsidP="00FF5AB8">
            <w:pPr>
              <w:spacing w:after="120"/>
              <w:jc w:val="right"/>
              <w:cnfStyle w:val="000000000000" w:firstRow="0" w:lastRow="0" w:firstColumn="0" w:lastColumn="0" w:oddVBand="0" w:evenVBand="0" w:oddHBand="0" w:evenHBand="0" w:firstRowFirstColumn="0" w:firstRowLastColumn="0" w:lastRowFirstColumn="0" w:lastRowLastColumn="0"/>
              <w:rPr>
                <w:sz w:val="20"/>
                <w:szCs w:val="20"/>
              </w:rPr>
            </w:pPr>
            <w:r w:rsidRPr="00FB5C78">
              <w:rPr>
                <w:sz w:val="20"/>
                <w:szCs w:val="20"/>
              </w:rPr>
              <w:t>-0,07</w:t>
            </w:r>
          </w:p>
        </w:tc>
        <w:tc>
          <w:tcPr>
            <w:tcW w:w="226" w:type="dxa"/>
            <w:shd w:val="clear" w:color="auto" w:fill="auto"/>
            <w:hideMark/>
          </w:tcPr>
          <w:p w:rsidR="00FB5C78" w:rsidRPr="00FB5C78" w:rsidRDefault="00FB5C78" w:rsidP="00FF5AB8">
            <w:pPr>
              <w:spacing w:after="120"/>
              <w:jc w:val="right"/>
              <w:cnfStyle w:val="000000000000" w:firstRow="0" w:lastRow="0" w:firstColumn="0" w:lastColumn="0" w:oddVBand="0" w:evenVBand="0" w:oddHBand="0" w:evenHBand="0" w:firstRowFirstColumn="0" w:firstRowLastColumn="0" w:lastRowFirstColumn="0" w:lastRowLastColumn="0"/>
              <w:rPr>
                <w:sz w:val="20"/>
                <w:szCs w:val="20"/>
              </w:rPr>
            </w:pPr>
            <w:r w:rsidRPr="00FB5C78">
              <w:rPr>
                <w:sz w:val="20"/>
                <w:szCs w:val="20"/>
              </w:rPr>
              <w:t> </w:t>
            </w:r>
          </w:p>
        </w:tc>
        <w:tc>
          <w:tcPr>
            <w:tcW w:w="775" w:type="dxa"/>
            <w:shd w:val="clear" w:color="auto" w:fill="auto"/>
            <w:hideMark/>
          </w:tcPr>
          <w:p w:rsidR="00FB5C78" w:rsidRPr="00FB5C78" w:rsidRDefault="00FB5C78" w:rsidP="00FF5AB8">
            <w:pPr>
              <w:spacing w:after="120"/>
              <w:jc w:val="right"/>
              <w:cnfStyle w:val="000000000000" w:firstRow="0" w:lastRow="0" w:firstColumn="0" w:lastColumn="0" w:oddVBand="0" w:evenVBand="0" w:oddHBand="0" w:evenHBand="0" w:firstRowFirstColumn="0" w:firstRowLastColumn="0" w:lastRowFirstColumn="0" w:lastRowLastColumn="0"/>
              <w:rPr>
                <w:sz w:val="20"/>
                <w:szCs w:val="20"/>
              </w:rPr>
            </w:pPr>
            <w:r w:rsidRPr="00FB5C78">
              <w:rPr>
                <w:sz w:val="20"/>
                <w:szCs w:val="20"/>
              </w:rPr>
              <w:t>-0,04</w:t>
            </w:r>
          </w:p>
        </w:tc>
        <w:tc>
          <w:tcPr>
            <w:tcW w:w="226" w:type="dxa"/>
            <w:shd w:val="clear" w:color="auto" w:fill="auto"/>
            <w:hideMark/>
          </w:tcPr>
          <w:p w:rsidR="00FB5C78" w:rsidRPr="00FB5C78" w:rsidRDefault="00FB5C78" w:rsidP="00FF5AB8">
            <w:pPr>
              <w:spacing w:after="120"/>
              <w:jc w:val="right"/>
              <w:cnfStyle w:val="000000000000" w:firstRow="0" w:lastRow="0" w:firstColumn="0" w:lastColumn="0" w:oddVBand="0" w:evenVBand="0" w:oddHBand="0" w:evenHBand="0" w:firstRowFirstColumn="0" w:firstRowLastColumn="0" w:lastRowFirstColumn="0" w:lastRowLastColumn="0"/>
              <w:rPr>
                <w:sz w:val="20"/>
                <w:szCs w:val="20"/>
              </w:rPr>
            </w:pPr>
            <w:r w:rsidRPr="00FB5C78">
              <w:rPr>
                <w:sz w:val="20"/>
                <w:szCs w:val="20"/>
              </w:rPr>
              <w:t> </w:t>
            </w:r>
          </w:p>
        </w:tc>
        <w:tc>
          <w:tcPr>
            <w:tcW w:w="778" w:type="dxa"/>
            <w:shd w:val="clear" w:color="auto" w:fill="auto"/>
            <w:hideMark/>
          </w:tcPr>
          <w:p w:rsidR="00FB5C78" w:rsidRPr="00FB5C78" w:rsidRDefault="00FB5C78" w:rsidP="00FF5AB8">
            <w:pPr>
              <w:spacing w:after="120"/>
              <w:jc w:val="right"/>
              <w:cnfStyle w:val="000000000000" w:firstRow="0" w:lastRow="0" w:firstColumn="0" w:lastColumn="0" w:oddVBand="0" w:evenVBand="0" w:oddHBand="0" w:evenHBand="0" w:firstRowFirstColumn="0" w:firstRowLastColumn="0" w:lastRowFirstColumn="0" w:lastRowLastColumn="0"/>
              <w:rPr>
                <w:sz w:val="20"/>
                <w:szCs w:val="20"/>
              </w:rPr>
            </w:pPr>
            <w:r w:rsidRPr="00FB5C78">
              <w:rPr>
                <w:sz w:val="20"/>
                <w:szCs w:val="20"/>
              </w:rPr>
              <w:t>-1,68</w:t>
            </w:r>
          </w:p>
        </w:tc>
        <w:tc>
          <w:tcPr>
            <w:tcW w:w="259" w:type="dxa"/>
            <w:shd w:val="clear" w:color="auto" w:fill="auto"/>
            <w:hideMark/>
          </w:tcPr>
          <w:p w:rsidR="00FB5C78" w:rsidRPr="00FB5C78" w:rsidRDefault="00FB5C78" w:rsidP="00FF5AB8">
            <w:pPr>
              <w:spacing w:after="120"/>
              <w:jc w:val="right"/>
              <w:cnfStyle w:val="000000000000" w:firstRow="0" w:lastRow="0" w:firstColumn="0" w:lastColumn="0" w:oddVBand="0" w:evenVBand="0" w:oddHBand="0" w:evenHBand="0" w:firstRowFirstColumn="0" w:firstRowLastColumn="0" w:lastRowFirstColumn="0" w:lastRowLastColumn="0"/>
              <w:rPr>
                <w:sz w:val="20"/>
                <w:szCs w:val="20"/>
              </w:rPr>
            </w:pPr>
            <w:r w:rsidRPr="00FB5C78">
              <w:rPr>
                <w:sz w:val="20"/>
                <w:szCs w:val="20"/>
              </w:rPr>
              <w:t> </w:t>
            </w:r>
          </w:p>
        </w:tc>
        <w:tc>
          <w:tcPr>
            <w:tcW w:w="775" w:type="dxa"/>
            <w:shd w:val="clear" w:color="auto" w:fill="auto"/>
            <w:hideMark/>
          </w:tcPr>
          <w:p w:rsidR="00FB5C78" w:rsidRPr="00FB5C78" w:rsidRDefault="00FB5C78" w:rsidP="00FF5AB8">
            <w:pPr>
              <w:spacing w:after="120"/>
              <w:jc w:val="right"/>
              <w:cnfStyle w:val="000000000000" w:firstRow="0" w:lastRow="0" w:firstColumn="0" w:lastColumn="0" w:oddVBand="0" w:evenVBand="0" w:oddHBand="0" w:evenHBand="0" w:firstRowFirstColumn="0" w:firstRowLastColumn="0" w:lastRowFirstColumn="0" w:lastRowLastColumn="0"/>
              <w:rPr>
                <w:sz w:val="20"/>
                <w:szCs w:val="20"/>
              </w:rPr>
            </w:pPr>
            <w:r w:rsidRPr="00FB5C78">
              <w:rPr>
                <w:sz w:val="20"/>
                <w:szCs w:val="20"/>
              </w:rPr>
              <w:t>-4,41</w:t>
            </w:r>
          </w:p>
        </w:tc>
        <w:tc>
          <w:tcPr>
            <w:tcW w:w="274" w:type="dxa"/>
            <w:shd w:val="clear" w:color="auto" w:fill="auto"/>
            <w:hideMark/>
          </w:tcPr>
          <w:p w:rsidR="00FB5C78" w:rsidRPr="00FB5C78" w:rsidRDefault="00FB5C78" w:rsidP="00FF5AB8">
            <w:pPr>
              <w:spacing w:after="120"/>
              <w:jc w:val="right"/>
              <w:cnfStyle w:val="000000000000" w:firstRow="0" w:lastRow="0" w:firstColumn="0" w:lastColumn="0" w:oddVBand="0" w:evenVBand="0" w:oddHBand="0" w:evenHBand="0" w:firstRowFirstColumn="0" w:firstRowLastColumn="0" w:lastRowFirstColumn="0" w:lastRowLastColumn="0"/>
              <w:rPr>
                <w:sz w:val="20"/>
                <w:szCs w:val="20"/>
              </w:rPr>
            </w:pPr>
            <w:r w:rsidRPr="00FB5C78">
              <w:rPr>
                <w:sz w:val="20"/>
                <w:szCs w:val="20"/>
              </w:rPr>
              <w:t> </w:t>
            </w:r>
          </w:p>
        </w:tc>
      </w:tr>
      <w:tr w:rsidR="00FB5C78" w:rsidRPr="00FB5C78" w:rsidTr="00FB5C78">
        <w:trPr>
          <w:cnfStyle w:val="000000100000" w:firstRow="0" w:lastRow="0" w:firstColumn="0" w:lastColumn="0" w:oddVBand="0" w:evenVBand="0" w:oddHBand="1" w:evenHBand="0" w:firstRowFirstColumn="0" w:firstRowLastColumn="0" w:lastRowFirstColumn="0" w:lastRowLastColumn="0"/>
          <w:trHeight w:hRule="exact" w:val="306"/>
          <w:jc w:val="center"/>
        </w:trPr>
        <w:tc>
          <w:tcPr>
            <w:cnfStyle w:val="001000000000" w:firstRow="0" w:lastRow="0" w:firstColumn="1" w:lastColumn="0" w:oddVBand="0" w:evenVBand="0" w:oddHBand="0" w:evenHBand="0" w:firstRowFirstColumn="0" w:firstRowLastColumn="0" w:lastRowFirstColumn="0" w:lastRowLastColumn="0"/>
            <w:tcW w:w="1718" w:type="dxa"/>
            <w:shd w:val="clear" w:color="auto" w:fill="auto"/>
            <w:hideMark/>
          </w:tcPr>
          <w:p w:rsidR="00FB5C78" w:rsidRPr="00FB5C78" w:rsidRDefault="00FB5C78" w:rsidP="00FF5AB8">
            <w:pPr>
              <w:spacing w:after="120"/>
              <w:jc w:val="both"/>
              <w:rPr>
                <w:b w:val="0"/>
                <w:bCs w:val="0"/>
                <w:sz w:val="20"/>
                <w:szCs w:val="20"/>
              </w:rPr>
            </w:pPr>
            <w:proofErr w:type="spellStart"/>
            <w:r w:rsidRPr="00FB5C78">
              <w:rPr>
                <w:b w:val="0"/>
                <w:bCs w:val="0"/>
                <w:sz w:val="20"/>
                <w:szCs w:val="20"/>
              </w:rPr>
              <w:t>Equity</w:t>
            </w:r>
            <w:proofErr w:type="spellEnd"/>
            <w:r w:rsidRPr="00FB5C78">
              <w:rPr>
                <w:b w:val="0"/>
                <w:bCs w:val="0"/>
                <w:sz w:val="20"/>
                <w:szCs w:val="20"/>
              </w:rPr>
              <w:t xml:space="preserve"> </w:t>
            </w:r>
            <w:proofErr w:type="spellStart"/>
            <w:r w:rsidRPr="00FB5C78">
              <w:rPr>
                <w:b w:val="0"/>
                <w:bCs w:val="0"/>
                <w:sz w:val="20"/>
                <w:szCs w:val="20"/>
              </w:rPr>
              <w:t>Flow</w:t>
            </w:r>
            <w:proofErr w:type="spellEnd"/>
          </w:p>
        </w:tc>
        <w:tc>
          <w:tcPr>
            <w:tcW w:w="697" w:type="dxa"/>
            <w:shd w:val="clear" w:color="auto" w:fill="auto"/>
            <w:hideMark/>
          </w:tcPr>
          <w:p w:rsidR="00FB5C78" w:rsidRPr="00FB5C78" w:rsidRDefault="00FB5C78" w:rsidP="00FF5AB8">
            <w:pPr>
              <w:spacing w:after="120"/>
              <w:jc w:val="right"/>
              <w:cnfStyle w:val="000000100000" w:firstRow="0" w:lastRow="0" w:firstColumn="0" w:lastColumn="0" w:oddVBand="0" w:evenVBand="0" w:oddHBand="1" w:evenHBand="0" w:firstRowFirstColumn="0" w:firstRowLastColumn="0" w:lastRowFirstColumn="0" w:lastRowLastColumn="0"/>
              <w:rPr>
                <w:sz w:val="20"/>
                <w:szCs w:val="20"/>
              </w:rPr>
            </w:pPr>
            <w:r w:rsidRPr="00FB5C78">
              <w:rPr>
                <w:sz w:val="20"/>
                <w:szCs w:val="20"/>
              </w:rPr>
              <w:t>1,79</w:t>
            </w:r>
          </w:p>
        </w:tc>
        <w:tc>
          <w:tcPr>
            <w:tcW w:w="243" w:type="dxa"/>
            <w:shd w:val="clear" w:color="auto" w:fill="auto"/>
            <w:hideMark/>
          </w:tcPr>
          <w:p w:rsidR="00FB5C78" w:rsidRPr="00FB5C78" w:rsidRDefault="00FB5C78" w:rsidP="00FF5AB8">
            <w:pPr>
              <w:spacing w:after="120"/>
              <w:jc w:val="right"/>
              <w:cnfStyle w:val="000000100000" w:firstRow="0" w:lastRow="0" w:firstColumn="0" w:lastColumn="0" w:oddVBand="0" w:evenVBand="0" w:oddHBand="1" w:evenHBand="0" w:firstRowFirstColumn="0" w:firstRowLastColumn="0" w:lastRowFirstColumn="0" w:lastRowLastColumn="0"/>
              <w:rPr>
                <w:sz w:val="20"/>
                <w:szCs w:val="20"/>
              </w:rPr>
            </w:pPr>
            <w:r w:rsidRPr="00FB5C78">
              <w:rPr>
                <w:sz w:val="20"/>
                <w:szCs w:val="20"/>
              </w:rPr>
              <w:t> </w:t>
            </w:r>
          </w:p>
        </w:tc>
        <w:tc>
          <w:tcPr>
            <w:tcW w:w="775" w:type="dxa"/>
            <w:shd w:val="clear" w:color="auto" w:fill="auto"/>
            <w:hideMark/>
          </w:tcPr>
          <w:p w:rsidR="00FB5C78" w:rsidRPr="00FB5C78" w:rsidRDefault="00FB5C78" w:rsidP="00FF5AB8">
            <w:pPr>
              <w:spacing w:after="120"/>
              <w:jc w:val="right"/>
              <w:cnfStyle w:val="000000100000" w:firstRow="0" w:lastRow="0" w:firstColumn="0" w:lastColumn="0" w:oddVBand="0" w:evenVBand="0" w:oddHBand="1" w:evenHBand="0" w:firstRowFirstColumn="0" w:firstRowLastColumn="0" w:lastRowFirstColumn="0" w:lastRowLastColumn="0"/>
              <w:rPr>
                <w:sz w:val="20"/>
                <w:szCs w:val="20"/>
              </w:rPr>
            </w:pPr>
            <w:r w:rsidRPr="00FB5C78">
              <w:rPr>
                <w:sz w:val="20"/>
                <w:szCs w:val="20"/>
              </w:rPr>
              <w:t>-0,75</w:t>
            </w:r>
          </w:p>
        </w:tc>
        <w:tc>
          <w:tcPr>
            <w:tcW w:w="203" w:type="dxa"/>
            <w:shd w:val="clear" w:color="auto" w:fill="auto"/>
            <w:hideMark/>
          </w:tcPr>
          <w:p w:rsidR="00FB5C78" w:rsidRPr="00FB5C78" w:rsidRDefault="00FB5C78" w:rsidP="00FF5AB8">
            <w:pPr>
              <w:spacing w:after="120"/>
              <w:jc w:val="right"/>
              <w:cnfStyle w:val="000000100000" w:firstRow="0" w:lastRow="0" w:firstColumn="0" w:lastColumn="0" w:oddVBand="0" w:evenVBand="0" w:oddHBand="1" w:evenHBand="0" w:firstRowFirstColumn="0" w:firstRowLastColumn="0" w:lastRowFirstColumn="0" w:lastRowLastColumn="0"/>
              <w:rPr>
                <w:sz w:val="20"/>
                <w:szCs w:val="20"/>
              </w:rPr>
            </w:pPr>
            <w:r w:rsidRPr="00FB5C78">
              <w:rPr>
                <w:sz w:val="20"/>
                <w:szCs w:val="20"/>
              </w:rPr>
              <w:t> </w:t>
            </w:r>
          </w:p>
        </w:tc>
        <w:tc>
          <w:tcPr>
            <w:tcW w:w="777" w:type="dxa"/>
            <w:shd w:val="clear" w:color="auto" w:fill="auto"/>
            <w:hideMark/>
          </w:tcPr>
          <w:p w:rsidR="00FB5C78" w:rsidRPr="00FB5C78" w:rsidRDefault="00FB5C78" w:rsidP="00FF5AB8">
            <w:pPr>
              <w:spacing w:after="120"/>
              <w:jc w:val="right"/>
              <w:cnfStyle w:val="000000100000" w:firstRow="0" w:lastRow="0" w:firstColumn="0" w:lastColumn="0" w:oddVBand="0" w:evenVBand="0" w:oddHBand="1" w:evenHBand="0" w:firstRowFirstColumn="0" w:firstRowLastColumn="0" w:lastRowFirstColumn="0" w:lastRowLastColumn="0"/>
              <w:rPr>
                <w:sz w:val="20"/>
                <w:szCs w:val="20"/>
              </w:rPr>
            </w:pPr>
            <w:r w:rsidRPr="00FB5C78">
              <w:rPr>
                <w:sz w:val="20"/>
                <w:szCs w:val="20"/>
              </w:rPr>
              <w:t>-0,02</w:t>
            </w:r>
          </w:p>
        </w:tc>
        <w:tc>
          <w:tcPr>
            <w:tcW w:w="226" w:type="dxa"/>
            <w:shd w:val="clear" w:color="auto" w:fill="auto"/>
            <w:hideMark/>
          </w:tcPr>
          <w:p w:rsidR="00FB5C78" w:rsidRPr="00FB5C78" w:rsidRDefault="00FB5C78" w:rsidP="00FF5AB8">
            <w:pPr>
              <w:spacing w:after="120"/>
              <w:jc w:val="right"/>
              <w:cnfStyle w:val="000000100000" w:firstRow="0" w:lastRow="0" w:firstColumn="0" w:lastColumn="0" w:oddVBand="0" w:evenVBand="0" w:oddHBand="1" w:evenHBand="0" w:firstRowFirstColumn="0" w:firstRowLastColumn="0" w:lastRowFirstColumn="0" w:lastRowLastColumn="0"/>
              <w:rPr>
                <w:sz w:val="20"/>
                <w:szCs w:val="20"/>
              </w:rPr>
            </w:pPr>
            <w:r w:rsidRPr="00FB5C78">
              <w:rPr>
                <w:sz w:val="20"/>
                <w:szCs w:val="20"/>
              </w:rPr>
              <w:t> </w:t>
            </w:r>
          </w:p>
        </w:tc>
        <w:tc>
          <w:tcPr>
            <w:tcW w:w="775" w:type="dxa"/>
            <w:shd w:val="clear" w:color="auto" w:fill="auto"/>
            <w:hideMark/>
          </w:tcPr>
          <w:p w:rsidR="00FB5C78" w:rsidRPr="00FB5C78" w:rsidRDefault="00FB5C78" w:rsidP="00FF5AB8">
            <w:pPr>
              <w:spacing w:after="120"/>
              <w:jc w:val="right"/>
              <w:cnfStyle w:val="000000100000" w:firstRow="0" w:lastRow="0" w:firstColumn="0" w:lastColumn="0" w:oddVBand="0" w:evenVBand="0" w:oddHBand="1" w:evenHBand="0" w:firstRowFirstColumn="0" w:firstRowLastColumn="0" w:lastRowFirstColumn="0" w:lastRowLastColumn="0"/>
              <w:rPr>
                <w:sz w:val="20"/>
                <w:szCs w:val="20"/>
              </w:rPr>
            </w:pPr>
            <w:r w:rsidRPr="00FB5C78">
              <w:rPr>
                <w:sz w:val="20"/>
                <w:szCs w:val="20"/>
              </w:rPr>
              <w:t>0,02</w:t>
            </w:r>
          </w:p>
        </w:tc>
        <w:tc>
          <w:tcPr>
            <w:tcW w:w="226" w:type="dxa"/>
            <w:shd w:val="clear" w:color="auto" w:fill="auto"/>
            <w:hideMark/>
          </w:tcPr>
          <w:p w:rsidR="00FB5C78" w:rsidRPr="00FB5C78" w:rsidRDefault="00FB5C78" w:rsidP="00FF5AB8">
            <w:pPr>
              <w:spacing w:after="120"/>
              <w:jc w:val="right"/>
              <w:cnfStyle w:val="000000100000" w:firstRow="0" w:lastRow="0" w:firstColumn="0" w:lastColumn="0" w:oddVBand="0" w:evenVBand="0" w:oddHBand="1" w:evenHBand="0" w:firstRowFirstColumn="0" w:firstRowLastColumn="0" w:lastRowFirstColumn="0" w:lastRowLastColumn="0"/>
              <w:rPr>
                <w:sz w:val="20"/>
                <w:szCs w:val="20"/>
              </w:rPr>
            </w:pPr>
            <w:r w:rsidRPr="00FB5C78">
              <w:rPr>
                <w:sz w:val="20"/>
                <w:szCs w:val="20"/>
              </w:rPr>
              <w:t> </w:t>
            </w:r>
          </w:p>
        </w:tc>
        <w:tc>
          <w:tcPr>
            <w:tcW w:w="778" w:type="dxa"/>
            <w:shd w:val="clear" w:color="auto" w:fill="auto"/>
            <w:hideMark/>
          </w:tcPr>
          <w:p w:rsidR="00FB5C78" w:rsidRPr="00FB5C78" w:rsidRDefault="00FB5C78" w:rsidP="00FF5AB8">
            <w:pPr>
              <w:spacing w:after="120"/>
              <w:jc w:val="right"/>
              <w:cnfStyle w:val="000000100000" w:firstRow="0" w:lastRow="0" w:firstColumn="0" w:lastColumn="0" w:oddVBand="0" w:evenVBand="0" w:oddHBand="1" w:evenHBand="0" w:firstRowFirstColumn="0" w:firstRowLastColumn="0" w:lastRowFirstColumn="0" w:lastRowLastColumn="0"/>
              <w:rPr>
                <w:sz w:val="20"/>
                <w:szCs w:val="20"/>
              </w:rPr>
            </w:pPr>
            <w:r w:rsidRPr="00FB5C78">
              <w:rPr>
                <w:sz w:val="20"/>
                <w:szCs w:val="20"/>
              </w:rPr>
              <w:t>0,21</w:t>
            </w:r>
          </w:p>
        </w:tc>
        <w:tc>
          <w:tcPr>
            <w:tcW w:w="259" w:type="dxa"/>
            <w:shd w:val="clear" w:color="auto" w:fill="auto"/>
            <w:hideMark/>
          </w:tcPr>
          <w:p w:rsidR="00FB5C78" w:rsidRPr="00FB5C78" w:rsidRDefault="00FB5C78" w:rsidP="00FF5AB8">
            <w:pPr>
              <w:spacing w:after="120"/>
              <w:jc w:val="right"/>
              <w:cnfStyle w:val="000000100000" w:firstRow="0" w:lastRow="0" w:firstColumn="0" w:lastColumn="0" w:oddVBand="0" w:evenVBand="0" w:oddHBand="1" w:evenHBand="0" w:firstRowFirstColumn="0" w:firstRowLastColumn="0" w:lastRowFirstColumn="0" w:lastRowLastColumn="0"/>
              <w:rPr>
                <w:sz w:val="20"/>
                <w:szCs w:val="20"/>
              </w:rPr>
            </w:pPr>
            <w:r w:rsidRPr="00FB5C78">
              <w:rPr>
                <w:sz w:val="20"/>
                <w:szCs w:val="20"/>
              </w:rPr>
              <w:t> </w:t>
            </w:r>
          </w:p>
        </w:tc>
        <w:tc>
          <w:tcPr>
            <w:tcW w:w="775" w:type="dxa"/>
            <w:shd w:val="clear" w:color="auto" w:fill="auto"/>
            <w:hideMark/>
          </w:tcPr>
          <w:p w:rsidR="00FB5C78" w:rsidRPr="00FB5C78" w:rsidRDefault="00FB5C78" w:rsidP="00FF5AB8">
            <w:pPr>
              <w:spacing w:after="120"/>
              <w:jc w:val="right"/>
              <w:cnfStyle w:val="000000100000" w:firstRow="0" w:lastRow="0" w:firstColumn="0" w:lastColumn="0" w:oddVBand="0" w:evenVBand="0" w:oddHBand="1" w:evenHBand="0" w:firstRowFirstColumn="0" w:firstRowLastColumn="0" w:lastRowFirstColumn="0" w:lastRowLastColumn="0"/>
              <w:rPr>
                <w:sz w:val="20"/>
                <w:szCs w:val="20"/>
              </w:rPr>
            </w:pPr>
            <w:r w:rsidRPr="00FB5C78">
              <w:rPr>
                <w:sz w:val="20"/>
                <w:szCs w:val="20"/>
              </w:rPr>
              <w:t>1,09</w:t>
            </w:r>
          </w:p>
        </w:tc>
        <w:tc>
          <w:tcPr>
            <w:tcW w:w="274" w:type="dxa"/>
            <w:shd w:val="clear" w:color="auto" w:fill="auto"/>
            <w:hideMark/>
          </w:tcPr>
          <w:p w:rsidR="00FB5C78" w:rsidRPr="00FB5C78" w:rsidRDefault="00FB5C78" w:rsidP="00FF5AB8">
            <w:pPr>
              <w:spacing w:after="120"/>
              <w:jc w:val="right"/>
              <w:cnfStyle w:val="000000100000" w:firstRow="0" w:lastRow="0" w:firstColumn="0" w:lastColumn="0" w:oddVBand="0" w:evenVBand="0" w:oddHBand="1" w:evenHBand="0" w:firstRowFirstColumn="0" w:firstRowLastColumn="0" w:lastRowFirstColumn="0" w:lastRowLastColumn="0"/>
              <w:rPr>
                <w:sz w:val="20"/>
                <w:szCs w:val="20"/>
              </w:rPr>
            </w:pPr>
            <w:r w:rsidRPr="00FB5C78">
              <w:rPr>
                <w:sz w:val="20"/>
                <w:szCs w:val="20"/>
              </w:rPr>
              <w:t> </w:t>
            </w:r>
          </w:p>
        </w:tc>
      </w:tr>
      <w:tr w:rsidR="00FB5C78" w:rsidRPr="00FB5C78" w:rsidTr="00FB5C78">
        <w:trPr>
          <w:trHeight w:hRule="exact" w:val="306"/>
          <w:jc w:val="center"/>
        </w:trPr>
        <w:tc>
          <w:tcPr>
            <w:cnfStyle w:val="001000000000" w:firstRow="0" w:lastRow="0" w:firstColumn="1" w:lastColumn="0" w:oddVBand="0" w:evenVBand="0" w:oddHBand="0" w:evenHBand="0" w:firstRowFirstColumn="0" w:firstRowLastColumn="0" w:lastRowFirstColumn="0" w:lastRowLastColumn="0"/>
            <w:tcW w:w="1718" w:type="dxa"/>
            <w:shd w:val="clear" w:color="auto" w:fill="auto"/>
            <w:hideMark/>
          </w:tcPr>
          <w:p w:rsidR="00FB5C78" w:rsidRPr="00FB5C78" w:rsidRDefault="00FB5C78" w:rsidP="00FF5AB8">
            <w:pPr>
              <w:spacing w:after="120"/>
              <w:jc w:val="both"/>
              <w:rPr>
                <w:b w:val="0"/>
                <w:bCs w:val="0"/>
                <w:sz w:val="20"/>
                <w:szCs w:val="20"/>
              </w:rPr>
            </w:pPr>
            <w:proofErr w:type="spellStart"/>
            <w:r w:rsidRPr="00FB5C78">
              <w:rPr>
                <w:b w:val="0"/>
                <w:bCs w:val="0"/>
                <w:sz w:val="20"/>
                <w:szCs w:val="20"/>
              </w:rPr>
              <w:t>Constant</w:t>
            </w:r>
            <w:proofErr w:type="spellEnd"/>
          </w:p>
        </w:tc>
        <w:tc>
          <w:tcPr>
            <w:tcW w:w="697" w:type="dxa"/>
            <w:shd w:val="clear" w:color="auto" w:fill="auto"/>
            <w:hideMark/>
          </w:tcPr>
          <w:p w:rsidR="00FB5C78" w:rsidRPr="00FB5C78" w:rsidRDefault="00FB5C78" w:rsidP="00FF5AB8">
            <w:pPr>
              <w:spacing w:after="120"/>
              <w:jc w:val="right"/>
              <w:cnfStyle w:val="000000000000" w:firstRow="0" w:lastRow="0" w:firstColumn="0" w:lastColumn="0" w:oddVBand="0" w:evenVBand="0" w:oddHBand="0" w:evenHBand="0" w:firstRowFirstColumn="0" w:firstRowLastColumn="0" w:lastRowFirstColumn="0" w:lastRowLastColumn="0"/>
              <w:rPr>
                <w:sz w:val="20"/>
                <w:szCs w:val="20"/>
              </w:rPr>
            </w:pPr>
            <w:r w:rsidRPr="00FB5C78">
              <w:rPr>
                <w:sz w:val="20"/>
                <w:szCs w:val="20"/>
              </w:rPr>
              <w:t>3,93</w:t>
            </w:r>
          </w:p>
        </w:tc>
        <w:tc>
          <w:tcPr>
            <w:tcW w:w="243" w:type="dxa"/>
            <w:shd w:val="clear" w:color="auto" w:fill="auto"/>
            <w:hideMark/>
          </w:tcPr>
          <w:p w:rsidR="00FB5C78" w:rsidRPr="00FB5C78" w:rsidRDefault="00FB5C78" w:rsidP="00FF5AB8">
            <w:pPr>
              <w:spacing w:after="120"/>
              <w:jc w:val="right"/>
              <w:cnfStyle w:val="000000000000" w:firstRow="0" w:lastRow="0" w:firstColumn="0" w:lastColumn="0" w:oddVBand="0" w:evenVBand="0" w:oddHBand="0" w:evenHBand="0" w:firstRowFirstColumn="0" w:firstRowLastColumn="0" w:lastRowFirstColumn="0" w:lastRowLastColumn="0"/>
              <w:rPr>
                <w:sz w:val="20"/>
                <w:szCs w:val="20"/>
              </w:rPr>
            </w:pPr>
          </w:p>
        </w:tc>
        <w:tc>
          <w:tcPr>
            <w:tcW w:w="775" w:type="dxa"/>
            <w:shd w:val="clear" w:color="auto" w:fill="auto"/>
            <w:hideMark/>
          </w:tcPr>
          <w:p w:rsidR="00FB5C78" w:rsidRPr="00FB5C78" w:rsidRDefault="00FB5C78" w:rsidP="00FF5AB8">
            <w:pPr>
              <w:spacing w:after="120"/>
              <w:jc w:val="right"/>
              <w:cnfStyle w:val="000000000000" w:firstRow="0" w:lastRow="0" w:firstColumn="0" w:lastColumn="0" w:oddVBand="0" w:evenVBand="0" w:oddHBand="0" w:evenHBand="0" w:firstRowFirstColumn="0" w:firstRowLastColumn="0" w:lastRowFirstColumn="0" w:lastRowLastColumn="0"/>
              <w:rPr>
                <w:sz w:val="20"/>
                <w:szCs w:val="20"/>
              </w:rPr>
            </w:pPr>
            <w:r w:rsidRPr="00FB5C78">
              <w:rPr>
                <w:sz w:val="20"/>
                <w:szCs w:val="20"/>
              </w:rPr>
              <w:t>-0,17</w:t>
            </w:r>
          </w:p>
        </w:tc>
        <w:tc>
          <w:tcPr>
            <w:tcW w:w="203" w:type="dxa"/>
            <w:shd w:val="clear" w:color="auto" w:fill="auto"/>
            <w:hideMark/>
          </w:tcPr>
          <w:p w:rsidR="00FB5C78" w:rsidRPr="00FB5C78" w:rsidRDefault="00FB5C78" w:rsidP="00FF5AB8">
            <w:pPr>
              <w:spacing w:after="120"/>
              <w:jc w:val="right"/>
              <w:cnfStyle w:val="000000000000" w:firstRow="0" w:lastRow="0" w:firstColumn="0" w:lastColumn="0" w:oddVBand="0" w:evenVBand="0" w:oddHBand="0" w:evenHBand="0" w:firstRowFirstColumn="0" w:firstRowLastColumn="0" w:lastRowFirstColumn="0" w:lastRowLastColumn="0"/>
              <w:rPr>
                <w:sz w:val="20"/>
                <w:szCs w:val="20"/>
              </w:rPr>
            </w:pPr>
          </w:p>
        </w:tc>
        <w:tc>
          <w:tcPr>
            <w:tcW w:w="777" w:type="dxa"/>
            <w:shd w:val="clear" w:color="auto" w:fill="auto"/>
            <w:hideMark/>
          </w:tcPr>
          <w:p w:rsidR="00FB5C78" w:rsidRPr="00FB5C78" w:rsidRDefault="00FB5C78" w:rsidP="00FF5AB8">
            <w:pPr>
              <w:spacing w:after="120"/>
              <w:jc w:val="right"/>
              <w:cnfStyle w:val="000000000000" w:firstRow="0" w:lastRow="0" w:firstColumn="0" w:lastColumn="0" w:oddVBand="0" w:evenVBand="0" w:oddHBand="0" w:evenHBand="0" w:firstRowFirstColumn="0" w:firstRowLastColumn="0" w:lastRowFirstColumn="0" w:lastRowLastColumn="0"/>
              <w:rPr>
                <w:sz w:val="20"/>
                <w:szCs w:val="20"/>
              </w:rPr>
            </w:pPr>
            <w:r w:rsidRPr="00FB5C78">
              <w:rPr>
                <w:sz w:val="20"/>
                <w:szCs w:val="20"/>
              </w:rPr>
              <w:t>3,12</w:t>
            </w:r>
          </w:p>
        </w:tc>
        <w:tc>
          <w:tcPr>
            <w:tcW w:w="226" w:type="dxa"/>
            <w:shd w:val="clear" w:color="auto" w:fill="auto"/>
            <w:hideMark/>
          </w:tcPr>
          <w:p w:rsidR="00FB5C78" w:rsidRPr="00FB5C78" w:rsidRDefault="00FB5C78" w:rsidP="00FF5AB8">
            <w:pPr>
              <w:spacing w:after="120"/>
              <w:jc w:val="right"/>
              <w:cnfStyle w:val="000000000000" w:firstRow="0" w:lastRow="0" w:firstColumn="0" w:lastColumn="0" w:oddVBand="0" w:evenVBand="0" w:oddHBand="0" w:evenHBand="0" w:firstRowFirstColumn="0" w:firstRowLastColumn="0" w:lastRowFirstColumn="0" w:lastRowLastColumn="0"/>
              <w:rPr>
                <w:sz w:val="20"/>
                <w:szCs w:val="20"/>
              </w:rPr>
            </w:pPr>
          </w:p>
        </w:tc>
        <w:tc>
          <w:tcPr>
            <w:tcW w:w="775" w:type="dxa"/>
            <w:shd w:val="clear" w:color="auto" w:fill="auto"/>
            <w:hideMark/>
          </w:tcPr>
          <w:p w:rsidR="00FB5C78" w:rsidRPr="00FB5C78" w:rsidRDefault="00FB5C78" w:rsidP="00FF5AB8">
            <w:pPr>
              <w:spacing w:after="120"/>
              <w:jc w:val="right"/>
              <w:cnfStyle w:val="000000000000" w:firstRow="0" w:lastRow="0" w:firstColumn="0" w:lastColumn="0" w:oddVBand="0" w:evenVBand="0" w:oddHBand="0" w:evenHBand="0" w:firstRowFirstColumn="0" w:firstRowLastColumn="0" w:lastRowFirstColumn="0" w:lastRowLastColumn="0"/>
              <w:rPr>
                <w:sz w:val="20"/>
                <w:szCs w:val="20"/>
              </w:rPr>
            </w:pPr>
            <w:r w:rsidRPr="00FB5C78">
              <w:rPr>
                <w:sz w:val="20"/>
                <w:szCs w:val="20"/>
              </w:rPr>
              <w:t>1,34</w:t>
            </w:r>
          </w:p>
        </w:tc>
        <w:tc>
          <w:tcPr>
            <w:tcW w:w="226" w:type="dxa"/>
            <w:shd w:val="clear" w:color="auto" w:fill="auto"/>
            <w:hideMark/>
          </w:tcPr>
          <w:p w:rsidR="00FB5C78" w:rsidRPr="00FB5C78" w:rsidRDefault="00FB5C78" w:rsidP="00FF5AB8">
            <w:pPr>
              <w:spacing w:after="120"/>
              <w:jc w:val="right"/>
              <w:cnfStyle w:val="000000000000" w:firstRow="0" w:lastRow="0" w:firstColumn="0" w:lastColumn="0" w:oddVBand="0" w:evenVBand="0" w:oddHBand="0" w:evenHBand="0" w:firstRowFirstColumn="0" w:firstRowLastColumn="0" w:lastRowFirstColumn="0" w:lastRowLastColumn="0"/>
              <w:rPr>
                <w:sz w:val="20"/>
                <w:szCs w:val="20"/>
              </w:rPr>
            </w:pPr>
          </w:p>
        </w:tc>
        <w:tc>
          <w:tcPr>
            <w:tcW w:w="778" w:type="dxa"/>
            <w:shd w:val="clear" w:color="auto" w:fill="auto"/>
            <w:hideMark/>
          </w:tcPr>
          <w:p w:rsidR="00FB5C78" w:rsidRPr="00FB5C78" w:rsidRDefault="00FB5C78" w:rsidP="00FF5AB8">
            <w:pPr>
              <w:spacing w:after="120"/>
              <w:jc w:val="right"/>
              <w:cnfStyle w:val="000000000000" w:firstRow="0" w:lastRow="0" w:firstColumn="0" w:lastColumn="0" w:oddVBand="0" w:evenVBand="0" w:oddHBand="0" w:evenHBand="0" w:firstRowFirstColumn="0" w:firstRowLastColumn="0" w:lastRowFirstColumn="0" w:lastRowLastColumn="0"/>
              <w:rPr>
                <w:sz w:val="20"/>
                <w:szCs w:val="20"/>
              </w:rPr>
            </w:pPr>
            <w:r w:rsidRPr="00FB5C78">
              <w:rPr>
                <w:sz w:val="20"/>
                <w:szCs w:val="20"/>
              </w:rPr>
              <w:t>1,42</w:t>
            </w:r>
          </w:p>
        </w:tc>
        <w:tc>
          <w:tcPr>
            <w:tcW w:w="259" w:type="dxa"/>
            <w:shd w:val="clear" w:color="auto" w:fill="auto"/>
            <w:hideMark/>
          </w:tcPr>
          <w:p w:rsidR="00FB5C78" w:rsidRPr="00FB5C78" w:rsidRDefault="00FB5C78" w:rsidP="00FF5AB8">
            <w:pPr>
              <w:spacing w:after="120"/>
              <w:jc w:val="right"/>
              <w:cnfStyle w:val="000000000000" w:firstRow="0" w:lastRow="0" w:firstColumn="0" w:lastColumn="0" w:oddVBand="0" w:evenVBand="0" w:oddHBand="0" w:evenHBand="0" w:firstRowFirstColumn="0" w:firstRowLastColumn="0" w:lastRowFirstColumn="0" w:lastRowLastColumn="0"/>
              <w:rPr>
                <w:sz w:val="20"/>
                <w:szCs w:val="20"/>
              </w:rPr>
            </w:pPr>
          </w:p>
        </w:tc>
        <w:tc>
          <w:tcPr>
            <w:tcW w:w="775" w:type="dxa"/>
            <w:shd w:val="clear" w:color="auto" w:fill="auto"/>
            <w:hideMark/>
          </w:tcPr>
          <w:p w:rsidR="00FB5C78" w:rsidRPr="00FB5C78" w:rsidRDefault="00FB5C78" w:rsidP="00FF5AB8">
            <w:pPr>
              <w:spacing w:after="120"/>
              <w:jc w:val="right"/>
              <w:cnfStyle w:val="000000000000" w:firstRow="0" w:lastRow="0" w:firstColumn="0" w:lastColumn="0" w:oddVBand="0" w:evenVBand="0" w:oddHBand="0" w:evenHBand="0" w:firstRowFirstColumn="0" w:firstRowLastColumn="0" w:lastRowFirstColumn="0" w:lastRowLastColumn="0"/>
              <w:rPr>
                <w:sz w:val="20"/>
                <w:szCs w:val="20"/>
              </w:rPr>
            </w:pPr>
            <w:r w:rsidRPr="00FB5C78">
              <w:rPr>
                <w:sz w:val="20"/>
                <w:szCs w:val="20"/>
              </w:rPr>
              <w:t>-2,73</w:t>
            </w:r>
          </w:p>
        </w:tc>
        <w:tc>
          <w:tcPr>
            <w:tcW w:w="274" w:type="dxa"/>
            <w:shd w:val="clear" w:color="auto" w:fill="auto"/>
            <w:hideMark/>
          </w:tcPr>
          <w:p w:rsidR="00FB5C78" w:rsidRPr="00FB5C78" w:rsidRDefault="00FB5C78" w:rsidP="00FF5AB8">
            <w:pPr>
              <w:spacing w:after="120"/>
              <w:jc w:val="right"/>
              <w:cnfStyle w:val="000000000000" w:firstRow="0" w:lastRow="0" w:firstColumn="0" w:lastColumn="0" w:oddVBand="0" w:evenVBand="0" w:oddHBand="0" w:evenHBand="0" w:firstRowFirstColumn="0" w:firstRowLastColumn="0" w:lastRowFirstColumn="0" w:lastRowLastColumn="0"/>
              <w:rPr>
                <w:sz w:val="20"/>
                <w:szCs w:val="20"/>
              </w:rPr>
            </w:pPr>
            <w:r w:rsidRPr="00FB5C78">
              <w:rPr>
                <w:sz w:val="20"/>
                <w:szCs w:val="20"/>
              </w:rPr>
              <w:t> </w:t>
            </w:r>
          </w:p>
        </w:tc>
      </w:tr>
      <w:tr w:rsidR="00FB5C78" w:rsidRPr="00FB5C78" w:rsidTr="00FB5C78">
        <w:trPr>
          <w:cnfStyle w:val="000000100000" w:firstRow="0" w:lastRow="0" w:firstColumn="0" w:lastColumn="0" w:oddVBand="0" w:evenVBand="0" w:oddHBand="1" w:evenHBand="0" w:firstRowFirstColumn="0" w:firstRowLastColumn="0" w:lastRowFirstColumn="0" w:lastRowLastColumn="0"/>
          <w:trHeight w:hRule="exact" w:val="306"/>
          <w:jc w:val="center"/>
        </w:trPr>
        <w:tc>
          <w:tcPr>
            <w:cnfStyle w:val="001000000000" w:firstRow="0" w:lastRow="0" w:firstColumn="1" w:lastColumn="0" w:oddVBand="0" w:evenVBand="0" w:oddHBand="0" w:evenHBand="0" w:firstRowFirstColumn="0" w:firstRowLastColumn="0" w:lastRowFirstColumn="0" w:lastRowLastColumn="0"/>
            <w:tcW w:w="1718" w:type="dxa"/>
            <w:shd w:val="clear" w:color="auto" w:fill="auto"/>
            <w:hideMark/>
          </w:tcPr>
          <w:p w:rsidR="00FB5C78" w:rsidRPr="00FB5C78" w:rsidRDefault="00FB5C78" w:rsidP="00FF5AB8">
            <w:pPr>
              <w:spacing w:after="120"/>
              <w:jc w:val="both"/>
              <w:rPr>
                <w:b w:val="0"/>
                <w:bCs w:val="0"/>
                <w:sz w:val="20"/>
                <w:szCs w:val="20"/>
              </w:rPr>
            </w:pPr>
            <w:r w:rsidRPr="00FB5C78">
              <w:rPr>
                <w:b w:val="0"/>
                <w:bCs w:val="0"/>
                <w:sz w:val="20"/>
                <w:szCs w:val="20"/>
              </w:rPr>
              <w:t> </w:t>
            </w:r>
          </w:p>
        </w:tc>
        <w:tc>
          <w:tcPr>
            <w:tcW w:w="697" w:type="dxa"/>
            <w:shd w:val="clear" w:color="auto" w:fill="auto"/>
            <w:hideMark/>
          </w:tcPr>
          <w:p w:rsidR="00FB5C78" w:rsidRPr="00FB5C78" w:rsidRDefault="00FB5C78" w:rsidP="00FF5AB8">
            <w:pPr>
              <w:spacing w:after="120"/>
              <w:jc w:val="right"/>
              <w:cnfStyle w:val="000000100000" w:firstRow="0" w:lastRow="0" w:firstColumn="0" w:lastColumn="0" w:oddVBand="0" w:evenVBand="0" w:oddHBand="1" w:evenHBand="0" w:firstRowFirstColumn="0" w:firstRowLastColumn="0" w:lastRowFirstColumn="0" w:lastRowLastColumn="0"/>
              <w:rPr>
                <w:bCs/>
                <w:sz w:val="20"/>
                <w:szCs w:val="20"/>
              </w:rPr>
            </w:pPr>
            <w:r w:rsidRPr="00FB5C78">
              <w:rPr>
                <w:bCs/>
                <w:sz w:val="20"/>
                <w:szCs w:val="20"/>
              </w:rPr>
              <w:t> </w:t>
            </w:r>
          </w:p>
        </w:tc>
        <w:tc>
          <w:tcPr>
            <w:tcW w:w="243" w:type="dxa"/>
            <w:shd w:val="clear" w:color="auto" w:fill="auto"/>
            <w:hideMark/>
          </w:tcPr>
          <w:p w:rsidR="00FB5C78" w:rsidRPr="00FB5C78" w:rsidRDefault="00FB5C78" w:rsidP="00FF5AB8">
            <w:pPr>
              <w:spacing w:after="120"/>
              <w:jc w:val="right"/>
              <w:cnfStyle w:val="000000100000" w:firstRow="0" w:lastRow="0" w:firstColumn="0" w:lastColumn="0" w:oddVBand="0" w:evenVBand="0" w:oddHBand="1" w:evenHBand="0" w:firstRowFirstColumn="0" w:firstRowLastColumn="0" w:lastRowFirstColumn="0" w:lastRowLastColumn="0"/>
              <w:rPr>
                <w:bCs/>
                <w:sz w:val="20"/>
                <w:szCs w:val="20"/>
              </w:rPr>
            </w:pPr>
            <w:r w:rsidRPr="00FB5C78">
              <w:rPr>
                <w:bCs/>
                <w:sz w:val="20"/>
                <w:szCs w:val="20"/>
              </w:rPr>
              <w:t> </w:t>
            </w:r>
          </w:p>
        </w:tc>
        <w:tc>
          <w:tcPr>
            <w:tcW w:w="775" w:type="dxa"/>
            <w:shd w:val="clear" w:color="auto" w:fill="auto"/>
            <w:hideMark/>
          </w:tcPr>
          <w:p w:rsidR="00FB5C78" w:rsidRPr="00FB5C78" w:rsidRDefault="00FB5C78" w:rsidP="00FF5AB8">
            <w:pPr>
              <w:spacing w:after="120"/>
              <w:jc w:val="right"/>
              <w:cnfStyle w:val="000000100000" w:firstRow="0" w:lastRow="0" w:firstColumn="0" w:lastColumn="0" w:oddVBand="0" w:evenVBand="0" w:oddHBand="1" w:evenHBand="0" w:firstRowFirstColumn="0" w:firstRowLastColumn="0" w:lastRowFirstColumn="0" w:lastRowLastColumn="0"/>
              <w:rPr>
                <w:bCs/>
                <w:sz w:val="20"/>
                <w:szCs w:val="20"/>
              </w:rPr>
            </w:pPr>
            <w:r w:rsidRPr="00FB5C78">
              <w:rPr>
                <w:bCs/>
                <w:sz w:val="20"/>
                <w:szCs w:val="20"/>
              </w:rPr>
              <w:t> </w:t>
            </w:r>
          </w:p>
        </w:tc>
        <w:tc>
          <w:tcPr>
            <w:tcW w:w="203" w:type="dxa"/>
            <w:shd w:val="clear" w:color="auto" w:fill="auto"/>
            <w:hideMark/>
          </w:tcPr>
          <w:p w:rsidR="00FB5C78" w:rsidRPr="00FB5C78" w:rsidRDefault="00FB5C78" w:rsidP="00FF5AB8">
            <w:pPr>
              <w:spacing w:after="120"/>
              <w:jc w:val="right"/>
              <w:cnfStyle w:val="000000100000" w:firstRow="0" w:lastRow="0" w:firstColumn="0" w:lastColumn="0" w:oddVBand="0" w:evenVBand="0" w:oddHBand="1" w:evenHBand="0" w:firstRowFirstColumn="0" w:firstRowLastColumn="0" w:lastRowFirstColumn="0" w:lastRowLastColumn="0"/>
              <w:rPr>
                <w:bCs/>
                <w:sz w:val="20"/>
                <w:szCs w:val="20"/>
              </w:rPr>
            </w:pPr>
            <w:r w:rsidRPr="00FB5C78">
              <w:rPr>
                <w:bCs/>
                <w:sz w:val="20"/>
                <w:szCs w:val="20"/>
              </w:rPr>
              <w:t> </w:t>
            </w:r>
          </w:p>
        </w:tc>
        <w:tc>
          <w:tcPr>
            <w:tcW w:w="777" w:type="dxa"/>
            <w:shd w:val="clear" w:color="auto" w:fill="auto"/>
            <w:hideMark/>
          </w:tcPr>
          <w:p w:rsidR="00FB5C78" w:rsidRPr="00FB5C78" w:rsidRDefault="00FB5C78" w:rsidP="00FF5AB8">
            <w:pPr>
              <w:spacing w:after="120"/>
              <w:jc w:val="right"/>
              <w:cnfStyle w:val="000000100000" w:firstRow="0" w:lastRow="0" w:firstColumn="0" w:lastColumn="0" w:oddVBand="0" w:evenVBand="0" w:oddHBand="1" w:evenHBand="0" w:firstRowFirstColumn="0" w:firstRowLastColumn="0" w:lastRowFirstColumn="0" w:lastRowLastColumn="0"/>
              <w:rPr>
                <w:bCs/>
                <w:sz w:val="20"/>
                <w:szCs w:val="20"/>
              </w:rPr>
            </w:pPr>
            <w:r w:rsidRPr="00FB5C78">
              <w:rPr>
                <w:bCs/>
                <w:sz w:val="20"/>
                <w:szCs w:val="20"/>
              </w:rPr>
              <w:t> </w:t>
            </w:r>
          </w:p>
        </w:tc>
        <w:tc>
          <w:tcPr>
            <w:tcW w:w="226" w:type="dxa"/>
            <w:shd w:val="clear" w:color="auto" w:fill="auto"/>
            <w:hideMark/>
          </w:tcPr>
          <w:p w:rsidR="00FB5C78" w:rsidRPr="00FB5C78" w:rsidRDefault="00FB5C78" w:rsidP="00FF5AB8">
            <w:pPr>
              <w:spacing w:after="120"/>
              <w:jc w:val="right"/>
              <w:cnfStyle w:val="000000100000" w:firstRow="0" w:lastRow="0" w:firstColumn="0" w:lastColumn="0" w:oddVBand="0" w:evenVBand="0" w:oddHBand="1" w:evenHBand="0" w:firstRowFirstColumn="0" w:firstRowLastColumn="0" w:lastRowFirstColumn="0" w:lastRowLastColumn="0"/>
              <w:rPr>
                <w:bCs/>
                <w:sz w:val="20"/>
                <w:szCs w:val="20"/>
              </w:rPr>
            </w:pPr>
            <w:r w:rsidRPr="00FB5C78">
              <w:rPr>
                <w:bCs/>
                <w:sz w:val="20"/>
                <w:szCs w:val="20"/>
              </w:rPr>
              <w:t> </w:t>
            </w:r>
          </w:p>
        </w:tc>
        <w:tc>
          <w:tcPr>
            <w:tcW w:w="775" w:type="dxa"/>
            <w:shd w:val="clear" w:color="auto" w:fill="auto"/>
            <w:hideMark/>
          </w:tcPr>
          <w:p w:rsidR="00FB5C78" w:rsidRPr="00FB5C78" w:rsidRDefault="00FB5C78" w:rsidP="00FF5AB8">
            <w:pPr>
              <w:spacing w:after="120"/>
              <w:jc w:val="right"/>
              <w:cnfStyle w:val="000000100000" w:firstRow="0" w:lastRow="0" w:firstColumn="0" w:lastColumn="0" w:oddVBand="0" w:evenVBand="0" w:oddHBand="1" w:evenHBand="0" w:firstRowFirstColumn="0" w:firstRowLastColumn="0" w:lastRowFirstColumn="0" w:lastRowLastColumn="0"/>
              <w:rPr>
                <w:bCs/>
                <w:sz w:val="20"/>
                <w:szCs w:val="20"/>
              </w:rPr>
            </w:pPr>
            <w:r w:rsidRPr="00FB5C78">
              <w:rPr>
                <w:bCs/>
                <w:sz w:val="20"/>
                <w:szCs w:val="20"/>
              </w:rPr>
              <w:t> </w:t>
            </w:r>
          </w:p>
        </w:tc>
        <w:tc>
          <w:tcPr>
            <w:tcW w:w="226" w:type="dxa"/>
            <w:shd w:val="clear" w:color="auto" w:fill="auto"/>
            <w:hideMark/>
          </w:tcPr>
          <w:p w:rsidR="00FB5C78" w:rsidRPr="00FB5C78" w:rsidRDefault="00FB5C78" w:rsidP="00FF5AB8">
            <w:pPr>
              <w:spacing w:after="120"/>
              <w:jc w:val="right"/>
              <w:cnfStyle w:val="000000100000" w:firstRow="0" w:lastRow="0" w:firstColumn="0" w:lastColumn="0" w:oddVBand="0" w:evenVBand="0" w:oddHBand="1" w:evenHBand="0" w:firstRowFirstColumn="0" w:firstRowLastColumn="0" w:lastRowFirstColumn="0" w:lastRowLastColumn="0"/>
              <w:rPr>
                <w:bCs/>
                <w:sz w:val="20"/>
                <w:szCs w:val="20"/>
              </w:rPr>
            </w:pPr>
            <w:r w:rsidRPr="00FB5C78">
              <w:rPr>
                <w:bCs/>
                <w:sz w:val="20"/>
                <w:szCs w:val="20"/>
              </w:rPr>
              <w:t> </w:t>
            </w:r>
          </w:p>
        </w:tc>
        <w:tc>
          <w:tcPr>
            <w:tcW w:w="778" w:type="dxa"/>
            <w:shd w:val="clear" w:color="auto" w:fill="auto"/>
            <w:hideMark/>
          </w:tcPr>
          <w:p w:rsidR="00FB5C78" w:rsidRPr="00FB5C78" w:rsidRDefault="00FB5C78" w:rsidP="00FF5AB8">
            <w:pPr>
              <w:spacing w:after="120"/>
              <w:jc w:val="right"/>
              <w:cnfStyle w:val="000000100000" w:firstRow="0" w:lastRow="0" w:firstColumn="0" w:lastColumn="0" w:oddVBand="0" w:evenVBand="0" w:oddHBand="1" w:evenHBand="0" w:firstRowFirstColumn="0" w:firstRowLastColumn="0" w:lastRowFirstColumn="0" w:lastRowLastColumn="0"/>
              <w:rPr>
                <w:bCs/>
                <w:sz w:val="20"/>
                <w:szCs w:val="20"/>
              </w:rPr>
            </w:pPr>
            <w:r w:rsidRPr="00FB5C78">
              <w:rPr>
                <w:bCs/>
                <w:sz w:val="20"/>
                <w:szCs w:val="20"/>
              </w:rPr>
              <w:t> </w:t>
            </w:r>
          </w:p>
        </w:tc>
        <w:tc>
          <w:tcPr>
            <w:tcW w:w="259" w:type="dxa"/>
            <w:shd w:val="clear" w:color="auto" w:fill="auto"/>
            <w:hideMark/>
          </w:tcPr>
          <w:p w:rsidR="00FB5C78" w:rsidRPr="00FB5C78" w:rsidRDefault="00FB5C78" w:rsidP="00FF5AB8">
            <w:pPr>
              <w:spacing w:after="120"/>
              <w:jc w:val="right"/>
              <w:cnfStyle w:val="000000100000" w:firstRow="0" w:lastRow="0" w:firstColumn="0" w:lastColumn="0" w:oddVBand="0" w:evenVBand="0" w:oddHBand="1" w:evenHBand="0" w:firstRowFirstColumn="0" w:firstRowLastColumn="0" w:lastRowFirstColumn="0" w:lastRowLastColumn="0"/>
              <w:rPr>
                <w:bCs/>
                <w:sz w:val="20"/>
                <w:szCs w:val="20"/>
              </w:rPr>
            </w:pPr>
            <w:r w:rsidRPr="00FB5C78">
              <w:rPr>
                <w:bCs/>
                <w:sz w:val="20"/>
                <w:szCs w:val="20"/>
              </w:rPr>
              <w:t> </w:t>
            </w:r>
          </w:p>
        </w:tc>
        <w:tc>
          <w:tcPr>
            <w:tcW w:w="775" w:type="dxa"/>
            <w:shd w:val="clear" w:color="auto" w:fill="auto"/>
            <w:hideMark/>
          </w:tcPr>
          <w:p w:rsidR="00FB5C78" w:rsidRPr="00FB5C78" w:rsidRDefault="00FB5C78" w:rsidP="00FF5AB8">
            <w:pPr>
              <w:spacing w:after="120"/>
              <w:jc w:val="right"/>
              <w:cnfStyle w:val="000000100000" w:firstRow="0" w:lastRow="0" w:firstColumn="0" w:lastColumn="0" w:oddVBand="0" w:evenVBand="0" w:oddHBand="1" w:evenHBand="0" w:firstRowFirstColumn="0" w:firstRowLastColumn="0" w:lastRowFirstColumn="0" w:lastRowLastColumn="0"/>
              <w:rPr>
                <w:bCs/>
                <w:sz w:val="20"/>
                <w:szCs w:val="20"/>
              </w:rPr>
            </w:pPr>
            <w:r w:rsidRPr="00FB5C78">
              <w:rPr>
                <w:bCs/>
                <w:sz w:val="20"/>
                <w:szCs w:val="20"/>
              </w:rPr>
              <w:t> </w:t>
            </w:r>
          </w:p>
        </w:tc>
        <w:tc>
          <w:tcPr>
            <w:tcW w:w="274" w:type="dxa"/>
            <w:shd w:val="clear" w:color="auto" w:fill="auto"/>
            <w:hideMark/>
          </w:tcPr>
          <w:p w:rsidR="00FB5C78" w:rsidRPr="00FB5C78" w:rsidRDefault="00FB5C78" w:rsidP="00FF5AB8">
            <w:pPr>
              <w:spacing w:after="120"/>
              <w:jc w:val="right"/>
              <w:cnfStyle w:val="000000100000" w:firstRow="0" w:lastRow="0" w:firstColumn="0" w:lastColumn="0" w:oddVBand="0" w:evenVBand="0" w:oddHBand="1" w:evenHBand="0" w:firstRowFirstColumn="0" w:firstRowLastColumn="0" w:lastRowFirstColumn="0" w:lastRowLastColumn="0"/>
              <w:rPr>
                <w:bCs/>
                <w:sz w:val="20"/>
                <w:szCs w:val="20"/>
              </w:rPr>
            </w:pPr>
            <w:r w:rsidRPr="00FB5C78">
              <w:rPr>
                <w:bCs/>
                <w:sz w:val="20"/>
                <w:szCs w:val="20"/>
              </w:rPr>
              <w:t> </w:t>
            </w:r>
          </w:p>
        </w:tc>
      </w:tr>
      <w:tr w:rsidR="00FB5C78" w:rsidRPr="00FB5C78" w:rsidTr="00FB5C78">
        <w:trPr>
          <w:trHeight w:hRule="exact" w:val="306"/>
          <w:jc w:val="center"/>
        </w:trPr>
        <w:tc>
          <w:tcPr>
            <w:cnfStyle w:val="001000000000" w:firstRow="0" w:lastRow="0" w:firstColumn="1" w:lastColumn="0" w:oddVBand="0" w:evenVBand="0" w:oddHBand="0" w:evenHBand="0" w:firstRowFirstColumn="0" w:firstRowLastColumn="0" w:lastRowFirstColumn="0" w:lastRowLastColumn="0"/>
            <w:tcW w:w="1718" w:type="dxa"/>
            <w:shd w:val="clear" w:color="auto" w:fill="auto"/>
            <w:hideMark/>
          </w:tcPr>
          <w:p w:rsidR="00FB5C78" w:rsidRPr="00FB5C78" w:rsidRDefault="00FB5C78" w:rsidP="00FF5AB8">
            <w:pPr>
              <w:spacing w:after="120"/>
              <w:jc w:val="both"/>
              <w:rPr>
                <w:b w:val="0"/>
                <w:bCs w:val="0"/>
                <w:sz w:val="20"/>
                <w:szCs w:val="20"/>
              </w:rPr>
            </w:pPr>
            <w:proofErr w:type="spellStart"/>
            <w:r w:rsidRPr="00FB5C78">
              <w:rPr>
                <w:b w:val="0"/>
                <w:bCs w:val="0"/>
                <w:sz w:val="20"/>
                <w:szCs w:val="20"/>
              </w:rPr>
              <w:t>Adjusted</w:t>
            </w:r>
            <w:proofErr w:type="spellEnd"/>
            <w:r w:rsidRPr="00FB5C78">
              <w:rPr>
                <w:b w:val="0"/>
                <w:bCs w:val="0"/>
                <w:sz w:val="20"/>
                <w:szCs w:val="20"/>
              </w:rPr>
              <w:t xml:space="preserve"> R</w:t>
            </w:r>
            <w:r w:rsidRPr="00FB5C78">
              <w:rPr>
                <w:b w:val="0"/>
                <w:bCs w:val="0"/>
                <w:sz w:val="20"/>
                <w:szCs w:val="20"/>
                <w:vertAlign w:val="superscript"/>
              </w:rPr>
              <w:t>2</w:t>
            </w:r>
          </w:p>
        </w:tc>
        <w:tc>
          <w:tcPr>
            <w:tcW w:w="697" w:type="dxa"/>
            <w:shd w:val="clear" w:color="auto" w:fill="auto"/>
            <w:hideMark/>
          </w:tcPr>
          <w:p w:rsidR="00FB5C78" w:rsidRPr="00FB5C78" w:rsidRDefault="00FB5C78" w:rsidP="00FF5AB8">
            <w:pPr>
              <w:spacing w:after="120"/>
              <w:jc w:val="right"/>
              <w:cnfStyle w:val="000000000000" w:firstRow="0" w:lastRow="0" w:firstColumn="0" w:lastColumn="0" w:oddVBand="0" w:evenVBand="0" w:oddHBand="0" w:evenHBand="0" w:firstRowFirstColumn="0" w:firstRowLastColumn="0" w:lastRowFirstColumn="0" w:lastRowLastColumn="0"/>
              <w:rPr>
                <w:bCs/>
                <w:sz w:val="20"/>
                <w:szCs w:val="20"/>
              </w:rPr>
            </w:pPr>
            <w:r w:rsidRPr="00FB5C78">
              <w:rPr>
                <w:bCs/>
                <w:sz w:val="20"/>
                <w:szCs w:val="20"/>
              </w:rPr>
              <w:t>0,9288</w:t>
            </w:r>
          </w:p>
        </w:tc>
        <w:tc>
          <w:tcPr>
            <w:tcW w:w="243" w:type="dxa"/>
            <w:shd w:val="clear" w:color="auto" w:fill="auto"/>
            <w:hideMark/>
          </w:tcPr>
          <w:p w:rsidR="00FB5C78" w:rsidRPr="00FB5C78" w:rsidRDefault="00FB5C78" w:rsidP="00FF5AB8">
            <w:pPr>
              <w:spacing w:after="120"/>
              <w:jc w:val="right"/>
              <w:cnfStyle w:val="000000000000" w:firstRow="0" w:lastRow="0" w:firstColumn="0" w:lastColumn="0" w:oddVBand="0" w:evenVBand="0" w:oddHBand="0" w:evenHBand="0" w:firstRowFirstColumn="0" w:firstRowLastColumn="0" w:lastRowFirstColumn="0" w:lastRowLastColumn="0"/>
              <w:rPr>
                <w:bCs/>
                <w:sz w:val="20"/>
                <w:szCs w:val="20"/>
              </w:rPr>
            </w:pPr>
            <w:r w:rsidRPr="00FB5C78">
              <w:rPr>
                <w:bCs/>
                <w:sz w:val="20"/>
                <w:szCs w:val="20"/>
              </w:rPr>
              <w:t> </w:t>
            </w:r>
          </w:p>
        </w:tc>
        <w:tc>
          <w:tcPr>
            <w:tcW w:w="775" w:type="dxa"/>
            <w:shd w:val="clear" w:color="auto" w:fill="auto"/>
            <w:hideMark/>
          </w:tcPr>
          <w:p w:rsidR="00FB5C78" w:rsidRPr="00FB5C78" w:rsidRDefault="00FB5C78" w:rsidP="00FF5AB8">
            <w:pPr>
              <w:spacing w:after="120"/>
              <w:jc w:val="right"/>
              <w:cnfStyle w:val="000000000000" w:firstRow="0" w:lastRow="0" w:firstColumn="0" w:lastColumn="0" w:oddVBand="0" w:evenVBand="0" w:oddHBand="0" w:evenHBand="0" w:firstRowFirstColumn="0" w:firstRowLastColumn="0" w:lastRowFirstColumn="0" w:lastRowLastColumn="0"/>
              <w:rPr>
                <w:bCs/>
                <w:sz w:val="20"/>
                <w:szCs w:val="20"/>
              </w:rPr>
            </w:pPr>
            <w:r w:rsidRPr="00FB5C78">
              <w:rPr>
                <w:bCs/>
                <w:sz w:val="20"/>
                <w:szCs w:val="20"/>
              </w:rPr>
              <w:t>0,9118</w:t>
            </w:r>
          </w:p>
        </w:tc>
        <w:tc>
          <w:tcPr>
            <w:tcW w:w="203" w:type="dxa"/>
            <w:shd w:val="clear" w:color="auto" w:fill="auto"/>
            <w:hideMark/>
          </w:tcPr>
          <w:p w:rsidR="00FB5C78" w:rsidRPr="00FB5C78" w:rsidRDefault="00FB5C78" w:rsidP="00FF5AB8">
            <w:pPr>
              <w:spacing w:after="120"/>
              <w:jc w:val="right"/>
              <w:cnfStyle w:val="000000000000" w:firstRow="0" w:lastRow="0" w:firstColumn="0" w:lastColumn="0" w:oddVBand="0" w:evenVBand="0" w:oddHBand="0" w:evenHBand="0" w:firstRowFirstColumn="0" w:firstRowLastColumn="0" w:lastRowFirstColumn="0" w:lastRowLastColumn="0"/>
              <w:rPr>
                <w:bCs/>
                <w:sz w:val="20"/>
                <w:szCs w:val="20"/>
              </w:rPr>
            </w:pPr>
            <w:r w:rsidRPr="00FB5C78">
              <w:rPr>
                <w:bCs/>
                <w:sz w:val="20"/>
                <w:szCs w:val="20"/>
              </w:rPr>
              <w:t> </w:t>
            </w:r>
          </w:p>
        </w:tc>
        <w:tc>
          <w:tcPr>
            <w:tcW w:w="777" w:type="dxa"/>
            <w:shd w:val="clear" w:color="auto" w:fill="auto"/>
            <w:hideMark/>
          </w:tcPr>
          <w:p w:rsidR="00FB5C78" w:rsidRPr="00FB5C78" w:rsidRDefault="00FB5C78" w:rsidP="00FF5AB8">
            <w:pPr>
              <w:spacing w:after="120"/>
              <w:jc w:val="right"/>
              <w:cnfStyle w:val="000000000000" w:firstRow="0" w:lastRow="0" w:firstColumn="0" w:lastColumn="0" w:oddVBand="0" w:evenVBand="0" w:oddHBand="0" w:evenHBand="0" w:firstRowFirstColumn="0" w:firstRowLastColumn="0" w:lastRowFirstColumn="0" w:lastRowLastColumn="0"/>
              <w:rPr>
                <w:bCs/>
                <w:sz w:val="20"/>
                <w:szCs w:val="20"/>
              </w:rPr>
            </w:pPr>
            <w:r w:rsidRPr="00FB5C78">
              <w:rPr>
                <w:bCs/>
                <w:sz w:val="20"/>
                <w:szCs w:val="20"/>
              </w:rPr>
              <w:t>0,9312</w:t>
            </w:r>
          </w:p>
        </w:tc>
        <w:tc>
          <w:tcPr>
            <w:tcW w:w="226" w:type="dxa"/>
            <w:shd w:val="clear" w:color="auto" w:fill="auto"/>
            <w:hideMark/>
          </w:tcPr>
          <w:p w:rsidR="00FB5C78" w:rsidRPr="00FB5C78" w:rsidRDefault="00FB5C78" w:rsidP="00FF5AB8">
            <w:pPr>
              <w:spacing w:after="120"/>
              <w:jc w:val="right"/>
              <w:cnfStyle w:val="000000000000" w:firstRow="0" w:lastRow="0" w:firstColumn="0" w:lastColumn="0" w:oddVBand="0" w:evenVBand="0" w:oddHBand="0" w:evenHBand="0" w:firstRowFirstColumn="0" w:firstRowLastColumn="0" w:lastRowFirstColumn="0" w:lastRowLastColumn="0"/>
              <w:rPr>
                <w:bCs/>
                <w:sz w:val="20"/>
                <w:szCs w:val="20"/>
              </w:rPr>
            </w:pPr>
            <w:r w:rsidRPr="00FB5C78">
              <w:rPr>
                <w:bCs/>
                <w:sz w:val="20"/>
                <w:szCs w:val="20"/>
              </w:rPr>
              <w:t> </w:t>
            </w:r>
          </w:p>
        </w:tc>
        <w:tc>
          <w:tcPr>
            <w:tcW w:w="775" w:type="dxa"/>
            <w:shd w:val="clear" w:color="auto" w:fill="auto"/>
            <w:hideMark/>
          </w:tcPr>
          <w:p w:rsidR="00FB5C78" w:rsidRPr="00FB5C78" w:rsidRDefault="00FB5C78" w:rsidP="00FF5AB8">
            <w:pPr>
              <w:spacing w:after="120"/>
              <w:jc w:val="right"/>
              <w:cnfStyle w:val="000000000000" w:firstRow="0" w:lastRow="0" w:firstColumn="0" w:lastColumn="0" w:oddVBand="0" w:evenVBand="0" w:oddHBand="0" w:evenHBand="0" w:firstRowFirstColumn="0" w:firstRowLastColumn="0" w:lastRowFirstColumn="0" w:lastRowLastColumn="0"/>
              <w:rPr>
                <w:bCs/>
                <w:sz w:val="20"/>
                <w:szCs w:val="20"/>
              </w:rPr>
            </w:pPr>
            <w:r w:rsidRPr="00FB5C78">
              <w:rPr>
                <w:bCs/>
                <w:sz w:val="20"/>
                <w:szCs w:val="20"/>
              </w:rPr>
              <w:t>0,9693</w:t>
            </w:r>
          </w:p>
        </w:tc>
        <w:tc>
          <w:tcPr>
            <w:tcW w:w="226" w:type="dxa"/>
            <w:shd w:val="clear" w:color="auto" w:fill="auto"/>
            <w:hideMark/>
          </w:tcPr>
          <w:p w:rsidR="00FB5C78" w:rsidRPr="00FB5C78" w:rsidRDefault="00FB5C78" w:rsidP="00FF5AB8">
            <w:pPr>
              <w:spacing w:after="120"/>
              <w:jc w:val="right"/>
              <w:cnfStyle w:val="000000000000" w:firstRow="0" w:lastRow="0" w:firstColumn="0" w:lastColumn="0" w:oddVBand="0" w:evenVBand="0" w:oddHBand="0" w:evenHBand="0" w:firstRowFirstColumn="0" w:firstRowLastColumn="0" w:lastRowFirstColumn="0" w:lastRowLastColumn="0"/>
              <w:rPr>
                <w:bCs/>
                <w:sz w:val="20"/>
                <w:szCs w:val="20"/>
              </w:rPr>
            </w:pPr>
            <w:r w:rsidRPr="00FB5C78">
              <w:rPr>
                <w:bCs/>
                <w:sz w:val="20"/>
                <w:szCs w:val="20"/>
              </w:rPr>
              <w:t> </w:t>
            </w:r>
          </w:p>
        </w:tc>
        <w:tc>
          <w:tcPr>
            <w:tcW w:w="778" w:type="dxa"/>
            <w:shd w:val="clear" w:color="auto" w:fill="auto"/>
            <w:hideMark/>
          </w:tcPr>
          <w:p w:rsidR="00FB5C78" w:rsidRPr="00FB5C78" w:rsidRDefault="00FB5C78" w:rsidP="00FF5AB8">
            <w:pPr>
              <w:spacing w:after="120"/>
              <w:jc w:val="right"/>
              <w:cnfStyle w:val="000000000000" w:firstRow="0" w:lastRow="0" w:firstColumn="0" w:lastColumn="0" w:oddVBand="0" w:evenVBand="0" w:oddHBand="0" w:evenHBand="0" w:firstRowFirstColumn="0" w:firstRowLastColumn="0" w:lastRowFirstColumn="0" w:lastRowLastColumn="0"/>
              <w:rPr>
                <w:bCs/>
                <w:sz w:val="20"/>
                <w:szCs w:val="20"/>
              </w:rPr>
            </w:pPr>
            <w:r w:rsidRPr="00FB5C78">
              <w:rPr>
                <w:bCs/>
                <w:sz w:val="20"/>
                <w:szCs w:val="20"/>
              </w:rPr>
              <w:t>0,8672</w:t>
            </w:r>
          </w:p>
        </w:tc>
        <w:tc>
          <w:tcPr>
            <w:tcW w:w="259" w:type="dxa"/>
            <w:shd w:val="clear" w:color="auto" w:fill="auto"/>
            <w:hideMark/>
          </w:tcPr>
          <w:p w:rsidR="00FB5C78" w:rsidRPr="00FB5C78" w:rsidRDefault="00FB5C78" w:rsidP="00FF5AB8">
            <w:pPr>
              <w:spacing w:after="120"/>
              <w:jc w:val="right"/>
              <w:cnfStyle w:val="000000000000" w:firstRow="0" w:lastRow="0" w:firstColumn="0" w:lastColumn="0" w:oddVBand="0" w:evenVBand="0" w:oddHBand="0" w:evenHBand="0" w:firstRowFirstColumn="0" w:firstRowLastColumn="0" w:lastRowFirstColumn="0" w:lastRowLastColumn="0"/>
              <w:rPr>
                <w:bCs/>
                <w:sz w:val="20"/>
                <w:szCs w:val="20"/>
              </w:rPr>
            </w:pPr>
            <w:r w:rsidRPr="00FB5C78">
              <w:rPr>
                <w:bCs/>
                <w:sz w:val="20"/>
                <w:szCs w:val="20"/>
              </w:rPr>
              <w:t> </w:t>
            </w:r>
          </w:p>
        </w:tc>
        <w:tc>
          <w:tcPr>
            <w:tcW w:w="775" w:type="dxa"/>
            <w:shd w:val="clear" w:color="auto" w:fill="auto"/>
            <w:hideMark/>
          </w:tcPr>
          <w:p w:rsidR="00FB5C78" w:rsidRPr="00FB5C78" w:rsidRDefault="00FB5C78" w:rsidP="00FF5AB8">
            <w:pPr>
              <w:spacing w:after="120"/>
              <w:jc w:val="right"/>
              <w:cnfStyle w:val="000000000000" w:firstRow="0" w:lastRow="0" w:firstColumn="0" w:lastColumn="0" w:oddVBand="0" w:evenVBand="0" w:oddHBand="0" w:evenHBand="0" w:firstRowFirstColumn="0" w:firstRowLastColumn="0" w:lastRowFirstColumn="0" w:lastRowLastColumn="0"/>
              <w:rPr>
                <w:bCs/>
                <w:sz w:val="20"/>
                <w:szCs w:val="20"/>
              </w:rPr>
            </w:pPr>
            <w:r w:rsidRPr="00FB5C78">
              <w:rPr>
                <w:bCs/>
                <w:sz w:val="20"/>
                <w:szCs w:val="20"/>
              </w:rPr>
              <w:t>0,9626</w:t>
            </w:r>
          </w:p>
        </w:tc>
        <w:tc>
          <w:tcPr>
            <w:tcW w:w="274" w:type="dxa"/>
            <w:shd w:val="clear" w:color="auto" w:fill="auto"/>
            <w:hideMark/>
          </w:tcPr>
          <w:p w:rsidR="00FB5C78" w:rsidRPr="00FB5C78" w:rsidRDefault="00FB5C78" w:rsidP="00FF5AB8">
            <w:pPr>
              <w:spacing w:after="120"/>
              <w:jc w:val="right"/>
              <w:cnfStyle w:val="000000000000" w:firstRow="0" w:lastRow="0" w:firstColumn="0" w:lastColumn="0" w:oddVBand="0" w:evenVBand="0" w:oddHBand="0" w:evenHBand="0" w:firstRowFirstColumn="0" w:firstRowLastColumn="0" w:lastRowFirstColumn="0" w:lastRowLastColumn="0"/>
              <w:rPr>
                <w:bCs/>
                <w:sz w:val="20"/>
                <w:szCs w:val="20"/>
              </w:rPr>
            </w:pPr>
            <w:r w:rsidRPr="00FB5C78">
              <w:rPr>
                <w:bCs/>
                <w:sz w:val="20"/>
                <w:szCs w:val="20"/>
              </w:rPr>
              <w:t> </w:t>
            </w:r>
          </w:p>
        </w:tc>
      </w:tr>
      <w:tr w:rsidR="00FB5C78" w:rsidRPr="00FB5C78" w:rsidTr="00FB5C78">
        <w:trPr>
          <w:cnfStyle w:val="000000100000" w:firstRow="0" w:lastRow="0" w:firstColumn="0" w:lastColumn="0" w:oddVBand="0" w:evenVBand="0" w:oddHBand="1" w:evenHBand="0" w:firstRowFirstColumn="0" w:firstRowLastColumn="0" w:lastRowFirstColumn="0" w:lastRowLastColumn="0"/>
          <w:trHeight w:hRule="exact" w:val="306"/>
          <w:jc w:val="center"/>
        </w:trPr>
        <w:tc>
          <w:tcPr>
            <w:cnfStyle w:val="001000000000" w:firstRow="0" w:lastRow="0" w:firstColumn="1" w:lastColumn="0" w:oddVBand="0" w:evenVBand="0" w:oddHBand="0" w:evenHBand="0" w:firstRowFirstColumn="0" w:firstRowLastColumn="0" w:lastRowFirstColumn="0" w:lastRowLastColumn="0"/>
            <w:tcW w:w="1718" w:type="dxa"/>
            <w:shd w:val="clear" w:color="auto" w:fill="auto"/>
            <w:hideMark/>
          </w:tcPr>
          <w:p w:rsidR="00FB5C78" w:rsidRPr="00FB5C78" w:rsidRDefault="00FB5C78" w:rsidP="00FF5AB8">
            <w:pPr>
              <w:spacing w:after="120"/>
              <w:jc w:val="both"/>
              <w:rPr>
                <w:b w:val="0"/>
                <w:bCs w:val="0"/>
                <w:sz w:val="20"/>
                <w:szCs w:val="20"/>
              </w:rPr>
            </w:pPr>
            <w:proofErr w:type="spellStart"/>
            <w:r w:rsidRPr="00FB5C78">
              <w:rPr>
                <w:b w:val="0"/>
                <w:bCs w:val="0"/>
                <w:sz w:val="20"/>
                <w:szCs w:val="20"/>
              </w:rPr>
              <w:t>Local</w:t>
            </w:r>
            <w:proofErr w:type="spellEnd"/>
            <w:r w:rsidRPr="00FB5C78">
              <w:rPr>
                <w:b w:val="0"/>
                <w:bCs w:val="0"/>
                <w:sz w:val="20"/>
                <w:szCs w:val="20"/>
              </w:rPr>
              <w:t xml:space="preserve"> </w:t>
            </w:r>
            <w:proofErr w:type="spellStart"/>
            <w:r w:rsidRPr="00FB5C78">
              <w:rPr>
                <w:b w:val="0"/>
                <w:bCs w:val="0"/>
                <w:sz w:val="20"/>
                <w:szCs w:val="20"/>
              </w:rPr>
              <w:t>Ratio</w:t>
            </w:r>
            <w:proofErr w:type="spellEnd"/>
          </w:p>
        </w:tc>
        <w:tc>
          <w:tcPr>
            <w:tcW w:w="697" w:type="dxa"/>
            <w:shd w:val="clear" w:color="auto" w:fill="auto"/>
            <w:hideMark/>
          </w:tcPr>
          <w:p w:rsidR="00FB5C78" w:rsidRPr="00FB5C78" w:rsidRDefault="00FB5C78" w:rsidP="00FF5AB8">
            <w:pPr>
              <w:spacing w:after="120"/>
              <w:jc w:val="right"/>
              <w:cnfStyle w:val="000000100000" w:firstRow="0" w:lastRow="0" w:firstColumn="0" w:lastColumn="0" w:oddVBand="0" w:evenVBand="0" w:oddHBand="1" w:evenHBand="0" w:firstRowFirstColumn="0" w:firstRowLastColumn="0" w:lastRowFirstColumn="0" w:lastRowLastColumn="0"/>
              <w:rPr>
                <w:bCs/>
                <w:sz w:val="20"/>
                <w:szCs w:val="20"/>
              </w:rPr>
            </w:pPr>
            <w:r w:rsidRPr="00FB5C78">
              <w:rPr>
                <w:bCs/>
                <w:sz w:val="20"/>
                <w:szCs w:val="20"/>
              </w:rPr>
              <w:t>0,8262</w:t>
            </w:r>
          </w:p>
        </w:tc>
        <w:tc>
          <w:tcPr>
            <w:tcW w:w="243" w:type="dxa"/>
            <w:shd w:val="clear" w:color="auto" w:fill="auto"/>
            <w:hideMark/>
          </w:tcPr>
          <w:p w:rsidR="00FB5C78" w:rsidRPr="00FB5C78" w:rsidRDefault="00FB5C78" w:rsidP="00FF5AB8">
            <w:pPr>
              <w:spacing w:after="120"/>
              <w:jc w:val="right"/>
              <w:cnfStyle w:val="000000100000" w:firstRow="0" w:lastRow="0" w:firstColumn="0" w:lastColumn="0" w:oddVBand="0" w:evenVBand="0" w:oddHBand="1" w:evenHBand="0" w:firstRowFirstColumn="0" w:firstRowLastColumn="0" w:lastRowFirstColumn="0" w:lastRowLastColumn="0"/>
              <w:rPr>
                <w:bCs/>
                <w:sz w:val="20"/>
                <w:szCs w:val="20"/>
              </w:rPr>
            </w:pPr>
            <w:r w:rsidRPr="00FB5C78">
              <w:rPr>
                <w:bCs/>
                <w:sz w:val="20"/>
                <w:szCs w:val="20"/>
              </w:rPr>
              <w:t> </w:t>
            </w:r>
          </w:p>
        </w:tc>
        <w:tc>
          <w:tcPr>
            <w:tcW w:w="775" w:type="dxa"/>
            <w:shd w:val="clear" w:color="auto" w:fill="auto"/>
            <w:hideMark/>
          </w:tcPr>
          <w:p w:rsidR="00FB5C78" w:rsidRPr="00FB5C78" w:rsidRDefault="00FB5C78" w:rsidP="00FF5AB8">
            <w:pPr>
              <w:spacing w:after="120"/>
              <w:jc w:val="right"/>
              <w:cnfStyle w:val="000000100000" w:firstRow="0" w:lastRow="0" w:firstColumn="0" w:lastColumn="0" w:oddVBand="0" w:evenVBand="0" w:oddHBand="1" w:evenHBand="0" w:firstRowFirstColumn="0" w:firstRowLastColumn="0" w:lastRowFirstColumn="0" w:lastRowLastColumn="0"/>
              <w:rPr>
                <w:bCs/>
                <w:sz w:val="20"/>
                <w:szCs w:val="20"/>
              </w:rPr>
            </w:pPr>
            <w:r w:rsidRPr="00FB5C78">
              <w:rPr>
                <w:bCs/>
                <w:sz w:val="20"/>
                <w:szCs w:val="20"/>
              </w:rPr>
              <w:t>0,7903</w:t>
            </w:r>
          </w:p>
        </w:tc>
        <w:tc>
          <w:tcPr>
            <w:tcW w:w="203" w:type="dxa"/>
            <w:shd w:val="clear" w:color="auto" w:fill="auto"/>
            <w:hideMark/>
          </w:tcPr>
          <w:p w:rsidR="00FB5C78" w:rsidRPr="00FB5C78" w:rsidRDefault="00FB5C78" w:rsidP="00FF5AB8">
            <w:pPr>
              <w:spacing w:after="120"/>
              <w:jc w:val="right"/>
              <w:cnfStyle w:val="000000100000" w:firstRow="0" w:lastRow="0" w:firstColumn="0" w:lastColumn="0" w:oddVBand="0" w:evenVBand="0" w:oddHBand="1" w:evenHBand="0" w:firstRowFirstColumn="0" w:firstRowLastColumn="0" w:lastRowFirstColumn="0" w:lastRowLastColumn="0"/>
              <w:rPr>
                <w:bCs/>
                <w:sz w:val="20"/>
                <w:szCs w:val="20"/>
              </w:rPr>
            </w:pPr>
            <w:r w:rsidRPr="00FB5C78">
              <w:rPr>
                <w:bCs/>
                <w:sz w:val="20"/>
                <w:szCs w:val="20"/>
              </w:rPr>
              <w:t> </w:t>
            </w:r>
          </w:p>
        </w:tc>
        <w:tc>
          <w:tcPr>
            <w:tcW w:w="777" w:type="dxa"/>
            <w:shd w:val="clear" w:color="auto" w:fill="auto"/>
            <w:hideMark/>
          </w:tcPr>
          <w:p w:rsidR="00FB5C78" w:rsidRPr="00FB5C78" w:rsidRDefault="00FB5C78" w:rsidP="00FF5AB8">
            <w:pPr>
              <w:spacing w:after="120"/>
              <w:jc w:val="right"/>
              <w:cnfStyle w:val="000000100000" w:firstRow="0" w:lastRow="0" w:firstColumn="0" w:lastColumn="0" w:oddVBand="0" w:evenVBand="0" w:oddHBand="1" w:evenHBand="0" w:firstRowFirstColumn="0" w:firstRowLastColumn="0" w:lastRowFirstColumn="0" w:lastRowLastColumn="0"/>
              <w:rPr>
                <w:bCs/>
                <w:sz w:val="20"/>
                <w:szCs w:val="20"/>
              </w:rPr>
            </w:pPr>
            <w:r w:rsidRPr="00FB5C78">
              <w:rPr>
                <w:bCs/>
                <w:sz w:val="20"/>
                <w:szCs w:val="20"/>
              </w:rPr>
              <w:t>0,8721</w:t>
            </w:r>
          </w:p>
        </w:tc>
        <w:tc>
          <w:tcPr>
            <w:tcW w:w="226" w:type="dxa"/>
            <w:shd w:val="clear" w:color="auto" w:fill="auto"/>
            <w:hideMark/>
          </w:tcPr>
          <w:p w:rsidR="00FB5C78" w:rsidRPr="00FB5C78" w:rsidRDefault="00FB5C78" w:rsidP="00FF5AB8">
            <w:pPr>
              <w:spacing w:after="120"/>
              <w:jc w:val="right"/>
              <w:cnfStyle w:val="000000100000" w:firstRow="0" w:lastRow="0" w:firstColumn="0" w:lastColumn="0" w:oddVBand="0" w:evenVBand="0" w:oddHBand="1" w:evenHBand="0" w:firstRowFirstColumn="0" w:firstRowLastColumn="0" w:lastRowFirstColumn="0" w:lastRowLastColumn="0"/>
              <w:rPr>
                <w:bCs/>
                <w:sz w:val="20"/>
                <w:szCs w:val="20"/>
              </w:rPr>
            </w:pPr>
            <w:r w:rsidRPr="00FB5C78">
              <w:rPr>
                <w:bCs/>
                <w:sz w:val="20"/>
                <w:szCs w:val="20"/>
              </w:rPr>
              <w:t> </w:t>
            </w:r>
          </w:p>
        </w:tc>
        <w:tc>
          <w:tcPr>
            <w:tcW w:w="775" w:type="dxa"/>
            <w:shd w:val="clear" w:color="auto" w:fill="auto"/>
            <w:hideMark/>
          </w:tcPr>
          <w:p w:rsidR="00FB5C78" w:rsidRPr="00FB5C78" w:rsidRDefault="00FB5C78" w:rsidP="00FF5AB8">
            <w:pPr>
              <w:spacing w:after="120"/>
              <w:jc w:val="right"/>
              <w:cnfStyle w:val="000000100000" w:firstRow="0" w:lastRow="0" w:firstColumn="0" w:lastColumn="0" w:oddVBand="0" w:evenVBand="0" w:oddHBand="1" w:evenHBand="0" w:firstRowFirstColumn="0" w:firstRowLastColumn="0" w:lastRowFirstColumn="0" w:lastRowLastColumn="0"/>
              <w:rPr>
                <w:bCs/>
                <w:sz w:val="20"/>
                <w:szCs w:val="20"/>
              </w:rPr>
            </w:pPr>
            <w:r w:rsidRPr="00FB5C78">
              <w:rPr>
                <w:bCs/>
                <w:sz w:val="20"/>
                <w:szCs w:val="20"/>
              </w:rPr>
              <w:t>0,9088</w:t>
            </w:r>
          </w:p>
        </w:tc>
        <w:tc>
          <w:tcPr>
            <w:tcW w:w="226" w:type="dxa"/>
            <w:shd w:val="clear" w:color="auto" w:fill="auto"/>
            <w:hideMark/>
          </w:tcPr>
          <w:p w:rsidR="00FB5C78" w:rsidRPr="00FB5C78" w:rsidRDefault="00FB5C78" w:rsidP="00FF5AB8">
            <w:pPr>
              <w:spacing w:after="120"/>
              <w:jc w:val="right"/>
              <w:cnfStyle w:val="000000100000" w:firstRow="0" w:lastRow="0" w:firstColumn="0" w:lastColumn="0" w:oddVBand="0" w:evenVBand="0" w:oddHBand="1" w:evenHBand="0" w:firstRowFirstColumn="0" w:firstRowLastColumn="0" w:lastRowFirstColumn="0" w:lastRowLastColumn="0"/>
              <w:rPr>
                <w:bCs/>
                <w:sz w:val="20"/>
                <w:szCs w:val="20"/>
              </w:rPr>
            </w:pPr>
            <w:r w:rsidRPr="00FB5C78">
              <w:rPr>
                <w:bCs/>
                <w:sz w:val="20"/>
                <w:szCs w:val="20"/>
              </w:rPr>
              <w:t> </w:t>
            </w:r>
          </w:p>
        </w:tc>
        <w:tc>
          <w:tcPr>
            <w:tcW w:w="778" w:type="dxa"/>
            <w:shd w:val="clear" w:color="auto" w:fill="auto"/>
            <w:hideMark/>
          </w:tcPr>
          <w:p w:rsidR="00FB5C78" w:rsidRPr="00FB5C78" w:rsidRDefault="00FB5C78" w:rsidP="00FF5AB8">
            <w:pPr>
              <w:spacing w:after="120"/>
              <w:jc w:val="right"/>
              <w:cnfStyle w:val="000000100000" w:firstRow="0" w:lastRow="0" w:firstColumn="0" w:lastColumn="0" w:oddVBand="0" w:evenVBand="0" w:oddHBand="1" w:evenHBand="0" w:firstRowFirstColumn="0" w:firstRowLastColumn="0" w:lastRowFirstColumn="0" w:lastRowLastColumn="0"/>
              <w:rPr>
                <w:bCs/>
                <w:sz w:val="20"/>
                <w:szCs w:val="20"/>
              </w:rPr>
            </w:pPr>
            <w:r w:rsidRPr="00FB5C78">
              <w:rPr>
                <w:bCs/>
                <w:sz w:val="20"/>
                <w:szCs w:val="20"/>
              </w:rPr>
              <w:t>0,54209</w:t>
            </w:r>
          </w:p>
        </w:tc>
        <w:tc>
          <w:tcPr>
            <w:tcW w:w="259" w:type="dxa"/>
            <w:shd w:val="clear" w:color="auto" w:fill="auto"/>
            <w:hideMark/>
          </w:tcPr>
          <w:p w:rsidR="00FB5C78" w:rsidRPr="00FB5C78" w:rsidRDefault="00FB5C78" w:rsidP="00FF5AB8">
            <w:pPr>
              <w:spacing w:after="120"/>
              <w:jc w:val="right"/>
              <w:cnfStyle w:val="000000100000" w:firstRow="0" w:lastRow="0" w:firstColumn="0" w:lastColumn="0" w:oddVBand="0" w:evenVBand="0" w:oddHBand="1" w:evenHBand="0" w:firstRowFirstColumn="0" w:firstRowLastColumn="0" w:lastRowFirstColumn="0" w:lastRowLastColumn="0"/>
              <w:rPr>
                <w:bCs/>
                <w:sz w:val="20"/>
                <w:szCs w:val="20"/>
              </w:rPr>
            </w:pPr>
            <w:r w:rsidRPr="00FB5C78">
              <w:rPr>
                <w:bCs/>
                <w:sz w:val="20"/>
                <w:szCs w:val="20"/>
              </w:rPr>
              <w:t> </w:t>
            </w:r>
          </w:p>
        </w:tc>
        <w:tc>
          <w:tcPr>
            <w:tcW w:w="775" w:type="dxa"/>
            <w:shd w:val="clear" w:color="auto" w:fill="auto"/>
            <w:hideMark/>
          </w:tcPr>
          <w:p w:rsidR="00FB5C78" w:rsidRPr="00FB5C78" w:rsidRDefault="00FB5C78" w:rsidP="00FF5AB8">
            <w:pPr>
              <w:spacing w:after="120"/>
              <w:jc w:val="right"/>
              <w:cnfStyle w:val="000000100000" w:firstRow="0" w:lastRow="0" w:firstColumn="0" w:lastColumn="0" w:oddVBand="0" w:evenVBand="0" w:oddHBand="1" w:evenHBand="0" w:firstRowFirstColumn="0" w:firstRowLastColumn="0" w:lastRowFirstColumn="0" w:lastRowLastColumn="0"/>
              <w:rPr>
                <w:bCs/>
                <w:sz w:val="20"/>
                <w:szCs w:val="20"/>
              </w:rPr>
            </w:pPr>
            <w:r w:rsidRPr="00FB5C78">
              <w:rPr>
                <w:bCs/>
                <w:sz w:val="20"/>
                <w:szCs w:val="20"/>
              </w:rPr>
              <w:t>0,7486</w:t>
            </w:r>
          </w:p>
        </w:tc>
        <w:tc>
          <w:tcPr>
            <w:tcW w:w="274" w:type="dxa"/>
            <w:shd w:val="clear" w:color="auto" w:fill="auto"/>
            <w:hideMark/>
          </w:tcPr>
          <w:p w:rsidR="00FB5C78" w:rsidRPr="00FB5C78" w:rsidRDefault="00FB5C78" w:rsidP="00FF5AB8">
            <w:pPr>
              <w:spacing w:after="120"/>
              <w:jc w:val="right"/>
              <w:cnfStyle w:val="000000100000" w:firstRow="0" w:lastRow="0" w:firstColumn="0" w:lastColumn="0" w:oddVBand="0" w:evenVBand="0" w:oddHBand="1" w:evenHBand="0" w:firstRowFirstColumn="0" w:firstRowLastColumn="0" w:lastRowFirstColumn="0" w:lastRowLastColumn="0"/>
              <w:rPr>
                <w:bCs/>
                <w:sz w:val="20"/>
                <w:szCs w:val="20"/>
              </w:rPr>
            </w:pPr>
            <w:r w:rsidRPr="00FB5C78">
              <w:rPr>
                <w:bCs/>
                <w:sz w:val="20"/>
                <w:szCs w:val="20"/>
              </w:rPr>
              <w:t> </w:t>
            </w:r>
          </w:p>
        </w:tc>
      </w:tr>
    </w:tbl>
    <w:p w:rsidR="00FB5C78" w:rsidRPr="00FB5C78" w:rsidRDefault="00FB5C78" w:rsidP="00FB5C78">
      <w:pPr>
        <w:spacing w:after="120"/>
        <w:jc w:val="both"/>
        <w:rPr>
          <w:sz w:val="20"/>
          <w:szCs w:val="20"/>
          <w:lang w:val="en-US"/>
        </w:rPr>
      </w:pPr>
      <w:r w:rsidRPr="00FB5C78">
        <w:rPr>
          <w:sz w:val="20"/>
          <w:szCs w:val="20"/>
          <w:vertAlign w:val="superscript"/>
          <w:lang w:val="en-US"/>
        </w:rPr>
        <w:t>1</w:t>
      </w:r>
      <w:r w:rsidRPr="00FB5C78">
        <w:rPr>
          <w:sz w:val="20"/>
          <w:szCs w:val="20"/>
          <w:lang w:val="en-US"/>
        </w:rPr>
        <w:t xml:space="preserve"> t statistics having significance at 95 percent confidence level is denoted by *,</w:t>
      </w:r>
    </w:p>
    <w:p w:rsidR="00FB5C78" w:rsidRPr="00FB5C78" w:rsidRDefault="00FB5C78" w:rsidP="00FB5C78">
      <w:pPr>
        <w:pStyle w:val="AralkYok"/>
        <w:spacing w:after="120" w:line="276" w:lineRule="auto"/>
        <w:jc w:val="center"/>
        <w:rPr>
          <w:rFonts w:ascii="Times New Roman" w:hAnsi="Times New Roman"/>
          <w:sz w:val="20"/>
          <w:szCs w:val="20"/>
        </w:rPr>
      </w:pPr>
      <w:r w:rsidRPr="00FB5C78">
        <w:rPr>
          <w:rFonts w:ascii="Times New Roman" w:hAnsi="Times New Roman"/>
          <w:sz w:val="20"/>
          <w:szCs w:val="20"/>
        </w:rPr>
        <w:t xml:space="preserve"> </w:t>
      </w:r>
    </w:p>
    <w:sectPr w:rsidR="00FB5C78" w:rsidRPr="00FB5C78" w:rsidSect="00AA63F6">
      <w:headerReference w:type="default" r:id="rId18"/>
      <w:footerReference w:type="default" r:id="rId19"/>
      <w:pgSz w:w="11906" w:h="16838"/>
      <w:pgMar w:top="1418" w:right="1418" w:bottom="1418" w:left="1701"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6B4A" w:rsidRDefault="00006B4A" w:rsidP="00446838">
      <w:r>
        <w:separator/>
      </w:r>
    </w:p>
  </w:endnote>
  <w:endnote w:type="continuationSeparator" w:id="0">
    <w:p w:rsidR="00006B4A" w:rsidRDefault="00006B4A" w:rsidP="00446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MR10">
    <w:altName w:val="MS Mincho"/>
    <w:panose1 w:val="00000000000000000000"/>
    <w:charset w:val="80"/>
    <w:family w:val="auto"/>
    <w:notTrueType/>
    <w:pitch w:val="default"/>
    <w:sig w:usb0="00000005" w:usb1="08070000" w:usb2="00000010" w:usb3="00000000" w:csb0="00020010" w:csb1="00000000"/>
  </w:font>
  <w:font w:name="TimesNewRomanPSMT">
    <w:altName w:val="MS Mincho"/>
    <w:panose1 w:val="00000000000000000000"/>
    <w:charset w:val="80"/>
    <w:family w:val="auto"/>
    <w:notTrueType/>
    <w:pitch w:val="default"/>
    <w:sig w:usb0="00000000" w:usb1="08070000" w:usb2="00000010" w:usb3="00000000" w:csb0="00020001" w:csb1="00000000"/>
  </w:font>
  <w:font w:name="TimesLTStd-Roman">
    <w:altName w:val="Times New Roman"/>
    <w:panose1 w:val="00000000000000000000"/>
    <w:charset w:val="A2"/>
    <w:family w:val="roman"/>
    <w:notTrueType/>
    <w:pitch w:val="default"/>
    <w:sig w:usb0="00000005" w:usb1="00000000" w:usb2="00000000" w:usb3="00000000" w:csb0="00000010" w:csb1="00000000"/>
  </w:font>
  <w:font w:name="CMR12">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9172370"/>
      <w:docPartObj>
        <w:docPartGallery w:val="Page Numbers (Bottom of Page)"/>
        <w:docPartUnique/>
      </w:docPartObj>
    </w:sdtPr>
    <w:sdtEndPr>
      <w:rPr>
        <w:noProof/>
      </w:rPr>
    </w:sdtEndPr>
    <w:sdtContent>
      <w:p w:rsidR="00AA63F6" w:rsidRDefault="00FB5C78">
        <w:pPr>
          <w:pStyle w:val="Altbilgi"/>
          <w:jc w:val="center"/>
        </w:pPr>
        <w:r>
          <w:rPr>
            <w:noProof/>
            <w:lang w:val="en-US" w:eastAsia="en-US"/>
          </w:rPr>
          <mc:AlternateContent>
            <mc:Choice Requires="wps">
              <w:drawing>
                <wp:inline distT="0" distB="0" distL="0" distR="0">
                  <wp:extent cx="5467350" cy="45085"/>
                  <wp:effectExtent l="9525" t="9525" r="0" b="2540"/>
                  <wp:docPr id="1" name="AutoShape 1" descr="Description: 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AutoShape 1" o:spid="_x0000_s1026" type="#_x0000_t110" alt="Açıklama: Description: 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" fillcolor="black" stroked="f">
                  <v:fill r:id="rId1" o:title="" type="pattern"/>
                  <w10:anchorlock/>
                </v:shape>
              </w:pict>
            </mc:Fallback>
          </mc:AlternateContent>
        </w:r>
      </w:p>
      <w:p w:rsidR="00AA63F6" w:rsidRDefault="00AA63F6">
        <w:pPr>
          <w:pStyle w:val="Altbilgi"/>
          <w:jc w:val="center"/>
        </w:pPr>
        <w:r>
          <w:fldChar w:fldCharType="begin"/>
        </w:r>
        <w:r>
          <w:instrText xml:space="preserve"> PAGE    \* MERGEFORMAT </w:instrText>
        </w:r>
        <w:r>
          <w:fldChar w:fldCharType="separate"/>
        </w:r>
        <w:r w:rsidR="001D6F3D">
          <w:rPr>
            <w:noProof/>
          </w:rPr>
          <w:t>10</w:t>
        </w:r>
        <w:r>
          <w:rPr>
            <w:noProof/>
          </w:rPr>
          <w:fldChar w:fldCharType="end"/>
        </w:r>
      </w:p>
    </w:sdtContent>
  </w:sdt>
  <w:p w:rsidR="00AA63F6" w:rsidRDefault="00AA63F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6B4A" w:rsidRDefault="00006B4A" w:rsidP="00446838">
      <w:r>
        <w:separator/>
      </w:r>
    </w:p>
  </w:footnote>
  <w:footnote w:type="continuationSeparator" w:id="0">
    <w:p w:rsidR="00006B4A" w:rsidRDefault="00006B4A" w:rsidP="00446838">
      <w:r>
        <w:continuationSeparator/>
      </w:r>
    </w:p>
  </w:footnote>
  <w:footnote w:id="1">
    <w:p w:rsidR="0025606B" w:rsidRPr="003D0B02" w:rsidRDefault="0025606B" w:rsidP="0025606B">
      <w:pPr>
        <w:pStyle w:val="DipnotMetni"/>
        <w:rPr>
          <w:rFonts w:ascii="Times New Roman" w:hAnsi="Times New Roman" w:cs="Times New Roman"/>
        </w:rPr>
      </w:pPr>
      <w:r w:rsidRPr="003D0B02">
        <w:rPr>
          <w:rStyle w:val="DipnotBavurusu"/>
          <w:rFonts w:ascii="Times New Roman" w:hAnsi="Times New Roman" w:cs="Times New Roman"/>
        </w:rPr>
        <w:footnoteRef/>
      </w:r>
      <w:r w:rsidRPr="003D0B02">
        <w:rPr>
          <w:rFonts w:ascii="Times New Roman" w:hAnsi="Times New Roman" w:cs="Times New Roman"/>
        </w:rPr>
        <w:t xml:space="preserve"> http://www.dtcc.com/news/press/releases/2012/dtcc_successfully_completes_greek_cds.php</w:t>
      </w:r>
    </w:p>
  </w:footnote>
  <w:footnote w:id="2">
    <w:p w:rsidR="0025606B" w:rsidRPr="003B1870" w:rsidRDefault="0025606B" w:rsidP="0025606B">
      <w:pPr>
        <w:pStyle w:val="DipnotMetni"/>
        <w:jc w:val="both"/>
        <w:rPr>
          <w:rFonts w:ascii="Times New Roman" w:hAnsi="Times New Roman" w:cs="Times New Roman"/>
        </w:rPr>
      </w:pPr>
      <w:r w:rsidRPr="003B1870">
        <w:rPr>
          <w:rStyle w:val="DipnotBavurusu"/>
          <w:rFonts w:ascii="Times New Roman" w:hAnsi="Times New Roman" w:cs="Times New Roman"/>
        </w:rPr>
        <w:footnoteRef/>
      </w:r>
      <w:r w:rsidRPr="003B1870">
        <w:rPr>
          <w:rFonts w:ascii="Times New Roman" w:hAnsi="Times New Roman" w:cs="Times New Roman"/>
        </w:rPr>
        <w:t xml:space="preserve"> http://www.ericbenhamou.net/documents/Encyclo/Credit%20event.pdf</w:t>
      </w:r>
    </w:p>
  </w:footnote>
  <w:footnote w:id="3">
    <w:p w:rsidR="0025606B" w:rsidRPr="004B30D9" w:rsidRDefault="0025606B" w:rsidP="0025606B">
      <w:pPr>
        <w:autoSpaceDE w:val="0"/>
        <w:autoSpaceDN w:val="0"/>
        <w:adjustRightInd w:val="0"/>
        <w:jc w:val="both"/>
        <w:rPr>
          <w:sz w:val="20"/>
          <w:szCs w:val="20"/>
        </w:rPr>
      </w:pPr>
      <w:r w:rsidRPr="004B30D9">
        <w:rPr>
          <w:rStyle w:val="DipnotBavurusu"/>
          <w:sz w:val="20"/>
          <w:szCs w:val="20"/>
        </w:rPr>
        <w:footnoteRef/>
      </w:r>
      <w:r w:rsidRPr="004B30D9">
        <w:rPr>
          <w:sz w:val="20"/>
          <w:szCs w:val="20"/>
        </w:rPr>
        <w:t xml:space="preserve"> </w:t>
      </w:r>
      <w:proofErr w:type="spellStart"/>
      <w:proofErr w:type="gramStart"/>
      <w:r w:rsidRPr="004B30D9">
        <w:rPr>
          <w:sz w:val="20"/>
          <w:szCs w:val="20"/>
        </w:rPr>
        <w:t>i</w:t>
      </w:r>
      <w:proofErr w:type="gramEnd"/>
      <w:r w:rsidRPr="004B30D9">
        <w:rPr>
          <w:sz w:val="20"/>
          <w:szCs w:val="20"/>
        </w:rPr>
        <w:t>.e</w:t>
      </w:r>
      <w:proofErr w:type="spellEnd"/>
      <w:r w:rsidRPr="004B30D9">
        <w:rPr>
          <w:sz w:val="20"/>
          <w:szCs w:val="20"/>
        </w:rPr>
        <w:t xml:space="preserve">. </w:t>
      </w:r>
      <w:r w:rsidRPr="004B30D9">
        <w:rPr>
          <w:sz w:val="20"/>
          <w:szCs w:val="20"/>
          <w:lang w:val="en-US"/>
        </w:rPr>
        <w:t xml:space="preserve">Reinhart and </w:t>
      </w:r>
      <w:proofErr w:type="spellStart"/>
      <w:r w:rsidRPr="004B30D9">
        <w:rPr>
          <w:sz w:val="20"/>
          <w:szCs w:val="20"/>
          <w:lang w:val="en-US"/>
        </w:rPr>
        <w:t>Rogo</w:t>
      </w:r>
      <w:proofErr w:type="spellEnd"/>
      <w:r w:rsidRPr="004B30D9">
        <w:rPr>
          <w:sz w:val="20"/>
          <w:szCs w:val="20"/>
          <w:lang w:val="en-US"/>
        </w:rPr>
        <w:t xml:space="preserve"> (2008) illustrate the public misperception of government debt as a safe haven on their </w:t>
      </w:r>
      <w:proofErr w:type="spellStart"/>
      <w:r w:rsidRPr="004B30D9">
        <w:rPr>
          <w:sz w:val="20"/>
          <w:szCs w:val="20"/>
        </w:rPr>
        <w:t>Paper</w:t>
      </w:r>
      <w:proofErr w:type="spellEnd"/>
      <w:r w:rsidRPr="004B30D9">
        <w:rPr>
          <w:sz w:val="20"/>
          <w:szCs w:val="20"/>
        </w:rPr>
        <w:t xml:space="preserve"> </w:t>
      </w:r>
      <w:proofErr w:type="spellStart"/>
      <w:r w:rsidRPr="004B30D9">
        <w:rPr>
          <w:sz w:val="20"/>
          <w:szCs w:val="20"/>
        </w:rPr>
        <w:t>prepared</w:t>
      </w:r>
      <w:proofErr w:type="spellEnd"/>
      <w:r w:rsidRPr="004B30D9">
        <w:rPr>
          <w:sz w:val="20"/>
          <w:szCs w:val="20"/>
        </w:rPr>
        <w:t xml:space="preserve"> </w:t>
      </w:r>
      <w:proofErr w:type="spellStart"/>
      <w:r w:rsidRPr="004B30D9">
        <w:rPr>
          <w:sz w:val="20"/>
          <w:szCs w:val="20"/>
        </w:rPr>
        <w:t>for</w:t>
      </w:r>
      <w:proofErr w:type="spellEnd"/>
      <w:r w:rsidRPr="004B30D9">
        <w:rPr>
          <w:sz w:val="20"/>
          <w:szCs w:val="20"/>
        </w:rPr>
        <w:t xml:space="preserve"> </w:t>
      </w:r>
      <w:proofErr w:type="spellStart"/>
      <w:r w:rsidRPr="004B30D9">
        <w:rPr>
          <w:sz w:val="20"/>
          <w:szCs w:val="20"/>
        </w:rPr>
        <w:t>presentation</w:t>
      </w:r>
      <w:proofErr w:type="spellEnd"/>
      <w:r w:rsidRPr="004B30D9">
        <w:rPr>
          <w:sz w:val="20"/>
          <w:szCs w:val="20"/>
        </w:rPr>
        <w:t xml:space="preserve"> at </w:t>
      </w:r>
      <w:proofErr w:type="spellStart"/>
      <w:r w:rsidRPr="004B30D9">
        <w:rPr>
          <w:sz w:val="20"/>
          <w:szCs w:val="20"/>
        </w:rPr>
        <w:t>the</w:t>
      </w:r>
      <w:proofErr w:type="spellEnd"/>
      <w:r w:rsidRPr="004B30D9">
        <w:rPr>
          <w:sz w:val="20"/>
          <w:szCs w:val="20"/>
        </w:rPr>
        <w:t xml:space="preserve"> </w:t>
      </w:r>
      <w:proofErr w:type="spellStart"/>
      <w:r w:rsidRPr="004B30D9">
        <w:rPr>
          <w:sz w:val="20"/>
          <w:szCs w:val="20"/>
        </w:rPr>
        <w:t>American</w:t>
      </w:r>
      <w:proofErr w:type="spellEnd"/>
      <w:r w:rsidRPr="004B30D9">
        <w:rPr>
          <w:sz w:val="20"/>
          <w:szCs w:val="20"/>
        </w:rPr>
        <w:t xml:space="preserve"> </w:t>
      </w:r>
      <w:proofErr w:type="spellStart"/>
      <w:r w:rsidRPr="004B30D9">
        <w:rPr>
          <w:sz w:val="20"/>
          <w:szCs w:val="20"/>
        </w:rPr>
        <w:t>Economic</w:t>
      </w:r>
      <w:proofErr w:type="spellEnd"/>
      <w:r w:rsidRPr="004B30D9">
        <w:rPr>
          <w:sz w:val="20"/>
          <w:szCs w:val="20"/>
        </w:rPr>
        <w:t xml:space="preserve"> </w:t>
      </w:r>
      <w:proofErr w:type="spellStart"/>
      <w:r w:rsidRPr="004B30D9">
        <w:rPr>
          <w:sz w:val="20"/>
          <w:szCs w:val="20"/>
        </w:rPr>
        <w:t>Association</w:t>
      </w:r>
      <w:proofErr w:type="spellEnd"/>
      <w:r w:rsidRPr="004B30D9">
        <w:rPr>
          <w:sz w:val="20"/>
          <w:szCs w:val="20"/>
        </w:rPr>
        <w:t xml:space="preserve"> </w:t>
      </w:r>
      <w:proofErr w:type="spellStart"/>
      <w:r w:rsidRPr="004B30D9">
        <w:rPr>
          <w:sz w:val="20"/>
          <w:szCs w:val="20"/>
        </w:rPr>
        <w:t>meetings</w:t>
      </w:r>
      <w:proofErr w:type="spellEnd"/>
      <w:r w:rsidRPr="004B30D9">
        <w:rPr>
          <w:sz w:val="20"/>
          <w:szCs w:val="20"/>
        </w:rPr>
        <w:t xml:space="preserve"> in San Francisco, </w:t>
      </w:r>
      <w:proofErr w:type="spellStart"/>
      <w:r w:rsidRPr="004B30D9">
        <w:rPr>
          <w:sz w:val="20"/>
          <w:szCs w:val="20"/>
        </w:rPr>
        <w:t>January</w:t>
      </w:r>
      <w:proofErr w:type="spellEnd"/>
      <w:r w:rsidRPr="004B30D9">
        <w:rPr>
          <w:sz w:val="20"/>
          <w:szCs w:val="20"/>
        </w:rPr>
        <w:t xml:space="preserve"> 3, 2009.</w:t>
      </w:r>
    </w:p>
  </w:footnote>
  <w:footnote w:id="4">
    <w:p w:rsidR="0025606B" w:rsidRDefault="0025606B" w:rsidP="0025606B">
      <w:pPr>
        <w:pStyle w:val="DipnotMetni"/>
        <w:jc w:val="both"/>
      </w:pPr>
      <w:r>
        <w:rPr>
          <w:rStyle w:val="DipnotBavurusu"/>
        </w:rPr>
        <w:footnoteRef/>
      </w:r>
      <w:r>
        <w:t xml:space="preserve"> </w:t>
      </w:r>
      <w:proofErr w:type="spellStart"/>
      <w:r w:rsidRPr="00451AC7">
        <w:rPr>
          <w:rFonts w:ascii="Times New Roman" w:hAnsi="Times New Roman" w:cs="Times New Roman"/>
        </w:rPr>
        <w:t>The</w:t>
      </w:r>
      <w:proofErr w:type="spellEnd"/>
      <w:r w:rsidRPr="00451AC7">
        <w:rPr>
          <w:rFonts w:ascii="Times New Roman" w:hAnsi="Times New Roman" w:cs="Times New Roman"/>
        </w:rPr>
        <w:t xml:space="preserve"> </w:t>
      </w:r>
      <w:proofErr w:type="spellStart"/>
      <w:r w:rsidRPr="00451AC7">
        <w:rPr>
          <w:rFonts w:ascii="Times New Roman" w:hAnsi="Times New Roman" w:cs="Times New Roman"/>
        </w:rPr>
        <w:t>relationship</w:t>
      </w:r>
      <w:proofErr w:type="spellEnd"/>
      <w:r w:rsidRPr="00451AC7">
        <w:rPr>
          <w:rFonts w:ascii="Times New Roman" w:hAnsi="Times New Roman" w:cs="Times New Roman"/>
        </w:rPr>
        <w:t xml:space="preserve"> </w:t>
      </w:r>
      <w:proofErr w:type="spellStart"/>
      <w:r w:rsidRPr="00451AC7">
        <w:rPr>
          <w:rFonts w:ascii="Times New Roman" w:hAnsi="Times New Roman" w:cs="Times New Roman"/>
        </w:rPr>
        <w:t>between</w:t>
      </w:r>
      <w:proofErr w:type="spellEnd"/>
      <w:r w:rsidRPr="00451AC7">
        <w:rPr>
          <w:rFonts w:ascii="Times New Roman" w:hAnsi="Times New Roman" w:cs="Times New Roman"/>
        </w:rPr>
        <w:t xml:space="preserve"> </w:t>
      </w:r>
      <w:proofErr w:type="spellStart"/>
      <w:r w:rsidRPr="00451AC7">
        <w:rPr>
          <w:rFonts w:ascii="Times New Roman" w:hAnsi="Times New Roman" w:cs="Times New Roman"/>
        </w:rPr>
        <w:t>stock</w:t>
      </w:r>
      <w:proofErr w:type="spellEnd"/>
      <w:r w:rsidRPr="00451AC7">
        <w:rPr>
          <w:rFonts w:ascii="Times New Roman" w:hAnsi="Times New Roman" w:cs="Times New Roman"/>
        </w:rPr>
        <w:t xml:space="preserve"> </w:t>
      </w:r>
      <w:proofErr w:type="spellStart"/>
      <w:r w:rsidRPr="00451AC7">
        <w:rPr>
          <w:rFonts w:ascii="Times New Roman" w:hAnsi="Times New Roman" w:cs="Times New Roman"/>
        </w:rPr>
        <w:t>markets</w:t>
      </w:r>
      <w:proofErr w:type="spellEnd"/>
      <w:r w:rsidRPr="00451AC7">
        <w:rPr>
          <w:rFonts w:ascii="Times New Roman" w:hAnsi="Times New Roman" w:cs="Times New Roman"/>
        </w:rPr>
        <w:t xml:space="preserve"> </w:t>
      </w:r>
      <w:proofErr w:type="spellStart"/>
      <w:r w:rsidRPr="00451AC7">
        <w:rPr>
          <w:rFonts w:ascii="Times New Roman" w:hAnsi="Times New Roman" w:cs="Times New Roman"/>
        </w:rPr>
        <w:t>and</w:t>
      </w:r>
      <w:proofErr w:type="spellEnd"/>
      <w:r w:rsidRPr="00451AC7">
        <w:rPr>
          <w:rFonts w:ascii="Times New Roman" w:hAnsi="Times New Roman" w:cs="Times New Roman"/>
        </w:rPr>
        <w:t xml:space="preserve"> </w:t>
      </w:r>
      <w:proofErr w:type="spellStart"/>
      <w:r w:rsidRPr="00451AC7">
        <w:rPr>
          <w:rFonts w:ascii="Times New Roman" w:hAnsi="Times New Roman" w:cs="Times New Roman"/>
        </w:rPr>
        <w:t>the</w:t>
      </w:r>
      <w:proofErr w:type="spellEnd"/>
      <w:r w:rsidRPr="00451AC7">
        <w:rPr>
          <w:rFonts w:ascii="Times New Roman" w:hAnsi="Times New Roman" w:cs="Times New Roman"/>
        </w:rPr>
        <w:t xml:space="preserve"> </w:t>
      </w:r>
      <w:proofErr w:type="spellStart"/>
      <w:r w:rsidRPr="00451AC7">
        <w:rPr>
          <w:rFonts w:ascii="Times New Roman" w:hAnsi="Times New Roman" w:cs="Times New Roman"/>
        </w:rPr>
        <w:t>real</w:t>
      </w:r>
      <w:proofErr w:type="spellEnd"/>
      <w:r w:rsidRPr="00451AC7">
        <w:rPr>
          <w:rFonts w:ascii="Times New Roman" w:hAnsi="Times New Roman" w:cs="Times New Roman"/>
        </w:rPr>
        <w:t xml:space="preserve"> </w:t>
      </w:r>
      <w:proofErr w:type="spellStart"/>
      <w:r w:rsidRPr="00451AC7">
        <w:rPr>
          <w:rFonts w:ascii="Times New Roman" w:hAnsi="Times New Roman" w:cs="Times New Roman"/>
        </w:rPr>
        <w:t>economic</w:t>
      </w:r>
      <w:proofErr w:type="spellEnd"/>
      <w:r w:rsidRPr="00451AC7">
        <w:rPr>
          <w:rFonts w:ascii="Times New Roman" w:hAnsi="Times New Roman" w:cs="Times New Roman"/>
        </w:rPr>
        <w:t xml:space="preserve"> </w:t>
      </w:r>
      <w:proofErr w:type="spellStart"/>
      <w:r w:rsidRPr="00451AC7">
        <w:rPr>
          <w:rFonts w:ascii="Times New Roman" w:hAnsi="Times New Roman" w:cs="Times New Roman"/>
        </w:rPr>
        <w:t>activity</w:t>
      </w:r>
      <w:proofErr w:type="spellEnd"/>
      <w:r w:rsidRPr="00451AC7">
        <w:rPr>
          <w:rFonts w:ascii="Times New Roman" w:hAnsi="Times New Roman" w:cs="Times New Roman"/>
        </w:rPr>
        <w:t xml:space="preserve"> has </w:t>
      </w:r>
      <w:proofErr w:type="spellStart"/>
      <w:r w:rsidRPr="00451AC7">
        <w:rPr>
          <w:rFonts w:ascii="Times New Roman" w:hAnsi="Times New Roman" w:cs="Times New Roman"/>
        </w:rPr>
        <w:t>been</w:t>
      </w:r>
      <w:proofErr w:type="spellEnd"/>
      <w:r w:rsidRPr="00451AC7">
        <w:rPr>
          <w:rFonts w:ascii="Times New Roman" w:hAnsi="Times New Roman" w:cs="Times New Roman"/>
        </w:rPr>
        <w:t xml:space="preserve"> </w:t>
      </w:r>
      <w:proofErr w:type="spellStart"/>
      <w:r w:rsidRPr="00451AC7">
        <w:rPr>
          <w:rFonts w:ascii="Times New Roman" w:hAnsi="Times New Roman" w:cs="Times New Roman"/>
        </w:rPr>
        <w:t>extensively</w:t>
      </w:r>
      <w:proofErr w:type="spellEnd"/>
      <w:r w:rsidRPr="00451AC7">
        <w:rPr>
          <w:rFonts w:ascii="Times New Roman" w:hAnsi="Times New Roman" w:cs="Times New Roman"/>
        </w:rPr>
        <w:t xml:space="preserve"> </w:t>
      </w:r>
      <w:proofErr w:type="spellStart"/>
      <w:r w:rsidRPr="00451AC7">
        <w:rPr>
          <w:rFonts w:ascii="Times New Roman" w:hAnsi="Times New Roman" w:cs="Times New Roman"/>
        </w:rPr>
        <w:t>debated</w:t>
      </w:r>
      <w:proofErr w:type="spellEnd"/>
      <w:r w:rsidRPr="00451AC7">
        <w:rPr>
          <w:rFonts w:ascii="Times New Roman" w:hAnsi="Times New Roman" w:cs="Times New Roman"/>
        </w:rPr>
        <w:t xml:space="preserve"> in </w:t>
      </w:r>
      <w:proofErr w:type="spellStart"/>
      <w:r w:rsidRPr="00451AC7">
        <w:rPr>
          <w:rFonts w:ascii="Times New Roman" w:hAnsi="Times New Roman" w:cs="Times New Roman"/>
        </w:rPr>
        <w:t>the</w:t>
      </w:r>
      <w:proofErr w:type="spellEnd"/>
      <w:r w:rsidRPr="00451AC7">
        <w:rPr>
          <w:rFonts w:ascii="Times New Roman" w:hAnsi="Times New Roman" w:cs="Times New Roman"/>
        </w:rPr>
        <w:t xml:space="preserve"> </w:t>
      </w:r>
      <w:proofErr w:type="spellStart"/>
      <w:r w:rsidRPr="00451AC7">
        <w:rPr>
          <w:rFonts w:ascii="Times New Roman" w:hAnsi="Times New Roman" w:cs="Times New Roman"/>
        </w:rPr>
        <w:t>macroeconomic</w:t>
      </w:r>
      <w:proofErr w:type="spellEnd"/>
      <w:r w:rsidRPr="00451AC7">
        <w:rPr>
          <w:rFonts w:ascii="Times New Roman" w:hAnsi="Times New Roman" w:cs="Times New Roman"/>
        </w:rPr>
        <w:t xml:space="preserve"> </w:t>
      </w:r>
      <w:proofErr w:type="spellStart"/>
      <w:r w:rsidRPr="00451AC7">
        <w:rPr>
          <w:rFonts w:ascii="Times New Roman" w:hAnsi="Times New Roman" w:cs="Times New Roman"/>
        </w:rPr>
        <w:t>and</w:t>
      </w:r>
      <w:proofErr w:type="spellEnd"/>
      <w:r w:rsidRPr="00451AC7">
        <w:rPr>
          <w:rFonts w:ascii="Times New Roman" w:hAnsi="Times New Roman" w:cs="Times New Roman"/>
        </w:rPr>
        <w:t xml:space="preserve"> </w:t>
      </w:r>
      <w:proofErr w:type="spellStart"/>
      <w:r w:rsidRPr="00451AC7">
        <w:rPr>
          <w:rFonts w:ascii="Times New Roman" w:hAnsi="Times New Roman" w:cs="Times New Roman"/>
        </w:rPr>
        <w:t>the</w:t>
      </w:r>
      <w:proofErr w:type="spellEnd"/>
      <w:r w:rsidRPr="00451AC7">
        <w:rPr>
          <w:rFonts w:ascii="Times New Roman" w:hAnsi="Times New Roman" w:cs="Times New Roman"/>
        </w:rPr>
        <w:t xml:space="preserve"> </w:t>
      </w:r>
      <w:proofErr w:type="spellStart"/>
      <w:r w:rsidRPr="00451AC7">
        <w:rPr>
          <w:rFonts w:ascii="Times New Roman" w:hAnsi="Times New Roman" w:cs="Times New Roman"/>
        </w:rPr>
        <w:t>finance</w:t>
      </w:r>
      <w:proofErr w:type="spellEnd"/>
      <w:r w:rsidRPr="00451AC7">
        <w:rPr>
          <w:rFonts w:ascii="Times New Roman" w:hAnsi="Times New Roman" w:cs="Times New Roman"/>
        </w:rPr>
        <w:t xml:space="preserve"> </w:t>
      </w:r>
      <w:proofErr w:type="spellStart"/>
      <w:r w:rsidRPr="00451AC7">
        <w:rPr>
          <w:rFonts w:ascii="Times New Roman" w:hAnsi="Times New Roman" w:cs="Times New Roman"/>
        </w:rPr>
        <w:t>literature</w:t>
      </w:r>
      <w:proofErr w:type="spellEnd"/>
      <w:r w:rsidRPr="00451AC7">
        <w:rPr>
          <w:rFonts w:ascii="Times New Roman" w:hAnsi="Times New Roman" w:cs="Times New Roman"/>
        </w:rPr>
        <w:t xml:space="preserve">. Since 70’s, </w:t>
      </w:r>
      <w:proofErr w:type="spellStart"/>
      <w:r w:rsidRPr="00451AC7">
        <w:rPr>
          <w:rFonts w:ascii="Times New Roman" w:hAnsi="Times New Roman" w:cs="Times New Roman"/>
        </w:rPr>
        <w:t>standard</w:t>
      </w:r>
      <w:proofErr w:type="spellEnd"/>
      <w:r w:rsidRPr="00451AC7">
        <w:rPr>
          <w:rFonts w:ascii="Times New Roman" w:hAnsi="Times New Roman" w:cs="Times New Roman"/>
        </w:rPr>
        <w:t xml:space="preserve"> </w:t>
      </w:r>
      <w:proofErr w:type="spellStart"/>
      <w:r w:rsidRPr="00451AC7">
        <w:rPr>
          <w:rFonts w:ascii="Times New Roman" w:hAnsi="Times New Roman" w:cs="Times New Roman"/>
        </w:rPr>
        <w:t>valuation</w:t>
      </w:r>
      <w:proofErr w:type="spellEnd"/>
      <w:r w:rsidRPr="00451AC7">
        <w:rPr>
          <w:rFonts w:ascii="Times New Roman" w:hAnsi="Times New Roman" w:cs="Times New Roman"/>
        </w:rPr>
        <w:t xml:space="preserve"> </w:t>
      </w:r>
      <w:proofErr w:type="spellStart"/>
      <w:r w:rsidRPr="00451AC7">
        <w:rPr>
          <w:rFonts w:ascii="Times New Roman" w:hAnsi="Times New Roman" w:cs="Times New Roman"/>
        </w:rPr>
        <w:t>models</w:t>
      </w:r>
      <w:proofErr w:type="spellEnd"/>
      <w:r w:rsidRPr="00451AC7">
        <w:rPr>
          <w:rFonts w:ascii="Times New Roman" w:hAnsi="Times New Roman" w:cs="Times New Roman"/>
        </w:rPr>
        <w:t xml:space="preserve"> </w:t>
      </w:r>
      <w:proofErr w:type="spellStart"/>
      <w:r w:rsidRPr="00451AC7">
        <w:rPr>
          <w:rFonts w:ascii="Times New Roman" w:hAnsi="Times New Roman" w:cs="Times New Roman"/>
        </w:rPr>
        <w:t>establish</w:t>
      </w:r>
      <w:proofErr w:type="spellEnd"/>
      <w:r w:rsidRPr="00451AC7">
        <w:rPr>
          <w:rFonts w:ascii="Times New Roman" w:hAnsi="Times New Roman" w:cs="Times New Roman"/>
        </w:rPr>
        <w:t xml:space="preserve"> </w:t>
      </w:r>
      <w:proofErr w:type="spellStart"/>
      <w:r w:rsidRPr="00451AC7">
        <w:rPr>
          <w:rFonts w:ascii="Times New Roman" w:hAnsi="Times New Roman" w:cs="Times New Roman"/>
        </w:rPr>
        <w:t>that</w:t>
      </w:r>
      <w:proofErr w:type="spellEnd"/>
      <w:r w:rsidRPr="00451AC7">
        <w:rPr>
          <w:rFonts w:ascii="Times New Roman" w:hAnsi="Times New Roman" w:cs="Times New Roman"/>
        </w:rPr>
        <w:t xml:space="preserve"> </w:t>
      </w:r>
      <w:proofErr w:type="spellStart"/>
      <w:r w:rsidRPr="00451AC7">
        <w:rPr>
          <w:rFonts w:ascii="Times New Roman" w:hAnsi="Times New Roman" w:cs="Times New Roman"/>
        </w:rPr>
        <w:t>the</w:t>
      </w:r>
      <w:proofErr w:type="spellEnd"/>
      <w:r w:rsidRPr="00451AC7">
        <w:rPr>
          <w:rFonts w:ascii="Times New Roman" w:hAnsi="Times New Roman" w:cs="Times New Roman"/>
        </w:rPr>
        <w:t xml:space="preserve"> </w:t>
      </w:r>
      <w:proofErr w:type="spellStart"/>
      <w:r w:rsidRPr="00451AC7">
        <w:rPr>
          <w:rFonts w:ascii="Times New Roman" w:hAnsi="Times New Roman" w:cs="Times New Roman"/>
        </w:rPr>
        <w:t>aggregate</w:t>
      </w:r>
      <w:proofErr w:type="spellEnd"/>
      <w:r w:rsidRPr="00451AC7">
        <w:rPr>
          <w:rFonts w:ascii="Times New Roman" w:hAnsi="Times New Roman" w:cs="Times New Roman"/>
        </w:rPr>
        <w:t xml:space="preserve"> </w:t>
      </w:r>
      <w:proofErr w:type="spellStart"/>
      <w:r w:rsidRPr="00451AC7">
        <w:rPr>
          <w:rFonts w:ascii="Times New Roman" w:hAnsi="Times New Roman" w:cs="Times New Roman"/>
        </w:rPr>
        <w:t>stock</w:t>
      </w:r>
      <w:proofErr w:type="spellEnd"/>
      <w:r w:rsidRPr="00451AC7">
        <w:rPr>
          <w:rFonts w:ascii="Times New Roman" w:hAnsi="Times New Roman" w:cs="Times New Roman"/>
        </w:rPr>
        <w:t xml:space="preserve"> market is </w:t>
      </w:r>
      <w:proofErr w:type="spellStart"/>
      <w:r w:rsidRPr="00451AC7">
        <w:rPr>
          <w:rFonts w:ascii="Times New Roman" w:hAnsi="Times New Roman" w:cs="Times New Roman"/>
        </w:rPr>
        <w:t>determined</w:t>
      </w:r>
      <w:proofErr w:type="spellEnd"/>
      <w:r w:rsidRPr="00451AC7">
        <w:rPr>
          <w:rFonts w:ascii="Times New Roman" w:hAnsi="Times New Roman" w:cs="Times New Roman"/>
        </w:rPr>
        <w:t xml:space="preserve"> </w:t>
      </w:r>
      <w:proofErr w:type="spellStart"/>
      <w:r w:rsidRPr="00451AC7">
        <w:rPr>
          <w:rFonts w:ascii="Times New Roman" w:hAnsi="Times New Roman" w:cs="Times New Roman"/>
        </w:rPr>
        <w:t>by</w:t>
      </w:r>
      <w:proofErr w:type="spellEnd"/>
      <w:r w:rsidRPr="00451AC7">
        <w:rPr>
          <w:rFonts w:ascii="Times New Roman" w:hAnsi="Times New Roman" w:cs="Times New Roman"/>
        </w:rPr>
        <w:t xml:space="preserve"> </w:t>
      </w:r>
      <w:proofErr w:type="spellStart"/>
      <w:r w:rsidRPr="00451AC7">
        <w:rPr>
          <w:rFonts w:ascii="Times New Roman" w:hAnsi="Times New Roman" w:cs="Times New Roman"/>
        </w:rPr>
        <w:t>macroeconomic</w:t>
      </w:r>
      <w:proofErr w:type="spellEnd"/>
      <w:r w:rsidRPr="00451AC7">
        <w:rPr>
          <w:rFonts w:ascii="Times New Roman" w:hAnsi="Times New Roman" w:cs="Times New Roman"/>
        </w:rPr>
        <w:t xml:space="preserve"> </w:t>
      </w:r>
      <w:proofErr w:type="spellStart"/>
      <w:r w:rsidRPr="00451AC7">
        <w:rPr>
          <w:rFonts w:ascii="Times New Roman" w:hAnsi="Times New Roman" w:cs="Times New Roman"/>
        </w:rPr>
        <w:t>fundamentals</w:t>
      </w:r>
      <w:proofErr w:type="spellEnd"/>
      <w:r w:rsidRPr="00451AC7">
        <w:rPr>
          <w:rFonts w:ascii="Times New Roman" w:hAnsi="Times New Roman" w:cs="Times New Roman"/>
        </w:rPr>
        <w:t xml:space="preserve"> [</w:t>
      </w:r>
      <w:proofErr w:type="spellStart"/>
      <w:r w:rsidRPr="00451AC7">
        <w:rPr>
          <w:rFonts w:ascii="Times New Roman" w:hAnsi="Times New Roman" w:cs="Times New Roman"/>
        </w:rPr>
        <w:t>Cochrane</w:t>
      </w:r>
      <w:proofErr w:type="spellEnd"/>
      <w:r w:rsidRPr="00451AC7">
        <w:rPr>
          <w:rFonts w:ascii="Times New Roman" w:hAnsi="Times New Roman" w:cs="Times New Roman"/>
        </w:rPr>
        <w:t xml:space="preserve"> (1991), </w:t>
      </w:r>
      <w:proofErr w:type="spellStart"/>
      <w:r w:rsidRPr="00451AC7">
        <w:rPr>
          <w:rFonts w:ascii="Times New Roman" w:hAnsi="Times New Roman" w:cs="Times New Roman"/>
        </w:rPr>
        <w:t>Fama</w:t>
      </w:r>
      <w:proofErr w:type="spellEnd"/>
      <w:r w:rsidRPr="00451AC7">
        <w:rPr>
          <w:rFonts w:ascii="Times New Roman" w:hAnsi="Times New Roman" w:cs="Times New Roman"/>
        </w:rPr>
        <w:t xml:space="preserve"> (19</w:t>
      </w:r>
      <w:r>
        <w:rPr>
          <w:rFonts w:ascii="Times New Roman" w:hAnsi="Times New Roman" w:cs="Times New Roman"/>
        </w:rPr>
        <w:t>81</w:t>
      </w:r>
      <w:r w:rsidRPr="00451AC7">
        <w:rPr>
          <w:rFonts w:ascii="Times New Roman" w:hAnsi="Times New Roman" w:cs="Times New Roman"/>
        </w:rPr>
        <w:t xml:space="preserve">)]. </w:t>
      </w:r>
      <w:proofErr w:type="spellStart"/>
      <w:r w:rsidRPr="00451AC7">
        <w:rPr>
          <w:rFonts w:ascii="Times New Roman" w:hAnsi="Times New Roman" w:cs="Times New Roman"/>
        </w:rPr>
        <w:t>Evidence</w:t>
      </w:r>
      <w:proofErr w:type="spellEnd"/>
      <w:r w:rsidRPr="00451AC7">
        <w:rPr>
          <w:rFonts w:ascii="Times New Roman" w:hAnsi="Times New Roman" w:cs="Times New Roman"/>
        </w:rPr>
        <w:t xml:space="preserve"> </w:t>
      </w:r>
      <w:proofErr w:type="spellStart"/>
      <w:r w:rsidRPr="00451AC7">
        <w:rPr>
          <w:rFonts w:ascii="Times New Roman" w:hAnsi="Times New Roman" w:cs="Times New Roman"/>
        </w:rPr>
        <w:t>from</w:t>
      </w:r>
      <w:proofErr w:type="spellEnd"/>
      <w:r w:rsidRPr="00451AC7">
        <w:rPr>
          <w:rFonts w:ascii="Times New Roman" w:hAnsi="Times New Roman" w:cs="Times New Roman"/>
        </w:rPr>
        <w:t xml:space="preserve"> </w:t>
      </w:r>
      <w:proofErr w:type="spellStart"/>
      <w:r w:rsidRPr="00451AC7">
        <w:rPr>
          <w:rFonts w:ascii="Times New Roman" w:hAnsi="Times New Roman" w:cs="Times New Roman"/>
        </w:rPr>
        <w:t>the</w:t>
      </w:r>
      <w:proofErr w:type="spellEnd"/>
      <w:r w:rsidRPr="00451AC7">
        <w:rPr>
          <w:rFonts w:ascii="Times New Roman" w:hAnsi="Times New Roman" w:cs="Times New Roman"/>
        </w:rPr>
        <w:t xml:space="preserve"> </w:t>
      </w:r>
      <w:proofErr w:type="spellStart"/>
      <w:r w:rsidRPr="00451AC7">
        <w:rPr>
          <w:rFonts w:ascii="Times New Roman" w:hAnsi="Times New Roman" w:cs="Times New Roman"/>
        </w:rPr>
        <w:t>relevant</w:t>
      </w:r>
      <w:proofErr w:type="spellEnd"/>
      <w:r w:rsidRPr="00451AC7">
        <w:rPr>
          <w:rFonts w:ascii="Times New Roman" w:hAnsi="Times New Roman" w:cs="Times New Roman"/>
        </w:rPr>
        <w:t xml:space="preserve"> </w:t>
      </w:r>
      <w:proofErr w:type="spellStart"/>
      <w:r w:rsidRPr="00451AC7">
        <w:rPr>
          <w:rFonts w:ascii="Times New Roman" w:hAnsi="Times New Roman" w:cs="Times New Roman"/>
        </w:rPr>
        <w:t>research</w:t>
      </w:r>
      <w:proofErr w:type="spellEnd"/>
      <w:r w:rsidRPr="00451AC7">
        <w:rPr>
          <w:rFonts w:ascii="Times New Roman" w:hAnsi="Times New Roman" w:cs="Times New Roman"/>
        </w:rPr>
        <w:t xml:space="preserve"> </w:t>
      </w:r>
      <w:proofErr w:type="spellStart"/>
      <w:r w:rsidRPr="00451AC7">
        <w:rPr>
          <w:rFonts w:ascii="Times New Roman" w:hAnsi="Times New Roman" w:cs="Times New Roman"/>
        </w:rPr>
        <w:t>suggest</w:t>
      </w:r>
      <w:proofErr w:type="spellEnd"/>
      <w:r w:rsidRPr="00451AC7">
        <w:rPr>
          <w:rFonts w:ascii="Times New Roman" w:hAnsi="Times New Roman" w:cs="Times New Roman"/>
        </w:rPr>
        <w:t xml:space="preserve"> </w:t>
      </w:r>
      <w:proofErr w:type="spellStart"/>
      <w:r w:rsidRPr="00451AC7">
        <w:rPr>
          <w:rFonts w:ascii="Times New Roman" w:hAnsi="Times New Roman" w:cs="Times New Roman"/>
        </w:rPr>
        <w:t>the</w:t>
      </w:r>
      <w:proofErr w:type="spellEnd"/>
      <w:r w:rsidRPr="00451AC7">
        <w:rPr>
          <w:rFonts w:ascii="Times New Roman" w:hAnsi="Times New Roman" w:cs="Times New Roman"/>
        </w:rPr>
        <w:t xml:space="preserve"> </w:t>
      </w:r>
      <w:proofErr w:type="spellStart"/>
      <w:r w:rsidRPr="00451AC7">
        <w:rPr>
          <w:rFonts w:ascii="Times New Roman" w:hAnsi="Times New Roman" w:cs="Times New Roman"/>
        </w:rPr>
        <w:t>existence</w:t>
      </w:r>
      <w:proofErr w:type="spellEnd"/>
      <w:r w:rsidRPr="00451AC7">
        <w:rPr>
          <w:rFonts w:ascii="Times New Roman" w:hAnsi="Times New Roman" w:cs="Times New Roman"/>
        </w:rPr>
        <w:t xml:space="preserve"> of </w:t>
      </w:r>
      <w:proofErr w:type="spellStart"/>
      <w:r w:rsidRPr="00451AC7">
        <w:rPr>
          <w:rFonts w:ascii="Times New Roman" w:hAnsi="Times New Roman" w:cs="Times New Roman"/>
        </w:rPr>
        <w:t>such</w:t>
      </w:r>
      <w:proofErr w:type="spellEnd"/>
      <w:r w:rsidRPr="00451AC7">
        <w:rPr>
          <w:rFonts w:ascii="Times New Roman" w:hAnsi="Times New Roman" w:cs="Times New Roman"/>
        </w:rPr>
        <w:t xml:space="preserve"> a </w:t>
      </w:r>
      <w:proofErr w:type="spellStart"/>
      <w:r w:rsidRPr="00451AC7">
        <w:rPr>
          <w:rFonts w:ascii="Times New Roman" w:hAnsi="Times New Roman" w:cs="Times New Roman"/>
        </w:rPr>
        <w:t>linkage</w:t>
      </w:r>
      <w:proofErr w:type="spellEnd"/>
      <w:r w:rsidRPr="00451AC7">
        <w:rPr>
          <w:rFonts w:ascii="Times New Roman" w:hAnsi="Times New Roman" w:cs="Times New Roman"/>
        </w:rPr>
        <w:t xml:space="preserve"> </w:t>
      </w:r>
      <w:proofErr w:type="spellStart"/>
      <w:r w:rsidRPr="00451AC7">
        <w:rPr>
          <w:rFonts w:ascii="Times New Roman" w:hAnsi="Times New Roman" w:cs="Times New Roman"/>
        </w:rPr>
        <w:t>between</w:t>
      </w:r>
      <w:proofErr w:type="spellEnd"/>
      <w:r w:rsidRPr="00451AC7">
        <w:rPr>
          <w:rFonts w:ascii="Times New Roman" w:hAnsi="Times New Roman" w:cs="Times New Roman"/>
        </w:rPr>
        <w:t xml:space="preserve"> </w:t>
      </w:r>
      <w:proofErr w:type="spellStart"/>
      <w:r w:rsidRPr="00451AC7">
        <w:rPr>
          <w:rFonts w:ascii="Times New Roman" w:hAnsi="Times New Roman" w:cs="Times New Roman"/>
        </w:rPr>
        <w:t>that</w:t>
      </w:r>
      <w:proofErr w:type="spellEnd"/>
      <w:r w:rsidRPr="00451AC7">
        <w:rPr>
          <w:rFonts w:ascii="Times New Roman" w:hAnsi="Times New Roman" w:cs="Times New Roman"/>
        </w:rPr>
        <w:t xml:space="preserve"> </w:t>
      </w:r>
      <w:proofErr w:type="spellStart"/>
      <w:r w:rsidRPr="00451AC7">
        <w:rPr>
          <w:rFonts w:ascii="Times New Roman" w:hAnsi="Times New Roman" w:cs="Times New Roman"/>
        </w:rPr>
        <w:t>financial</w:t>
      </w:r>
      <w:proofErr w:type="spellEnd"/>
      <w:r w:rsidRPr="00451AC7">
        <w:rPr>
          <w:rFonts w:ascii="Times New Roman" w:hAnsi="Times New Roman" w:cs="Times New Roman"/>
        </w:rPr>
        <w:t xml:space="preserve"> </w:t>
      </w:r>
      <w:proofErr w:type="spellStart"/>
      <w:r w:rsidRPr="00451AC7">
        <w:rPr>
          <w:rFonts w:ascii="Times New Roman" w:hAnsi="Times New Roman" w:cs="Times New Roman"/>
        </w:rPr>
        <w:t>markets</w:t>
      </w:r>
      <w:proofErr w:type="spellEnd"/>
      <w:r w:rsidRPr="00451AC7">
        <w:rPr>
          <w:rFonts w:ascii="Times New Roman" w:hAnsi="Times New Roman" w:cs="Times New Roman"/>
        </w:rPr>
        <w:t xml:space="preserve"> </w:t>
      </w:r>
      <w:proofErr w:type="spellStart"/>
      <w:r w:rsidRPr="00451AC7">
        <w:rPr>
          <w:rFonts w:ascii="Times New Roman" w:hAnsi="Times New Roman" w:cs="Times New Roman"/>
        </w:rPr>
        <w:t>and</w:t>
      </w:r>
      <w:proofErr w:type="spellEnd"/>
      <w:r w:rsidRPr="00451AC7">
        <w:rPr>
          <w:rFonts w:ascii="Times New Roman" w:hAnsi="Times New Roman" w:cs="Times New Roman"/>
        </w:rPr>
        <w:t xml:space="preserve"> </w:t>
      </w:r>
      <w:proofErr w:type="spellStart"/>
      <w:r w:rsidRPr="00451AC7">
        <w:rPr>
          <w:rFonts w:ascii="Times New Roman" w:hAnsi="Times New Roman" w:cs="Times New Roman"/>
        </w:rPr>
        <w:t>economic</w:t>
      </w:r>
      <w:proofErr w:type="spellEnd"/>
      <w:r w:rsidRPr="00451AC7">
        <w:rPr>
          <w:rFonts w:ascii="Times New Roman" w:hAnsi="Times New Roman" w:cs="Times New Roman"/>
        </w:rPr>
        <w:t xml:space="preserve"> </w:t>
      </w:r>
      <w:proofErr w:type="spellStart"/>
      <w:r w:rsidRPr="00451AC7">
        <w:rPr>
          <w:rFonts w:ascii="Times New Roman" w:hAnsi="Times New Roman" w:cs="Times New Roman"/>
        </w:rPr>
        <w:t>fundamentals</w:t>
      </w:r>
      <w:proofErr w:type="spellEnd"/>
      <w:r w:rsidRPr="00451AC7">
        <w:rPr>
          <w:rFonts w:ascii="Times New Roman" w:hAnsi="Times New Roman" w:cs="Times New Roman"/>
        </w:rPr>
        <w:t xml:space="preserve"> </w:t>
      </w:r>
      <w:proofErr w:type="spellStart"/>
      <w:r w:rsidRPr="00451AC7">
        <w:rPr>
          <w:rFonts w:ascii="Times New Roman" w:hAnsi="Times New Roman" w:cs="Times New Roman"/>
        </w:rPr>
        <w:t>across</w:t>
      </w:r>
      <w:proofErr w:type="spellEnd"/>
      <w:r w:rsidRPr="00451AC7">
        <w:rPr>
          <w:rFonts w:ascii="Times New Roman" w:hAnsi="Times New Roman" w:cs="Times New Roman"/>
        </w:rPr>
        <w:t xml:space="preserve"> a </w:t>
      </w:r>
      <w:proofErr w:type="spellStart"/>
      <w:r w:rsidRPr="00451AC7">
        <w:rPr>
          <w:rFonts w:ascii="Times New Roman" w:hAnsi="Times New Roman" w:cs="Times New Roman"/>
        </w:rPr>
        <w:t>variety</w:t>
      </w:r>
      <w:proofErr w:type="spellEnd"/>
      <w:r w:rsidRPr="00451AC7">
        <w:rPr>
          <w:rFonts w:ascii="Times New Roman" w:hAnsi="Times New Roman" w:cs="Times New Roman"/>
        </w:rPr>
        <w:t xml:space="preserve"> of </w:t>
      </w:r>
      <w:proofErr w:type="spellStart"/>
      <w:r w:rsidRPr="00451AC7">
        <w:rPr>
          <w:rFonts w:ascii="Times New Roman" w:hAnsi="Times New Roman" w:cs="Times New Roman"/>
        </w:rPr>
        <w:t>markets</w:t>
      </w:r>
      <w:proofErr w:type="spellEnd"/>
      <w:r w:rsidRPr="00451AC7">
        <w:rPr>
          <w:rFonts w:ascii="Times New Roman" w:hAnsi="Times New Roman" w:cs="Times New Roman"/>
        </w:rPr>
        <w:t xml:space="preserve"> </w:t>
      </w:r>
      <w:proofErr w:type="spellStart"/>
      <w:r w:rsidRPr="00451AC7">
        <w:rPr>
          <w:rFonts w:ascii="Times New Roman" w:hAnsi="Times New Roman" w:cs="Times New Roman"/>
        </w:rPr>
        <w:t>and</w:t>
      </w:r>
      <w:proofErr w:type="spellEnd"/>
      <w:r w:rsidRPr="00451AC7">
        <w:rPr>
          <w:rFonts w:ascii="Times New Roman" w:hAnsi="Times New Roman" w:cs="Times New Roman"/>
        </w:rPr>
        <w:t xml:space="preserve"> time </w:t>
      </w:r>
      <w:proofErr w:type="spellStart"/>
      <w:r w:rsidRPr="00451AC7">
        <w:rPr>
          <w:rFonts w:ascii="Times New Roman" w:hAnsi="Times New Roman" w:cs="Times New Roman"/>
        </w:rPr>
        <w:t>horizons</w:t>
      </w:r>
      <w:proofErr w:type="spellEnd"/>
      <w:r w:rsidRPr="00451AC7">
        <w:rPr>
          <w:rFonts w:ascii="Times New Roman" w:hAnsi="Times New Roman" w:cs="Times New Roman"/>
        </w:rPr>
        <w:t>.</w:t>
      </w:r>
      <w:r>
        <w:rPr>
          <w:rFonts w:ascii="Arial" w:hAnsi="Arial" w:cs="Arial"/>
        </w:rPr>
        <w:t xml:space="preserve"> </w:t>
      </w:r>
    </w:p>
  </w:footnote>
  <w:footnote w:id="5">
    <w:p w:rsidR="0025606B" w:rsidRDefault="0025606B" w:rsidP="0025606B">
      <w:pPr>
        <w:pStyle w:val="DipnotMetni"/>
      </w:pPr>
      <w:r>
        <w:rPr>
          <w:rStyle w:val="DipnotBavurusu"/>
        </w:rPr>
        <w:footnoteRef/>
      </w:r>
      <w:r>
        <w:t xml:space="preserve"> </w:t>
      </w:r>
      <w:proofErr w:type="spellStart"/>
      <w:r>
        <w:rPr>
          <w:rFonts w:ascii="Times New Roman" w:hAnsi="Times New Roman" w:cs="Times New Roman"/>
        </w:rPr>
        <w:t>See</w:t>
      </w:r>
      <w:proofErr w:type="spellEnd"/>
      <w:r>
        <w:rPr>
          <w:rFonts w:ascii="Times New Roman" w:hAnsi="Times New Roman" w:cs="Times New Roman"/>
        </w:rPr>
        <w:t xml:space="preserve"> IMF GFSR (April 2006), Box </w:t>
      </w:r>
      <w:proofErr w:type="gramStart"/>
      <w:r>
        <w:rPr>
          <w:rFonts w:ascii="Times New Roman" w:hAnsi="Times New Roman" w:cs="Times New Roman"/>
        </w:rPr>
        <w:t>3.6</w:t>
      </w:r>
      <w:proofErr w:type="gramEnd"/>
      <w:r>
        <w:rPr>
          <w:rFonts w:ascii="Times New Roman" w:hAnsi="Times New Roman" w:cs="Times New Roman"/>
        </w:rPr>
        <w:t xml:space="preserve"> </w:t>
      </w:r>
      <w:proofErr w:type="spellStart"/>
      <w:r>
        <w:rPr>
          <w:rFonts w:ascii="Times New Roman" w:hAnsi="Times New Roman" w:cs="Times New Roman"/>
        </w:rPr>
        <w:t>for</w:t>
      </w:r>
      <w:proofErr w:type="spellEnd"/>
      <w:r>
        <w:rPr>
          <w:rFonts w:ascii="Times New Roman" w:hAnsi="Times New Roman" w:cs="Times New Roman"/>
        </w:rPr>
        <w:t xml:space="preserve"> </w:t>
      </w:r>
      <w:proofErr w:type="spellStart"/>
      <w:r>
        <w:rPr>
          <w:rFonts w:ascii="Times New Roman" w:hAnsi="Times New Roman" w:cs="Times New Roman"/>
        </w:rPr>
        <w:t>sovereign</w:t>
      </w:r>
      <w:proofErr w:type="spellEnd"/>
      <w:r>
        <w:rPr>
          <w:rFonts w:ascii="Times New Roman" w:hAnsi="Times New Roman" w:cs="Times New Roman"/>
        </w:rPr>
        <w:t xml:space="preserve"> CCA </w:t>
      </w:r>
      <w:proofErr w:type="spellStart"/>
      <w:r>
        <w:rPr>
          <w:rFonts w:ascii="Times New Roman" w:hAnsi="Times New Roman" w:cs="Times New Roman"/>
        </w:rPr>
        <w:t>and</w:t>
      </w:r>
      <w:proofErr w:type="spellEnd"/>
      <w:r>
        <w:rPr>
          <w:rFonts w:ascii="Times New Roman" w:hAnsi="Times New Roman" w:cs="Times New Roman"/>
        </w:rPr>
        <w:t xml:space="preserve"> </w:t>
      </w:r>
      <w:proofErr w:type="spellStart"/>
      <w:r>
        <w:rPr>
          <w:rFonts w:ascii="Times New Roman" w:hAnsi="Times New Roman" w:cs="Times New Roman"/>
        </w:rPr>
        <w:t>impact</w:t>
      </w:r>
      <w:proofErr w:type="spellEnd"/>
      <w:r>
        <w:rPr>
          <w:rFonts w:ascii="Times New Roman" w:hAnsi="Times New Roman" w:cs="Times New Roman"/>
        </w:rPr>
        <w:t xml:space="preserve"> of </w:t>
      </w:r>
      <w:proofErr w:type="spellStart"/>
      <w:r>
        <w:rPr>
          <w:rFonts w:ascii="Times New Roman" w:hAnsi="Times New Roman" w:cs="Times New Roman"/>
        </w:rPr>
        <w:t>changes</w:t>
      </w:r>
      <w:proofErr w:type="spellEnd"/>
      <w:r>
        <w:rPr>
          <w:rFonts w:ascii="Times New Roman" w:hAnsi="Times New Roman" w:cs="Times New Roman"/>
        </w:rPr>
        <w:t xml:space="preserve"> in </w:t>
      </w:r>
      <w:proofErr w:type="spellStart"/>
      <w:r>
        <w:rPr>
          <w:rFonts w:ascii="Times New Roman" w:hAnsi="Times New Roman" w:cs="Times New Roman"/>
        </w:rPr>
        <w:t>debt</w:t>
      </w:r>
      <w:proofErr w:type="spellEnd"/>
      <w:r>
        <w:rPr>
          <w:rFonts w:ascii="Times New Roman" w:hAnsi="Times New Roman" w:cs="Times New Roman"/>
        </w:rPr>
        <w:t xml:space="preserve"> </w:t>
      </w:r>
      <w:proofErr w:type="spellStart"/>
      <w:r>
        <w:rPr>
          <w:rFonts w:ascii="Times New Roman" w:hAnsi="Times New Roman" w:cs="Times New Roman"/>
        </w:rPr>
        <w:t>structure</w:t>
      </w:r>
      <w:proofErr w:type="spellEnd"/>
      <w:r>
        <w:rPr>
          <w:rFonts w:ascii="Times New Roman" w:hAnsi="Times New Roman" w:cs="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A90" w:rsidRPr="00EE1A90" w:rsidRDefault="00EE1A90" w:rsidP="00EE1A90">
    <w:pPr>
      <w:jc w:val="center"/>
      <w:rPr>
        <w:i/>
        <w:sz w:val="18"/>
        <w:szCs w:val="18"/>
      </w:rPr>
    </w:pPr>
    <w:r w:rsidRPr="00EE1A90">
      <w:rPr>
        <w:i/>
        <w:sz w:val="18"/>
        <w:szCs w:val="18"/>
      </w:rPr>
      <w:t xml:space="preserve">International Conference on </w:t>
    </w:r>
    <w:proofErr w:type="spellStart"/>
    <w:r w:rsidRPr="00EE1A90">
      <w:rPr>
        <w:i/>
        <w:sz w:val="18"/>
        <w:szCs w:val="18"/>
      </w:rPr>
      <w:t>Economic</w:t>
    </w:r>
    <w:proofErr w:type="spellEnd"/>
    <w:r w:rsidRPr="00EE1A90">
      <w:rPr>
        <w:i/>
        <w:sz w:val="18"/>
        <w:szCs w:val="18"/>
      </w:rPr>
      <w:t xml:space="preserve"> </w:t>
    </w:r>
    <w:proofErr w:type="spellStart"/>
    <w:r w:rsidRPr="00EE1A90">
      <w:rPr>
        <w:i/>
        <w:sz w:val="18"/>
        <w:szCs w:val="18"/>
      </w:rPr>
      <w:t>and</w:t>
    </w:r>
    <w:proofErr w:type="spellEnd"/>
    <w:r w:rsidRPr="00EE1A90">
      <w:rPr>
        <w:i/>
        <w:sz w:val="18"/>
        <w:szCs w:val="18"/>
      </w:rPr>
      <w:t xml:space="preserve"> </w:t>
    </w:r>
    <w:proofErr w:type="spellStart"/>
    <w:r w:rsidRPr="00EE1A90">
      <w:rPr>
        <w:i/>
        <w:sz w:val="18"/>
        <w:szCs w:val="18"/>
      </w:rPr>
      <w:t>Social</w:t>
    </w:r>
    <w:proofErr w:type="spellEnd"/>
    <w:r w:rsidRPr="00EE1A90">
      <w:rPr>
        <w:i/>
        <w:sz w:val="18"/>
        <w:szCs w:val="18"/>
      </w:rPr>
      <w:t xml:space="preserve"> </w:t>
    </w:r>
    <w:proofErr w:type="spellStart"/>
    <w:r w:rsidRPr="00EE1A90">
      <w:rPr>
        <w:i/>
        <w:sz w:val="18"/>
        <w:szCs w:val="18"/>
      </w:rPr>
      <w:t>Studies</w:t>
    </w:r>
    <w:proofErr w:type="spellEnd"/>
    <w:r>
      <w:rPr>
        <w:i/>
        <w:sz w:val="18"/>
        <w:szCs w:val="18"/>
      </w:rPr>
      <w:t xml:space="preserve"> (ICESoS’13)</w:t>
    </w:r>
    <w:r w:rsidRPr="00EE1A90">
      <w:rPr>
        <w:i/>
        <w:sz w:val="18"/>
        <w:szCs w:val="18"/>
      </w:rPr>
      <w:t xml:space="preserve">, 10-11 May, 2013,  </w:t>
    </w:r>
    <w:proofErr w:type="spellStart"/>
    <w:r w:rsidRPr="00EE1A90">
      <w:rPr>
        <w:i/>
        <w:sz w:val="18"/>
        <w:szCs w:val="18"/>
      </w:rPr>
      <w:t>Sarajevo</w:t>
    </w:r>
    <w:proofErr w:type="spellEnd"/>
  </w:p>
  <w:p w:rsidR="00446838" w:rsidRPr="00EE1A90" w:rsidRDefault="00446838" w:rsidP="00EE1A90">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05303"/>
    <w:multiLevelType w:val="hybridMultilevel"/>
    <w:tmpl w:val="26AC2278"/>
    <w:lvl w:ilvl="0" w:tplc="D5E8D2EC">
      <w:start w:val="1985"/>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33143BB2"/>
    <w:multiLevelType w:val="hybridMultilevel"/>
    <w:tmpl w:val="077432E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414005F6"/>
    <w:multiLevelType w:val="hybridMultilevel"/>
    <w:tmpl w:val="E9E45E6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617D4DB0"/>
    <w:multiLevelType w:val="hybridMultilevel"/>
    <w:tmpl w:val="6130CA78"/>
    <w:lvl w:ilvl="0" w:tplc="7AF225AA">
      <w:start w:val="1"/>
      <w:numFmt w:val="lowerRoman"/>
      <w:lvlText w:val="(%1)"/>
      <w:lvlJc w:val="left"/>
      <w:pPr>
        <w:ind w:left="1239" w:hanging="720"/>
      </w:pPr>
      <w:rPr>
        <w:rFonts w:hint="default"/>
      </w:rPr>
    </w:lvl>
    <w:lvl w:ilvl="1" w:tplc="041F0019" w:tentative="1">
      <w:start w:val="1"/>
      <w:numFmt w:val="lowerLetter"/>
      <w:lvlText w:val="%2."/>
      <w:lvlJc w:val="left"/>
      <w:pPr>
        <w:ind w:left="1599" w:hanging="360"/>
      </w:pPr>
    </w:lvl>
    <w:lvl w:ilvl="2" w:tplc="041F001B" w:tentative="1">
      <w:start w:val="1"/>
      <w:numFmt w:val="lowerRoman"/>
      <w:lvlText w:val="%3."/>
      <w:lvlJc w:val="right"/>
      <w:pPr>
        <w:ind w:left="2319" w:hanging="180"/>
      </w:pPr>
    </w:lvl>
    <w:lvl w:ilvl="3" w:tplc="041F000F" w:tentative="1">
      <w:start w:val="1"/>
      <w:numFmt w:val="decimal"/>
      <w:lvlText w:val="%4."/>
      <w:lvlJc w:val="left"/>
      <w:pPr>
        <w:ind w:left="3039" w:hanging="360"/>
      </w:pPr>
    </w:lvl>
    <w:lvl w:ilvl="4" w:tplc="041F0019" w:tentative="1">
      <w:start w:val="1"/>
      <w:numFmt w:val="lowerLetter"/>
      <w:lvlText w:val="%5."/>
      <w:lvlJc w:val="left"/>
      <w:pPr>
        <w:ind w:left="3759" w:hanging="360"/>
      </w:pPr>
    </w:lvl>
    <w:lvl w:ilvl="5" w:tplc="041F001B" w:tentative="1">
      <w:start w:val="1"/>
      <w:numFmt w:val="lowerRoman"/>
      <w:lvlText w:val="%6."/>
      <w:lvlJc w:val="right"/>
      <w:pPr>
        <w:ind w:left="4479" w:hanging="180"/>
      </w:pPr>
    </w:lvl>
    <w:lvl w:ilvl="6" w:tplc="041F000F" w:tentative="1">
      <w:start w:val="1"/>
      <w:numFmt w:val="decimal"/>
      <w:lvlText w:val="%7."/>
      <w:lvlJc w:val="left"/>
      <w:pPr>
        <w:ind w:left="5199" w:hanging="360"/>
      </w:pPr>
    </w:lvl>
    <w:lvl w:ilvl="7" w:tplc="041F0019" w:tentative="1">
      <w:start w:val="1"/>
      <w:numFmt w:val="lowerLetter"/>
      <w:lvlText w:val="%8."/>
      <w:lvlJc w:val="left"/>
      <w:pPr>
        <w:ind w:left="5919" w:hanging="360"/>
      </w:pPr>
    </w:lvl>
    <w:lvl w:ilvl="8" w:tplc="041F001B" w:tentative="1">
      <w:start w:val="1"/>
      <w:numFmt w:val="lowerRoman"/>
      <w:lvlText w:val="%9."/>
      <w:lvlJc w:val="right"/>
      <w:pPr>
        <w:ind w:left="6639" w:hanging="180"/>
      </w:pPr>
    </w:lvl>
  </w:abstractNum>
  <w:abstractNum w:abstractNumId="4">
    <w:nsid w:val="63DD6D52"/>
    <w:multiLevelType w:val="hybridMultilevel"/>
    <w:tmpl w:val="077432E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799E7830"/>
    <w:multiLevelType w:val="hybridMultilevel"/>
    <w:tmpl w:val="420A03FC"/>
    <w:lvl w:ilvl="0" w:tplc="345C085C">
      <w:start w:val="1"/>
      <w:numFmt w:val="decimal"/>
      <w:pStyle w:val="Balk1"/>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B9A"/>
    <w:rsid w:val="00000DC5"/>
    <w:rsid w:val="00006B4A"/>
    <w:rsid w:val="000159DD"/>
    <w:rsid w:val="000235E2"/>
    <w:rsid w:val="000606AE"/>
    <w:rsid w:val="00091D80"/>
    <w:rsid w:val="000B1ECC"/>
    <w:rsid w:val="000C0831"/>
    <w:rsid w:val="00127DF5"/>
    <w:rsid w:val="00151E21"/>
    <w:rsid w:val="001851CC"/>
    <w:rsid w:val="001915FC"/>
    <w:rsid w:val="001C55BF"/>
    <w:rsid w:val="001C6116"/>
    <w:rsid w:val="001D3EBF"/>
    <w:rsid w:val="001D6F3D"/>
    <w:rsid w:val="002223A1"/>
    <w:rsid w:val="00244BCD"/>
    <w:rsid w:val="00250EED"/>
    <w:rsid w:val="0025606B"/>
    <w:rsid w:val="0027743E"/>
    <w:rsid w:val="00285B9A"/>
    <w:rsid w:val="0029368D"/>
    <w:rsid w:val="002B09F9"/>
    <w:rsid w:val="00323F62"/>
    <w:rsid w:val="0037128C"/>
    <w:rsid w:val="003813E7"/>
    <w:rsid w:val="003F0735"/>
    <w:rsid w:val="00446838"/>
    <w:rsid w:val="004930FD"/>
    <w:rsid w:val="00496CAE"/>
    <w:rsid w:val="004E46FC"/>
    <w:rsid w:val="004F6D75"/>
    <w:rsid w:val="00512C5B"/>
    <w:rsid w:val="00521068"/>
    <w:rsid w:val="00524012"/>
    <w:rsid w:val="00564CCF"/>
    <w:rsid w:val="005B4943"/>
    <w:rsid w:val="005B5BAD"/>
    <w:rsid w:val="005B7497"/>
    <w:rsid w:val="005C4FF0"/>
    <w:rsid w:val="005D624F"/>
    <w:rsid w:val="00615A8D"/>
    <w:rsid w:val="006302CA"/>
    <w:rsid w:val="00653B0B"/>
    <w:rsid w:val="00661C07"/>
    <w:rsid w:val="006D47C2"/>
    <w:rsid w:val="00714CC0"/>
    <w:rsid w:val="00754B28"/>
    <w:rsid w:val="00761431"/>
    <w:rsid w:val="00770868"/>
    <w:rsid w:val="007A17F2"/>
    <w:rsid w:val="007C0306"/>
    <w:rsid w:val="007F1CFB"/>
    <w:rsid w:val="00823ECE"/>
    <w:rsid w:val="008323B1"/>
    <w:rsid w:val="008370A4"/>
    <w:rsid w:val="008410DE"/>
    <w:rsid w:val="00857F04"/>
    <w:rsid w:val="00865400"/>
    <w:rsid w:val="008B3CB6"/>
    <w:rsid w:val="009626A0"/>
    <w:rsid w:val="0097206F"/>
    <w:rsid w:val="009B3FBB"/>
    <w:rsid w:val="009C5E7F"/>
    <w:rsid w:val="009E4686"/>
    <w:rsid w:val="00A23705"/>
    <w:rsid w:val="00A36048"/>
    <w:rsid w:val="00A55E44"/>
    <w:rsid w:val="00A66506"/>
    <w:rsid w:val="00AA63F6"/>
    <w:rsid w:val="00AC1105"/>
    <w:rsid w:val="00AC42E5"/>
    <w:rsid w:val="00AE6287"/>
    <w:rsid w:val="00AF5B08"/>
    <w:rsid w:val="00B0526D"/>
    <w:rsid w:val="00B34A11"/>
    <w:rsid w:val="00B367F1"/>
    <w:rsid w:val="00B47638"/>
    <w:rsid w:val="00B619E2"/>
    <w:rsid w:val="00B76643"/>
    <w:rsid w:val="00B86DE2"/>
    <w:rsid w:val="00B93226"/>
    <w:rsid w:val="00B976C6"/>
    <w:rsid w:val="00BA3159"/>
    <w:rsid w:val="00BB158E"/>
    <w:rsid w:val="00BD438A"/>
    <w:rsid w:val="00C120F8"/>
    <w:rsid w:val="00C32C7A"/>
    <w:rsid w:val="00C862AC"/>
    <w:rsid w:val="00C95AFD"/>
    <w:rsid w:val="00CF6CB5"/>
    <w:rsid w:val="00D75E58"/>
    <w:rsid w:val="00D76E5E"/>
    <w:rsid w:val="00DA014E"/>
    <w:rsid w:val="00DB6477"/>
    <w:rsid w:val="00DC0765"/>
    <w:rsid w:val="00DC4BDD"/>
    <w:rsid w:val="00E13C86"/>
    <w:rsid w:val="00E368BA"/>
    <w:rsid w:val="00E53C78"/>
    <w:rsid w:val="00E916D0"/>
    <w:rsid w:val="00E941B4"/>
    <w:rsid w:val="00EE1A90"/>
    <w:rsid w:val="00F14C0C"/>
    <w:rsid w:val="00F269BA"/>
    <w:rsid w:val="00F32252"/>
    <w:rsid w:val="00F64B56"/>
    <w:rsid w:val="00F7017E"/>
    <w:rsid w:val="00F95B9F"/>
    <w:rsid w:val="00FA66E2"/>
    <w:rsid w:val="00FB5C78"/>
    <w:rsid w:val="00FD427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B9A"/>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25606B"/>
    <w:pPr>
      <w:keepNext/>
      <w:keepLines/>
      <w:numPr>
        <w:numId w:val="6"/>
      </w:numPr>
      <w:spacing w:before="120" w:after="240" w:line="276" w:lineRule="auto"/>
      <w:ind w:left="357" w:hanging="357"/>
      <w:outlineLvl w:val="0"/>
    </w:pPr>
    <w:rPr>
      <w:rFonts w:eastAsiaTheme="majorEastAsia" w:cstheme="majorBidi"/>
      <w:b/>
      <w:bCs/>
      <w:sz w:val="22"/>
      <w:szCs w:val="28"/>
    </w:rPr>
  </w:style>
  <w:style w:type="paragraph" w:styleId="Balk2">
    <w:name w:val="heading 2"/>
    <w:basedOn w:val="Normal"/>
    <w:next w:val="Normal"/>
    <w:link w:val="Balk2Char"/>
    <w:uiPriority w:val="9"/>
    <w:unhideWhenUsed/>
    <w:qFormat/>
    <w:rsid w:val="0025606B"/>
    <w:pPr>
      <w:keepNext/>
      <w:keepLines/>
      <w:spacing w:before="120" w:after="120" w:line="276" w:lineRule="auto"/>
      <w:outlineLvl w:val="1"/>
    </w:pPr>
    <w:rPr>
      <w:rFonts w:eastAsiaTheme="majorEastAsia" w:cstheme="majorBidi"/>
      <w:b/>
      <w:bCs/>
      <w:sz w:val="22"/>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BA315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Kpr">
    <w:name w:val="Hyperlink"/>
    <w:basedOn w:val="VarsaylanParagrafYazTipi"/>
    <w:uiPriority w:val="99"/>
    <w:unhideWhenUsed/>
    <w:rsid w:val="005C4FF0"/>
    <w:rPr>
      <w:color w:val="0000FF" w:themeColor="hyperlink"/>
      <w:u w:val="single"/>
    </w:rPr>
  </w:style>
  <w:style w:type="character" w:customStyle="1" w:styleId="hps">
    <w:name w:val="hps"/>
    <w:basedOn w:val="VarsaylanParagrafYazTipi"/>
    <w:rsid w:val="00091D80"/>
  </w:style>
  <w:style w:type="paragraph" w:styleId="ListeParagraf">
    <w:name w:val="List Paragraph"/>
    <w:basedOn w:val="Normal"/>
    <w:uiPriority w:val="34"/>
    <w:qFormat/>
    <w:rsid w:val="00F14C0C"/>
    <w:pPr>
      <w:ind w:left="720"/>
      <w:contextualSpacing/>
    </w:pPr>
  </w:style>
  <w:style w:type="character" w:customStyle="1" w:styleId="InternetLink">
    <w:name w:val="Internet Link"/>
    <w:basedOn w:val="VarsaylanParagrafYazTipi"/>
    <w:rsid w:val="00DC0765"/>
    <w:rPr>
      <w:color w:val="0000FF"/>
      <w:u w:val="single"/>
      <w:lang w:val="en-US" w:eastAsia="en-US" w:bidi="en-US"/>
    </w:rPr>
  </w:style>
  <w:style w:type="paragraph" w:styleId="AralkYok">
    <w:name w:val="No Spacing"/>
    <w:link w:val="AralkYokChar"/>
    <w:uiPriority w:val="99"/>
    <w:qFormat/>
    <w:rsid w:val="00DC0765"/>
    <w:pPr>
      <w:suppressAutoHyphens/>
      <w:spacing w:after="0" w:line="100" w:lineRule="atLeast"/>
    </w:pPr>
    <w:rPr>
      <w:rFonts w:ascii="Calibri" w:eastAsia="Times New Roman" w:hAnsi="Calibri" w:cs="Times New Roman"/>
      <w:lang w:val="en-US" w:eastAsia="ar-SA"/>
    </w:rPr>
  </w:style>
  <w:style w:type="paragraph" w:styleId="KonuBal">
    <w:name w:val="Title"/>
    <w:basedOn w:val="Normal"/>
    <w:next w:val="Normal"/>
    <w:link w:val="KonuBalChar"/>
    <w:uiPriority w:val="10"/>
    <w:qFormat/>
    <w:rsid w:val="00DC0765"/>
    <w:pPr>
      <w:pBdr>
        <w:bottom w:val="single" w:sz="8" w:space="4" w:color="4F81BD" w:themeColor="accent1"/>
      </w:pBdr>
      <w:suppressAutoHyphens/>
      <w:spacing w:after="300"/>
      <w:contextualSpacing/>
    </w:pPr>
    <w:rPr>
      <w:rFonts w:asciiTheme="majorHAnsi" w:eastAsiaTheme="majorEastAsia" w:hAnsiTheme="majorHAnsi" w:cstheme="majorBidi"/>
      <w:color w:val="17365D" w:themeColor="text2" w:themeShade="BF"/>
      <w:spacing w:val="5"/>
      <w:kern w:val="28"/>
      <w:sz w:val="52"/>
      <w:szCs w:val="52"/>
      <w:lang w:val="fr-CA" w:eastAsia="ar-SA"/>
    </w:rPr>
  </w:style>
  <w:style w:type="character" w:customStyle="1" w:styleId="KonuBalChar">
    <w:name w:val="Konu Başlığı Char"/>
    <w:basedOn w:val="VarsaylanParagrafYazTipi"/>
    <w:link w:val="KonuBal"/>
    <w:uiPriority w:val="10"/>
    <w:rsid w:val="00DC0765"/>
    <w:rPr>
      <w:rFonts w:asciiTheme="majorHAnsi" w:eastAsiaTheme="majorEastAsia" w:hAnsiTheme="majorHAnsi" w:cstheme="majorBidi"/>
      <w:color w:val="17365D" w:themeColor="text2" w:themeShade="BF"/>
      <w:spacing w:val="5"/>
      <w:kern w:val="28"/>
      <w:sz w:val="52"/>
      <w:szCs w:val="52"/>
      <w:lang w:val="fr-CA" w:eastAsia="ar-SA"/>
    </w:rPr>
  </w:style>
  <w:style w:type="paragraph" w:styleId="stbilgi">
    <w:name w:val="header"/>
    <w:basedOn w:val="Normal"/>
    <w:link w:val="stbilgiChar"/>
    <w:uiPriority w:val="99"/>
    <w:unhideWhenUsed/>
    <w:rsid w:val="00446838"/>
    <w:pPr>
      <w:tabs>
        <w:tab w:val="center" w:pos="4703"/>
        <w:tab w:val="right" w:pos="9406"/>
      </w:tabs>
    </w:pPr>
  </w:style>
  <w:style w:type="character" w:customStyle="1" w:styleId="stbilgiChar">
    <w:name w:val="Üstbilgi Char"/>
    <w:basedOn w:val="VarsaylanParagrafYazTipi"/>
    <w:link w:val="stbilgi"/>
    <w:uiPriority w:val="99"/>
    <w:rsid w:val="00446838"/>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446838"/>
    <w:pPr>
      <w:tabs>
        <w:tab w:val="center" w:pos="4703"/>
        <w:tab w:val="right" w:pos="9406"/>
      </w:tabs>
    </w:pPr>
  </w:style>
  <w:style w:type="character" w:customStyle="1" w:styleId="AltbilgiChar">
    <w:name w:val="Altbilgi Char"/>
    <w:basedOn w:val="VarsaylanParagrafYazTipi"/>
    <w:link w:val="Altbilgi"/>
    <w:uiPriority w:val="99"/>
    <w:rsid w:val="00446838"/>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446838"/>
    <w:rPr>
      <w:rFonts w:ascii="Tahoma" w:hAnsi="Tahoma" w:cs="Tahoma"/>
      <w:sz w:val="16"/>
      <w:szCs w:val="16"/>
    </w:rPr>
  </w:style>
  <w:style w:type="character" w:customStyle="1" w:styleId="BalonMetniChar">
    <w:name w:val="Balon Metni Char"/>
    <w:basedOn w:val="VarsaylanParagrafYazTipi"/>
    <w:link w:val="BalonMetni"/>
    <w:uiPriority w:val="99"/>
    <w:semiHidden/>
    <w:rsid w:val="00446838"/>
    <w:rPr>
      <w:rFonts w:ascii="Tahoma" w:eastAsia="Times New Roman" w:hAnsi="Tahoma" w:cs="Tahoma"/>
      <w:sz w:val="16"/>
      <w:szCs w:val="16"/>
      <w:lang w:eastAsia="tr-TR"/>
    </w:rPr>
  </w:style>
  <w:style w:type="paragraph" w:customStyle="1" w:styleId="DE7B8801F2B1483F98D539CC92927118">
    <w:name w:val="DE7B8801F2B1483F98D539CC92927118"/>
    <w:rsid w:val="00446838"/>
    <w:rPr>
      <w:rFonts w:eastAsiaTheme="minorEastAsia"/>
      <w:lang w:val="en-US" w:eastAsia="ja-JP"/>
    </w:rPr>
  </w:style>
  <w:style w:type="character" w:customStyle="1" w:styleId="Balk1Char">
    <w:name w:val="Başlık 1 Char"/>
    <w:basedOn w:val="VarsaylanParagrafYazTipi"/>
    <w:link w:val="Balk1"/>
    <w:uiPriority w:val="9"/>
    <w:rsid w:val="0025606B"/>
    <w:rPr>
      <w:rFonts w:ascii="Times New Roman" w:eastAsiaTheme="majorEastAsia" w:hAnsi="Times New Roman" w:cstheme="majorBidi"/>
      <w:b/>
      <w:bCs/>
      <w:szCs w:val="28"/>
      <w:lang w:eastAsia="tr-TR"/>
    </w:rPr>
  </w:style>
  <w:style w:type="character" w:customStyle="1" w:styleId="Balk2Char">
    <w:name w:val="Başlık 2 Char"/>
    <w:basedOn w:val="VarsaylanParagrafYazTipi"/>
    <w:link w:val="Balk2"/>
    <w:uiPriority w:val="9"/>
    <w:rsid w:val="0025606B"/>
    <w:rPr>
      <w:rFonts w:ascii="Times New Roman" w:eastAsiaTheme="majorEastAsia" w:hAnsi="Times New Roman" w:cstheme="majorBidi"/>
      <w:b/>
      <w:bCs/>
      <w:szCs w:val="26"/>
      <w:lang w:eastAsia="tr-TR"/>
    </w:rPr>
  </w:style>
  <w:style w:type="paragraph" w:styleId="NormalWeb">
    <w:name w:val="Normal (Web)"/>
    <w:basedOn w:val="Normal"/>
    <w:uiPriority w:val="99"/>
    <w:semiHidden/>
    <w:unhideWhenUsed/>
    <w:rsid w:val="0025606B"/>
    <w:pPr>
      <w:spacing w:before="100" w:beforeAutospacing="1" w:after="100" w:afterAutospacing="1"/>
    </w:pPr>
  </w:style>
  <w:style w:type="paragraph" w:styleId="DipnotMetni">
    <w:name w:val="footnote text"/>
    <w:basedOn w:val="Normal"/>
    <w:link w:val="DipnotMetniChar"/>
    <w:uiPriority w:val="99"/>
    <w:unhideWhenUsed/>
    <w:rsid w:val="0025606B"/>
    <w:rPr>
      <w:rFonts w:asciiTheme="minorHAnsi" w:eastAsiaTheme="minorEastAsia" w:hAnsiTheme="minorHAnsi" w:cstheme="minorBidi"/>
      <w:sz w:val="20"/>
      <w:szCs w:val="20"/>
    </w:rPr>
  </w:style>
  <w:style w:type="character" w:customStyle="1" w:styleId="DipnotMetniChar">
    <w:name w:val="Dipnot Metni Char"/>
    <w:basedOn w:val="VarsaylanParagrafYazTipi"/>
    <w:link w:val="DipnotMetni"/>
    <w:uiPriority w:val="99"/>
    <w:rsid w:val="0025606B"/>
    <w:rPr>
      <w:rFonts w:eastAsiaTheme="minorEastAsia"/>
      <w:sz w:val="20"/>
      <w:szCs w:val="20"/>
      <w:lang w:eastAsia="tr-TR"/>
    </w:rPr>
  </w:style>
  <w:style w:type="character" w:styleId="DipnotBavurusu">
    <w:name w:val="footnote reference"/>
    <w:basedOn w:val="VarsaylanParagrafYazTipi"/>
    <w:uiPriority w:val="99"/>
    <w:semiHidden/>
    <w:unhideWhenUsed/>
    <w:rsid w:val="0025606B"/>
    <w:rPr>
      <w:vertAlign w:val="superscript"/>
    </w:rPr>
  </w:style>
  <w:style w:type="character" w:customStyle="1" w:styleId="pagetitle1">
    <w:name w:val="pagetitle1"/>
    <w:basedOn w:val="VarsaylanParagrafYazTipi"/>
    <w:rsid w:val="0025606B"/>
    <w:rPr>
      <w:rFonts w:ascii="Arial" w:hAnsi="Arial" w:cs="Arial" w:hint="default"/>
      <w:b w:val="0"/>
      <w:bCs w:val="0"/>
      <w:color w:val="000000"/>
      <w:sz w:val="27"/>
      <w:szCs w:val="27"/>
    </w:rPr>
  </w:style>
  <w:style w:type="character" w:customStyle="1" w:styleId="bodycopy1">
    <w:name w:val="bodycopy1"/>
    <w:basedOn w:val="VarsaylanParagrafYazTipi"/>
    <w:rsid w:val="0025606B"/>
    <w:rPr>
      <w:rFonts w:ascii="Verdana" w:hAnsi="Verdana" w:hint="default"/>
      <w:color w:val="000000"/>
      <w:sz w:val="17"/>
      <w:szCs w:val="17"/>
    </w:rPr>
  </w:style>
  <w:style w:type="table" w:styleId="TabloKlavuzu">
    <w:name w:val="Table Grid"/>
    <w:basedOn w:val="NormalTablo"/>
    <w:uiPriority w:val="59"/>
    <w:rsid w:val="0025606B"/>
    <w:pPr>
      <w:spacing w:after="0" w:line="240" w:lineRule="auto"/>
    </w:pPr>
    <w:rPr>
      <w:rFonts w:eastAsiaTheme="minorEastAsia"/>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ralkYokChar">
    <w:name w:val="Aralık Yok Char"/>
    <w:basedOn w:val="VarsaylanParagrafYazTipi"/>
    <w:link w:val="AralkYok"/>
    <w:uiPriority w:val="99"/>
    <w:locked/>
    <w:rsid w:val="0025606B"/>
    <w:rPr>
      <w:rFonts w:ascii="Calibri" w:eastAsia="Times New Roman" w:hAnsi="Calibri" w:cs="Times New Roman"/>
      <w:lang w:val="en-US" w:eastAsia="ar-SA"/>
    </w:rPr>
  </w:style>
  <w:style w:type="character" w:customStyle="1" w:styleId="searchword">
    <w:name w:val="searchword"/>
    <w:basedOn w:val="VarsaylanParagrafYazTipi"/>
    <w:rsid w:val="0025606B"/>
    <w:rPr>
      <w:shd w:val="clear" w:color="auto" w:fill="FFFF00"/>
    </w:rPr>
  </w:style>
  <w:style w:type="table" w:styleId="AkGlgeleme">
    <w:name w:val="Light Shading"/>
    <w:basedOn w:val="NormalTablo"/>
    <w:uiPriority w:val="60"/>
    <w:rsid w:val="00FB5C7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AkGlgeleme-Vurgu1">
    <w:name w:val="Light Shading Accent 1"/>
    <w:basedOn w:val="NormalTablo"/>
    <w:uiPriority w:val="60"/>
    <w:rsid w:val="00FB5C78"/>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B9A"/>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25606B"/>
    <w:pPr>
      <w:keepNext/>
      <w:keepLines/>
      <w:numPr>
        <w:numId w:val="6"/>
      </w:numPr>
      <w:spacing w:before="120" w:after="240" w:line="276" w:lineRule="auto"/>
      <w:ind w:left="357" w:hanging="357"/>
      <w:outlineLvl w:val="0"/>
    </w:pPr>
    <w:rPr>
      <w:rFonts w:eastAsiaTheme="majorEastAsia" w:cstheme="majorBidi"/>
      <w:b/>
      <w:bCs/>
      <w:sz w:val="22"/>
      <w:szCs w:val="28"/>
    </w:rPr>
  </w:style>
  <w:style w:type="paragraph" w:styleId="Balk2">
    <w:name w:val="heading 2"/>
    <w:basedOn w:val="Normal"/>
    <w:next w:val="Normal"/>
    <w:link w:val="Balk2Char"/>
    <w:uiPriority w:val="9"/>
    <w:unhideWhenUsed/>
    <w:qFormat/>
    <w:rsid w:val="0025606B"/>
    <w:pPr>
      <w:keepNext/>
      <w:keepLines/>
      <w:spacing w:before="120" w:after="120" w:line="276" w:lineRule="auto"/>
      <w:outlineLvl w:val="1"/>
    </w:pPr>
    <w:rPr>
      <w:rFonts w:eastAsiaTheme="majorEastAsia" w:cstheme="majorBidi"/>
      <w:b/>
      <w:bCs/>
      <w:sz w:val="22"/>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BA315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Kpr">
    <w:name w:val="Hyperlink"/>
    <w:basedOn w:val="VarsaylanParagrafYazTipi"/>
    <w:uiPriority w:val="99"/>
    <w:unhideWhenUsed/>
    <w:rsid w:val="005C4FF0"/>
    <w:rPr>
      <w:color w:val="0000FF" w:themeColor="hyperlink"/>
      <w:u w:val="single"/>
    </w:rPr>
  </w:style>
  <w:style w:type="character" w:customStyle="1" w:styleId="hps">
    <w:name w:val="hps"/>
    <w:basedOn w:val="VarsaylanParagrafYazTipi"/>
    <w:rsid w:val="00091D80"/>
  </w:style>
  <w:style w:type="paragraph" w:styleId="ListeParagraf">
    <w:name w:val="List Paragraph"/>
    <w:basedOn w:val="Normal"/>
    <w:uiPriority w:val="34"/>
    <w:qFormat/>
    <w:rsid w:val="00F14C0C"/>
    <w:pPr>
      <w:ind w:left="720"/>
      <w:contextualSpacing/>
    </w:pPr>
  </w:style>
  <w:style w:type="character" w:customStyle="1" w:styleId="InternetLink">
    <w:name w:val="Internet Link"/>
    <w:basedOn w:val="VarsaylanParagrafYazTipi"/>
    <w:rsid w:val="00DC0765"/>
    <w:rPr>
      <w:color w:val="0000FF"/>
      <w:u w:val="single"/>
      <w:lang w:val="en-US" w:eastAsia="en-US" w:bidi="en-US"/>
    </w:rPr>
  </w:style>
  <w:style w:type="paragraph" w:styleId="AralkYok">
    <w:name w:val="No Spacing"/>
    <w:link w:val="AralkYokChar"/>
    <w:uiPriority w:val="99"/>
    <w:qFormat/>
    <w:rsid w:val="00DC0765"/>
    <w:pPr>
      <w:suppressAutoHyphens/>
      <w:spacing w:after="0" w:line="100" w:lineRule="atLeast"/>
    </w:pPr>
    <w:rPr>
      <w:rFonts w:ascii="Calibri" w:eastAsia="Times New Roman" w:hAnsi="Calibri" w:cs="Times New Roman"/>
      <w:lang w:val="en-US" w:eastAsia="ar-SA"/>
    </w:rPr>
  </w:style>
  <w:style w:type="paragraph" w:styleId="KonuBal">
    <w:name w:val="Title"/>
    <w:basedOn w:val="Normal"/>
    <w:next w:val="Normal"/>
    <w:link w:val="KonuBalChar"/>
    <w:uiPriority w:val="10"/>
    <w:qFormat/>
    <w:rsid w:val="00DC0765"/>
    <w:pPr>
      <w:pBdr>
        <w:bottom w:val="single" w:sz="8" w:space="4" w:color="4F81BD" w:themeColor="accent1"/>
      </w:pBdr>
      <w:suppressAutoHyphens/>
      <w:spacing w:after="300"/>
      <w:contextualSpacing/>
    </w:pPr>
    <w:rPr>
      <w:rFonts w:asciiTheme="majorHAnsi" w:eastAsiaTheme="majorEastAsia" w:hAnsiTheme="majorHAnsi" w:cstheme="majorBidi"/>
      <w:color w:val="17365D" w:themeColor="text2" w:themeShade="BF"/>
      <w:spacing w:val="5"/>
      <w:kern w:val="28"/>
      <w:sz w:val="52"/>
      <w:szCs w:val="52"/>
      <w:lang w:val="fr-CA" w:eastAsia="ar-SA"/>
    </w:rPr>
  </w:style>
  <w:style w:type="character" w:customStyle="1" w:styleId="KonuBalChar">
    <w:name w:val="Konu Başlığı Char"/>
    <w:basedOn w:val="VarsaylanParagrafYazTipi"/>
    <w:link w:val="KonuBal"/>
    <w:uiPriority w:val="10"/>
    <w:rsid w:val="00DC0765"/>
    <w:rPr>
      <w:rFonts w:asciiTheme="majorHAnsi" w:eastAsiaTheme="majorEastAsia" w:hAnsiTheme="majorHAnsi" w:cstheme="majorBidi"/>
      <w:color w:val="17365D" w:themeColor="text2" w:themeShade="BF"/>
      <w:spacing w:val="5"/>
      <w:kern w:val="28"/>
      <w:sz w:val="52"/>
      <w:szCs w:val="52"/>
      <w:lang w:val="fr-CA" w:eastAsia="ar-SA"/>
    </w:rPr>
  </w:style>
  <w:style w:type="paragraph" w:styleId="stbilgi">
    <w:name w:val="header"/>
    <w:basedOn w:val="Normal"/>
    <w:link w:val="stbilgiChar"/>
    <w:uiPriority w:val="99"/>
    <w:unhideWhenUsed/>
    <w:rsid w:val="00446838"/>
    <w:pPr>
      <w:tabs>
        <w:tab w:val="center" w:pos="4703"/>
        <w:tab w:val="right" w:pos="9406"/>
      </w:tabs>
    </w:pPr>
  </w:style>
  <w:style w:type="character" w:customStyle="1" w:styleId="stbilgiChar">
    <w:name w:val="Üstbilgi Char"/>
    <w:basedOn w:val="VarsaylanParagrafYazTipi"/>
    <w:link w:val="stbilgi"/>
    <w:uiPriority w:val="99"/>
    <w:rsid w:val="00446838"/>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446838"/>
    <w:pPr>
      <w:tabs>
        <w:tab w:val="center" w:pos="4703"/>
        <w:tab w:val="right" w:pos="9406"/>
      </w:tabs>
    </w:pPr>
  </w:style>
  <w:style w:type="character" w:customStyle="1" w:styleId="AltbilgiChar">
    <w:name w:val="Altbilgi Char"/>
    <w:basedOn w:val="VarsaylanParagrafYazTipi"/>
    <w:link w:val="Altbilgi"/>
    <w:uiPriority w:val="99"/>
    <w:rsid w:val="00446838"/>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446838"/>
    <w:rPr>
      <w:rFonts w:ascii="Tahoma" w:hAnsi="Tahoma" w:cs="Tahoma"/>
      <w:sz w:val="16"/>
      <w:szCs w:val="16"/>
    </w:rPr>
  </w:style>
  <w:style w:type="character" w:customStyle="1" w:styleId="BalonMetniChar">
    <w:name w:val="Balon Metni Char"/>
    <w:basedOn w:val="VarsaylanParagrafYazTipi"/>
    <w:link w:val="BalonMetni"/>
    <w:uiPriority w:val="99"/>
    <w:semiHidden/>
    <w:rsid w:val="00446838"/>
    <w:rPr>
      <w:rFonts w:ascii="Tahoma" w:eastAsia="Times New Roman" w:hAnsi="Tahoma" w:cs="Tahoma"/>
      <w:sz w:val="16"/>
      <w:szCs w:val="16"/>
      <w:lang w:eastAsia="tr-TR"/>
    </w:rPr>
  </w:style>
  <w:style w:type="paragraph" w:customStyle="1" w:styleId="DE7B8801F2B1483F98D539CC92927118">
    <w:name w:val="DE7B8801F2B1483F98D539CC92927118"/>
    <w:rsid w:val="00446838"/>
    <w:rPr>
      <w:rFonts w:eastAsiaTheme="minorEastAsia"/>
      <w:lang w:val="en-US" w:eastAsia="ja-JP"/>
    </w:rPr>
  </w:style>
  <w:style w:type="character" w:customStyle="1" w:styleId="Balk1Char">
    <w:name w:val="Başlık 1 Char"/>
    <w:basedOn w:val="VarsaylanParagrafYazTipi"/>
    <w:link w:val="Balk1"/>
    <w:uiPriority w:val="9"/>
    <w:rsid w:val="0025606B"/>
    <w:rPr>
      <w:rFonts w:ascii="Times New Roman" w:eastAsiaTheme="majorEastAsia" w:hAnsi="Times New Roman" w:cstheme="majorBidi"/>
      <w:b/>
      <w:bCs/>
      <w:szCs w:val="28"/>
      <w:lang w:eastAsia="tr-TR"/>
    </w:rPr>
  </w:style>
  <w:style w:type="character" w:customStyle="1" w:styleId="Balk2Char">
    <w:name w:val="Başlık 2 Char"/>
    <w:basedOn w:val="VarsaylanParagrafYazTipi"/>
    <w:link w:val="Balk2"/>
    <w:uiPriority w:val="9"/>
    <w:rsid w:val="0025606B"/>
    <w:rPr>
      <w:rFonts w:ascii="Times New Roman" w:eastAsiaTheme="majorEastAsia" w:hAnsi="Times New Roman" w:cstheme="majorBidi"/>
      <w:b/>
      <w:bCs/>
      <w:szCs w:val="26"/>
      <w:lang w:eastAsia="tr-TR"/>
    </w:rPr>
  </w:style>
  <w:style w:type="paragraph" w:styleId="NormalWeb">
    <w:name w:val="Normal (Web)"/>
    <w:basedOn w:val="Normal"/>
    <w:uiPriority w:val="99"/>
    <w:semiHidden/>
    <w:unhideWhenUsed/>
    <w:rsid w:val="0025606B"/>
    <w:pPr>
      <w:spacing w:before="100" w:beforeAutospacing="1" w:after="100" w:afterAutospacing="1"/>
    </w:pPr>
  </w:style>
  <w:style w:type="paragraph" w:styleId="DipnotMetni">
    <w:name w:val="footnote text"/>
    <w:basedOn w:val="Normal"/>
    <w:link w:val="DipnotMetniChar"/>
    <w:uiPriority w:val="99"/>
    <w:unhideWhenUsed/>
    <w:rsid w:val="0025606B"/>
    <w:rPr>
      <w:rFonts w:asciiTheme="minorHAnsi" w:eastAsiaTheme="minorEastAsia" w:hAnsiTheme="minorHAnsi" w:cstheme="minorBidi"/>
      <w:sz w:val="20"/>
      <w:szCs w:val="20"/>
    </w:rPr>
  </w:style>
  <w:style w:type="character" w:customStyle="1" w:styleId="DipnotMetniChar">
    <w:name w:val="Dipnot Metni Char"/>
    <w:basedOn w:val="VarsaylanParagrafYazTipi"/>
    <w:link w:val="DipnotMetni"/>
    <w:uiPriority w:val="99"/>
    <w:rsid w:val="0025606B"/>
    <w:rPr>
      <w:rFonts w:eastAsiaTheme="minorEastAsia"/>
      <w:sz w:val="20"/>
      <w:szCs w:val="20"/>
      <w:lang w:eastAsia="tr-TR"/>
    </w:rPr>
  </w:style>
  <w:style w:type="character" w:styleId="DipnotBavurusu">
    <w:name w:val="footnote reference"/>
    <w:basedOn w:val="VarsaylanParagrafYazTipi"/>
    <w:uiPriority w:val="99"/>
    <w:semiHidden/>
    <w:unhideWhenUsed/>
    <w:rsid w:val="0025606B"/>
    <w:rPr>
      <w:vertAlign w:val="superscript"/>
    </w:rPr>
  </w:style>
  <w:style w:type="character" w:customStyle="1" w:styleId="pagetitle1">
    <w:name w:val="pagetitle1"/>
    <w:basedOn w:val="VarsaylanParagrafYazTipi"/>
    <w:rsid w:val="0025606B"/>
    <w:rPr>
      <w:rFonts w:ascii="Arial" w:hAnsi="Arial" w:cs="Arial" w:hint="default"/>
      <w:b w:val="0"/>
      <w:bCs w:val="0"/>
      <w:color w:val="000000"/>
      <w:sz w:val="27"/>
      <w:szCs w:val="27"/>
    </w:rPr>
  </w:style>
  <w:style w:type="character" w:customStyle="1" w:styleId="bodycopy1">
    <w:name w:val="bodycopy1"/>
    <w:basedOn w:val="VarsaylanParagrafYazTipi"/>
    <w:rsid w:val="0025606B"/>
    <w:rPr>
      <w:rFonts w:ascii="Verdana" w:hAnsi="Verdana" w:hint="default"/>
      <w:color w:val="000000"/>
      <w:sz w:val="17"/>
      <w:szCs w:val="17"/>
    </w:rPr>
  </w:style>
  <w:style w:type="table" w:styleId="TabloKlavuzu">
    <w:name w:val="Table Grid"/>
    <w:basedOn w:val="NormalTablo"/>
    <w:uiPriority w:val="59"/>
    <w:rsid w:val="0025606B"/>
    <w:pPr>
      <w:spacing w:after="0" w:line="240" w:lineRule="auto"/>
    </w:pPr>
    <w:rPr>
      <w:rFonts w:eastAsiaTheme="minorEastAsia"/>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ralkYokChar">
    <w:name w:val="Aralık Yok Char"/>
    <w:basedOn w:val="VarsaylanParagrafYazTipi"/>
    <w:link w:val="AralkYok"/>
    <w:uiPriority w:val="99"/>
    <w:locked/>
    <w:rsid w:val="0025606B"/>
    <w:rPr>
      <w:rFonts w:ascii="Calibri" w:eastAsia="Times New Roman" w:hAnsi="Calibri" w:cs="Times New Roman"/>
      <w:lang w:val="en-US" w:eastAsia="ar-SA"/>
    </w:rPr>
  </w:style>
  <w:style w:type="character" w:customStyle="1" w:styleId="searchword">
    <w:name w:val="searchword"/>
    <w:basedOn w:val="VarsaylanParagrafYazTipi"/>
    <w:rsid w:val="0025606B"/>
    <w:rPr>
      <w:shd w:val="clear" w:color="auto" w:fill="FFFF00"/>
    </w:rPr>
  </w:style>
  <w:style w:type="table" w:styleId="AkGlgeleme">
    <w:name w:val="Light Shading"/>
    <w:basedOn w:val="NormalTablo"/>
    <w:uiPriority w:val="60"/>
    <w:rsid w:val="00FB5C7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AkGlgeleme-Vurgu1">
    <w:name w:val="Light Shading Accent 1"/>
    <w:basedOn w:val="NormalTablo"/>
    <w:uiPriority w:val="60"/>
    <w:rsid w:val="00FB5C78"/>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itpress.mit.edu/catalog/author/default.asp?aid=33130" TargetMode="External"/><Relationship Id="rId13" Type="http://schemas.openxmlformats.org/officeDocument/2006/relationships/hyperlink" Target="http://papers.ssrn.com/sol3/papers.cfm?abstract_id=2190408"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papers.ssrn.com/sol3/cf_dev/AbsByAuth.cfm?per_id=1689892" TargetMode="External"/><Relationship Id="rId17" Type="http://schemas.openxmlformats.org/officeDocument/2006/relationships/package" Target="embeddings/Microsoft_Excel__al__ma_Sayfas_1.xlsx"/><Relationship Id="rId2" Type="http://schemas.openxmlformats.org/officeDocument/2006/relationships/styles" Target="styles.xml"/><Relationship Id="rId16" Type="http://schemas.openxmlformats.org/officeDocument/2006/relationships/image" Target="media/image1.em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papers.ssrn.com/sol3/cf_dev/AbsByAuth.cfm?per_id=1689886" TargetMode="External"/><Relationship Id="rId5" Type="http://schemas.openxmlformats.org/officeDocument/2006/relationships/webSettings" Target="webSettings.xml"/><Relationship Id="rId15" Type="http://schemas.openxmlformats.org/officeDocument/2006/relationships/hyperlink" Target="http://mitpress.mit.edu/catalog/author/default.asp?aid=33130" TargetMode="External"/><Relationship Id="rId10" Type="http://schemas.openxmlformats.org/officeDocument/2006/relationships/hyperlink" Target="http://en.wikipedia.org/wiki/Volatility_(finance)"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ber.org/people/francis_longstaff" TargetMode="External"/><Relationship Id="rId14" Type="http://schemas.openxmlformats.org/officeDocument/2006/relationships/hyperlink" Target="http://mitpress.mit.edu/catalog/author/default.asp?aid=4493"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9290</Words>
  <Characters>52957</Characters>
  <Application>Microsoft Office Word</Application>
  <DocSecurity>0</DocSecurity>
  <Lines>441</Lines>
  <Paragraphs>124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International Conference on Economic and Social Studies, 10-11 May, 2013, International Burch University, Sarajevo</vt:lpstr>
      <vt:lpstr/>
    </vt:vector>
  </TitlesOfParts>
  <Company>Prestij Bilgisayar</Company>
  <LinksUpToDate>false</LinksUpToDate>
  <CharactersWithSpaces>62123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Conference on Economic and Social Studies, 10-11 May, 2013, International Burch University, Sarajevo</dc:title>
  <dc:creator>SEFA</dc:creator>
  <cp:lastModifiedBy>ISSD</cp:lastModifiedBy>
  <cp:revision>3</cp:revision>
  <dcterms:created xsi:type="dcterms:W3CDTF">2013-07-11T09:31:00Z</dcterms:created>
  <dcterms:modified xsi:type="dcterms:W3CDTF">2013-07-15T11:32:00Z</dcterms:modified>
</cp:coreProperties>
</file>