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415616" w:rsidRPr="00415616" w:rsidRDefault="00415616" w:rsidP="00415616">
      <w:pPr>
        <w:spacing w:after="0" w:line="240" w:lineRule="auto"/>
        <w:jc w:val="center"/>
        <w:rPr>
          <w:rFonts w:ascii="Adobe Garamond Pro" w:hAnsi="Adobe Garamond Pro" w:cs="Times New Roman"/>
          <w:b/>
          <w:sz w:val="28"/>
          <w:szCs w:val="28"/>
        </w:rPr>
      </w:pPr>
      <w:r w:rsidRPr="00415616">
        <w:rPr>
          <w:rFonts w:ascii="Adobe Garamond Pro" w:hAnsi="Adobe Garamond Pro" w:cs="Times New Roman"/>
          <w:b/>
          <w:sz w:val="28"/>
          <w:szCs w:val="28"/>
        </w:rPr>
        <w:t xml:space="preserve">IUS commune i </w:t>
      </w:r>
      <w:r>
        <w:rPr>
          <w:rFonts w:ascii="Adobe Garamond Pro" w:hAnsi="Adobe Garamond Pro" w:cs="Times New Roman"/>
          <w:b/>
          <w:sz w:val="28"/>
          <w:szCs w:val="28"/>
        </w:rPr>
        <w:t>e</w:t>
      </w:r>
      <w:r w:rsidRPr="00415616">
        <w:rPr>
          <w:rFonts w:ascii="Adobe Garamond Pro" w:hAnsi="Adobe Garamond Pro" w:cs="Times New Roman"/>
          <w:b/>
          <w:sz w:val="28"/>
          <w:szCs w:val="28"/>
        </w:rPr>
        <w:t>uropeizacija bosanskohercegovačkog prava</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Prof.dr.</w:t>
      </w:r>
      <w:r w:rsidR="00415616">
        <w:rPr>
          <w:rFonts w:ascii="Adobe Garamond Pro" w:hAnsi="Adobe Garamond Pro"/>
          <w:b/>
        </w:rPr>
        <w:t>sc.</w:t>
      </w:r>
      <w:r w:rsidRPr="00BD0D1C">
        <w:rPr>
          <w:rFonts w:ascii="Adobe Garamond Pro" w:hAnsi="Adobe Garamond Pro"/>
          <w:b/>
        </w:rPr>
        <w:t xml:space="preserve"> </w:t>
      </w:r>
      <w:r w:rsidR="00415616">
        <w:rPr>
          <w:rFonts w:ascii="Adobe Garamond Pro" w:hAnsi="Adobe Garamond Pro"/>
          <w:b/>
        </w:rPr>
        <w:t>Marko Petrak</w:t>
      </w:r>
      <w:r w:rsidRPr="00BD0D1C">
        <w:rPr>
          <w:rFonts w:ascii="Adobe Garamond Pro" w:eastAsia="Times New Roman" w:hAnsi="Adobe Garamond Pro" w:cs="Garamond"/>
          <w:b/>
          <w:color w:val="000000"/>
          <w:lang w:val="bs-Latn-BA"/>
        </w:rPr>
        <w:t xml:space="preserve"> </w:t>
      </w:r>
    </w:p>
    <w:p w:rsidR="00415616" w:rsidRPr="00415616" w:rsidRDefault="00415616" w:rsidP="002D2430">
      <w:pPr>
        <w:pStyle w:val="NoSpacing"/>
        <w:jc w:val="center"/>
        <w:rPr>
          <w:rFonts w:ascii="Adobe Garamond Pro" w:eastAsia="Times New Roman" w:hAnsi="Adobe Garamond Pro" w:cs="Garamond"/>
          <w:i/>
          <w:color w:val="000000"/>
          <w:lang w:val="bs-Latn-BA"/>
        </w:rPr>
      </w:pPr>
      <w:r w:rsidRPr="00415616">
        <w:rPr>
          <w:rFonts w:ascii="Adobe Garamond Pro" w:hAnsi="Adobe Garamond Pro"/>
        </w:rPr>
        <w:t>Katedra za rimsko pravo, Pravni fakultet Sveučilišta u Zagrebu</w:t>
      </w:r>
      <w:r w:rsidRPr="00415616">
        <w:rPr>
          <w:rFonts w:ascii="Adobe Garamond Pro" w:eastAsia="Times New Roman" w:hAnsi="Adobe Garamond Pro" w:cs="Garamond"/>
          <w:i/>
          <w:color w:val="000000"/>
          <w:lang w:val="bs-Latn-BA"/>
        </w:rPr>
        <w:t xml:space="preserve"> </w:t>
      </w:r>
    </w:p>
    <w:p w:rsidR="002D2430" w:rsidRPr="00415616" w:rsidRDefault="002D2430" w:rsidP="002D2430">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sidR="00415616" w:rsidRPr="00415616">
        <w:rPr>
          <w:rFonts w:ascii="Adobe Garamond Pro" w:hAnsi="Adobe Garamond Pro"/>
          <w:i/>
        </w:rPr>
        <w:t>marko.petrak@pravo.hr</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DE1F81" w:rsidP="002D2430">
      <w:pPr>
        <w:pStyle w:val="NoSpacing"/>
        <w:jc w:val="both"/>
        <w:rPr>
          <w:rFonts w:ascii="Adobe Garamond Pro" w:eastAsia="Times New Roman" w:hAnsi="Adobe Garamond Pro" w:cs="Garamond"/>
          <w:b/>
          <w:color w:val="000000"/>
          <w:lang w:val="bs-Latn-BA"/>
        </w:rPr>
      </w:pPr>
      <w:r w:rsidRPr="00DE1F81">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212.95pt;z-index:251657216;mso-width-relative:margin;mso-height-relative:margin" filled="f" stroked="f">
            <v:textbox style="mso-next-textbox:#_x0000_s1030">
              <w:txbxContent>
                <w:p w:rsidR="00FF280B" w:rsidRPr="00BD0D1C" w:rsidRDefault="00BD0D1C" w:rsidP="00415616">
                  <w:pPr>
                    <w:spacing w:after="0" w:line="240" w:lineRule="auto"/>
                    <w:jc w:val="both"/>
                    <w:rPr>
                      <w:rFonts w:ascii="Adobe Garamond Pro" w:hAnsi="Adobe Garamond Pro"/>
                      <w:i/>
                      <w:sz w:val="20"/>
                      <w:szCs w:val="20"/>
                    </w:rPr>
                  </w:pPr>
                  <w:r w:rsidRPr="00BD0D1C">
                    <w:rPr>
                      <w:rFonts w:ascii="Adobe Garamond Pro" w:hAnsi="Adobe Garamond Pro" w:cs="Times New Roman"/>
                      <w:b/>
                      <w:i/>
                      <w:sz w:val="20"/>
                      <w:szCs w:val="20"/>
                      <w:lang w:val="hr-BA"/>
                    </w:rPr>
                    <w:t>Sažetak</w:t>
                  </w:r>
                  <w:r w:rsidR="00FF280B" w:rsidRPr="00BD0D1C">
                    <w:rPr>
                      <w:rFonts w:ascii="Adobe Garamond Pro" w:hAnsi="Adobe Garamond Pro" w:cs="Times New Roman"/>
                      <w:b/>
                      <w:i/>
                      <w:sz w:val="20"/>
                      <w:szCs w:val="20"/>
                      <w:lang w:val="hr-BA"/>
                    </w:rPr>
                    <w:t xml:space="preserve">: </w:t>
                  </w:r>
                  <w:r w:rsidR="00415616" w:rsidRPr="00415616">
                    <w:rPr>
                      <w:rFonts w:ascii="Adobe Garamond Pro" w:hAnsi="Adobe Garamond Pro" w:cs="Times New Roman"/>
                      <w:i/>
                      <w:sz w:val="20"/>
                      <w:szCs w:val="20"/>
                    </w:rPr>
                    <w:t>Svrha rada jest analizirati značenje pravila općeg prava (</w:t>
                  </w:r>
                  <w:r w:rsidR="00415616" w:rsidRPr="00415616">
                    <w:rPr>
                      <w:rFonts w:ascii="Adobe Garamond Pro" w:hAnsi="Adobe Garamond Pro" w:cs="Times New Roman"/>
                      <w:i/>
                      <w:iCs/>
                      <w:sz w:val="20"/>
                      <w:szCs w:val="20"/>
                    </w:rPr>
                    <w:t>ius commune)</w:t>
                  </w:r>
                  <w:r w:rsidR="00415616" w:rsidRPr="00415616">
                    <w:rPr>
                      <w:rFonts w:ascii="Adobe Garamond Pro" w:hAnsi="Adobe Garamond Pro" w:cs="Times New Roman"/>
                      <w:i/>
                      <w:sz w:val="20"/>
                      <w:szCs w:val="20"/>
                    </w:rPr>
                    <w:t xml:space="preserve"> u obliku latinskih pravnih izreka (regulae iuris) u suvremenom bosanskohercegovačkom pravnom sistemu, kao i moguću ulogu tih pravila u europeizaciji tog nacionalnog prava. U prvom dijelu rada, autor prije svega istražuje uporabu pravila općeg prava u bosanskohercegovačkoj pravnoj praksi, posebice Ustavnog suda Bosne i Hercegovine. Potom se analizira značenje pravila općeg prava kao važećeg normativnog sadržaja u </w:t>
                  </w:r>
                  <w:r w:rsidR="00415616" w:rsidRPr="00415616">
                    <w:rPr>
                      <w:rFonts w:ascii="Adobe Garamond Pro" w:hAnsi="Adobe Garamond Pro" w:cs="Times New Roman"/>
                      <w:i/>
                      <w:iCs/>
                      <w:sz w:val="20"/>
                      <w:szCs w:val="20"/>
                    </w:rPr>
                    <w:t>okvirima suvremenog bosanskohercegovačkog pravnog sustava</w:t>
                  </w:r>
                  <w:r w:rsidR="00415616" w:rsidRPr="00415616">
                    <w:rPr>
                      <w:rFonts w:ascii="Adobe Garamond Pro" w:hAnsi="Adobe Garamond Pro" w:cs="Times New Roman"/>
                      <w:i/>
                      <w:sz w:val="20"/>
                      <w:szCs w:val="20"/>
                    </w:rPr>
                    <w:t>. Na temelju provedene analize, u zaključnom dijelu rada, autor nastoji odgovoriti na pitanje može li intenzivnija primjena onih pravila općeg prava koja u sebi sadrže pravna načela zajednička gotovo svim europskim pravnim sustavima pridonijeti daljnjoj europeizaciji suvremenog bosanskohercegovačkog prava.</w:t>
                  </w:r>
                </w:p>
              </w:txbxContent>
            </v:textbox>
          </v:shape>
        </w:pict>
      </w:r>
      <w:r w:rsidRPr="00DE1F81">
        <w:rPr>
          <w:rFonts w:ascii="Adobe Garamond Pro" w:hAnsi="Adobe Garamond Pro"/>
          <w:i/>
          <w:noProof/>
          <w:lang w:val="bs-Latn-BA" w:eastAsia="bs-Latn-BA"/>
        </w:rPr>
        <w:pict>
          <v:rect id="_x0000_s1035" style="position:absolute;left:0;text-align:left;margin-left:-107.2pt;margin-top:4.2pt;width:340.6pt;height:219.2pt;z-index:-251658240" fillcolor="#f2f2f2 [3052]" stroked="f"/>
        </w:pict>
      </w:r>
      <w:r w:rsidRPr="00DE1F81">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415616" w:rsidRPr="00415616" w:rsidRDefault="00415616" w:rsidP="00415616">
                  <w:pPr>
                    <w:rPr>
                      <w:rFonts w:ascii="Adobe Garamond Pro" w:hAnsi="Adobe Garamond Pro" w:cs="Times New Roman"/>
                      <w:i/>
                      <w:sz w:val="20"/>
                      <w:szCs w:val="20"/>
                    </w:rPr>
                  </w:pPr>
                  <w:r w:rsidRPr="00415616">
                    <w:rPr>
                      <w:rFonts w:ascii="Adobe Garamond Pro" w:hAnsi="Adobe Garamond Pro" w:cs="Times New Roman"/>
                      <w:b/>
                      <w:i/>
                      <w:sz w:val="20"/>
                      <w:szCs w:val="20"/>
                    </w:rPr>
                    <w:t>Ključne riječi:</w:t>
                  </w:r>
                  <w:r w:rsidRPr="00415616">
                    <w:rPr>
                      <w:rFonts w:ascii="Adobe Garamond Pro" w:hAnsi="Adobe Garamond Pro" w:cs="Times New Roman"/>
                      <w:i/>
                      <w:sz w:val="20"/>
                      <w:szCs w:val="20"/>
                    </w:rPr>
                    <w:t xml:space="preserve"> ius commune, Bosna i Hercegovina, europeizacija</w:t>
                  </w:r>
                </w:p>
                <w:p w:rsidR="00FF280B" w:rsidRPr="00415616" w:rsidRDefault="00FF280B" w:rsidP="00415616">
                  <w:pPr>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4B6972" w:rsidRPr="003D101F" w:rsidRDefault="002D2430" w:rsidP="004B6972">
      <w:pPr>
        <w:spacing w:after="0" w:line="240" w:lineRule="auto"/>
        <w:jc w:val="both"/>
        <w:rPr>
          <w:rFonts w:ascii="Adobe Garamond Pro" w:hAnsi="Adobe Garamond Pro" w:cs="Times New Roman"/>
          <w:b/>
        </w:rPr>
      </w:pPr>
      <w:r w:rsidRPr="004B6972">
        <w:rPr>
          <w:rFonts w:ascii="Adobe Garamond Pro" w:hAnsi="Adobe Garamond Pro" w:cs="Times New Roman"/>
          <w:sz w:val="24"/>
          <w:szCs w:val="24"/>
          <w:lang w:val="bs-Latn-BA"/>
        </w:rPr>
        <w:br w:type="page"/>
      </w:r>
      <w:r w:rsidR="004B6972" w:rsidRPr="003D101F">
        <w:rPr>
          <w:rFonts w:ascii="Adobe Garamond Pro" w:hAnsi="Adobe Garamond Pro" w:cs="Times New Roman"/>
          <w:b/>
        </w:rPr>
        <w:lastRenderedPageBreak/>
        <w:t>UVOD</w:t>
      </w:r>
    </w:p>
    <w:p w:rsidR="004B6972" w:rsidRPr="003D101F" w:rsidRDefault="004B6972" w:rsidP="004B6972">
      <w:pPr>
        <w:spacing w:after="0" w:line="240" w:lineRule="auto"/>
        <w:jc w:val="both"/>
        <w:rPr>
          <w:rFonts w:ascii="Adobe Garamond Pro" w:hAnsi="Adobe Garamond Pro" w:cs="Times New Roman"/>
          <w:b/>
          <w:sz w:val="20"/>
          <w:szCs w:val="20"/>
        </w:rPr>
      </w:pPr>
    </w:p>
    <w:p w:rsidR="004B6972" w:rsidRPr="003D101F" w:rsidRDefault="004B6972" w:rsidP="004B6972">
      <w:pPr>
        <w:spacing w:after="0" w:line="240" w:lineRule="auto"/>
        <w:jc w:val="both"/>
        <w:rPr>
          <w:rFonts w:ascii="Adobe Garamond Pro" w:hAnsi="Adobe Garamond Pro" w:cs="Times New Roman"/>
          <w:sz w:val="20"/>
          <w:szCs w:val="20"/>
        </w:rPr>
      </w:pPr>
      <w:r w:rsidRPr="003D101F">
        <w:rPr>
          <w:rFonts w:ascii="Adobe Garamond Pro" w:hAnsi="Adobe Garamond Pro" w:cs="Times New Roman"/>
          <w:sz w:val="20"/>
          <w:szCs w:val="20"/>
        </w:rPr>
        <w:tab/>
        <w:t>Pravni sustav po svojoj naravi teži određenoj stalnosti pravnih normi i ostalih pravnih fenomena. Na toj se stalnosti zasniva pravni kontinuitet kao temelj jedne od stožernih vrednota pravnog sustava: pravne sigurnosti. Dugotrajni pravni kontinuitet stvara pravnu tradiciju. Pojedine velike svjetske pravne tradicije stare su tisućljećima te s nesmanjenom vitalnošću traju i danas, razvijajući svoju vlastitost u skladu s potrebama vremena. Štoviše, pojedini suvremeni pravni sustavi uzdižu pravnu tradiciju na razinu formalnog izvora prava. U europskim razmjerima, najvažnija takva tradicija jest nedvojbeno rimska pravna tradicija, koja – posebice u području privatnog prava- traje u svojim različitim oblicima već više od dva i po tisućljeća.</w:t>
      </w:r>
    </w:p>
    <w:p w:rsidR="00620829" w:rsidRPr="003D101F" w:rsidRDefault="00620829" w:rsidP="004B6972">
      <w:pPr>
        <w:spacing w:after="0" w:line="240" w:lineRule="auto"/>
        <w:jc w:val="both"/>
        <w:rPr>
          <w:rFonts w:ascii="Adobe Garamond Pro" w:hAnsi="Adobe Garamond Pro" w:cs="Times New Roman"/>
          <w:sz w:val="20"/>
          <w:szCs w:val="20"/>
        </w:rPr>
      </w:pPr>
    </w:p>
    <w:p w:rsidR="004B6972" w:rsidRPr="003D101F" w:rsidRDefault="004B6972" w:rsidP="004B6972">
      <w:pPr>
        <w:spacing w:after="0" w:line="240" w:lineRule="auto"/>
        <w:ind w:firstLine="708"/>
        <w:jc w:val="both"/>
        <w:rPr>
          <w:rFonts w:ascii="Adobe Garamond Pro" w:hAnsi="Adobe Garamond Pro" w:cs="Times New Roman"/>
          <w:sz w:val="20"/>
          <w:szCs w:val="20"/>
        </w:rPr>
      </w:pPr>
      <w:r w:rsidRPr="003D101F">
        <w:rPr>
          <w:rFonts w:ascii="Adobe Garamond Pro" w:hAnsi="Adobe Garamond Pro" w:cs="Times New Roman"/>
          <w:sz w:val="20"/>
          <w:szCs w:val="20"/>
        </w:rPr>
        <w:t xml:space="preserve">Najvažniji izdanak rimske pravne tradicije, u kontekstu stvaranja jedinstvenog europskog pravnog prostora, jest nedvojbeno </w:t>
      </w:r>
      <w:r w:rsidRPr="003D101F">
        <w:rPr>
          <w:rFonts w:ascii="Adobe Garamond Pro" w:hAnsi="Adobe Garamond Pro" w:cs="Times New Roman"/>
          <w:i/>
          <w:sz w:val="20"/>
          <w:szCs w:val="20"/>
        </w:rPr>
        <w:t xml:space="preserve">ius commune </w:t>
      </w:r>
      <w:r w:rsidRPr="003D101F">
        <w:rPr>
          <w:rFonts w:ascii="Adobe Garamond Pro" w:hAnsi="Adobe Garamond Pro" w:cs="Times New Roman"/>
          <w:sz w:val="20"/>
          <w:szCs w:val="20"/>
        </w:rPr>
        <w:t xml:space="preserve">– opće pravo. Kako je poznato, pojam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označava pravni sustav koji je vrijedio u gotovo čitavoj Europi u srednjovjekovnom i ranom novovjekovnom razdoblju. Taj je sustav oblikovan recepcijom rimskog prava, tj. procesom postupnog preuzimanja pravila rimskog prava sadržanog u Justinijanovoj kodifikaciji (</w:t>
      </w:r>
      <w:r w:rsidRPr="003D101F">
        <w:rPr>
          <w:rFonts w:ascii="Adobe Garamond Pro" w:hAnsi="Adobe Garamond Pro" w:cs="Times New Roman"/>
          <w:i/>
          <w:sz w:val="20"/>
          <w:szCs w:val="20"/>
        </w:rPr>
        <w:t>Corpus iuris civilis</w:t>
      </w:r>
      <w:r w:rsidRPr="003D101F">
        <w:rPr>
          <w:rFonts w:ascii="Adobe Garamond Pro" w:hAnsi="Adobe Garamond Pro" w:cs="Times New Roman"/>
          <w:sz w:val="20"/>
          <w:szCs w:val="20"/>
        </w:rPr>
        <w:t>) kao pozitivnog prava, uz prilagodbu tih pravila potrebama života i pravne prakse navednih razdoblja te njihovog povezivanja s pojedinim elementima kanonskog prava i običajnih prava</w:t>
      </w:r>
      <w:r w:rsidRPr="003D101F">
        <w:rPr>
          <w:rStyle w:val="FootnoteReference"/>
          <w:rFonts w:ascii="Adobe Garamond Pro" w:hAnsi="Adobe Garamond Pro"/>
          <w:sz w:val="20"/>
          <w:szCs w:val="20"/>
        </w:rPr>
        <w:footnoteReference w:id="2"/>
      </w:r>
      <w:r w:rsidRPr="003D101F">
        <w:rPr>
          <w:rFonts w:ascii="Adobe Garamond Pro" w:hAnsi="Adobe Garamond Pro" w:cs="Times New Roman"/>
          <w:sz w:val="20"/>
          <w:szCs w:val="20"/>
        </w:rPr>
        <w:t xml:space="preserve">. Premda je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nakon stoljeća kontinuirana važenja, prestalo biti formalnim izvorom prava u većini europskih država donošenjem modernih građanskih zakonika u 19 i 20 st., navedeni zakonici su, u svojoj biti, zapravo predstavljali različite kodifikacije recipiranog rimskog prava, tj. nacionalne varijacije jedne te iste europske teme. Time je rimska pravna tradicija sa njome pripadnim načelima, institutima i rješenjima nastavila u tim kodificiranim oblicima presudno djelovati na svekoliki europski pravni razvoj do današnjih dana</w:t>
      </w:r>
      <w:r w:rsidRPr="003D101F">
        <w:rPr>
          <w:rStyle w:val="FootnoteReference"/>
          <w:rFonts w:ascii="Adobe Garamond Pro" w:hAnsi="Adobe Garamond Pro"/>
          <w:sz w:val="20"/>
          <w:szCs w:val="20"/>
        </w:rPr>
        <w:footnoteReference w:id="3"/>
      </w:r>
      <w:r w:rsidRPr="003D101F">
        <w:rPr>
          <w:rFonts w:ascii="Adobe Garamond Pro" w:hAnsi="Adobe Garamond Pro" w:cs="Times New Roman"/>
          <w:sz w:val="20"/>
          <w:szCs w:val="20"/>
        </w:rPr>
        <w:t xml:space="preserve">, uspješno se odupirući različitim revolucionarnim pokušajima raskida sa postojećim pravnim kontinuitetom. Štoviše, potrebno je istaknuti da je upravo u razdoblju dominacije kodifikatorske ideje, tradicija općeg prava doživjela svoj zaključni vrhunac zahvaljujući njemačkoj pandektističkoj školi, čija su učenja iznimno utjecala na zakonodavstvo, doktrinu i praksu privatnog prava u gotovo svim europskim zemljama u drugoj polovini 19 st. te u 20 st. te i danas predstavljaju temelje opće europske </w:t>
      </w:r>
      <w:r w:rsidRPr="003D101F">
        <w:rPr>
          <w:rFonts w:ascii="Adobe Garamond Pro" w:hAnsi="Adobe Garamond Pro" w:cs="Times New Roman"/>
          <w:sz w:val="20"/>
          <w:szCs w:val="20"/>
        </w:rPr>
        <w:lastRenderedPageBreak/>
        <w:t>privatnopravne dogmatike</w:t>
      </w:r>
      <w:r w:rsidRPr="003D101F">
        <w:rPr>
          <w:rStyle w:val="FootnoteReference"/>
          <w:rFonts w:ascii="Adobe Garamond Pro" w:hAnsi="Adobe Garamond Pro"/>
          <w:sz w:val="20"/>
          <w:szCs w:val="20"/>
        </w:rPr>
        <w:footnoteReference w:id="4"/>
      </w:r>
      <w:r w:rsidRPr="003D101F">
        <w:rPr>
          <w:rFonts w:ascii="Adobe Garamond Pro" w:hAnsi="Adobe Garamond Pro" w:cs="Times New Roman"/>
          <w:sz w:val="20"/>
          <w:szCs w:val="20"/>
        </w:rPr>
        <w:t xml:space="preserve">. Povrh toga, u najnovije doba, ideja europskog ujedinjenja i jedinstvenog europskog prava u velikoj je mjeri obnovila interes za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kao svojevrsnu preteču tog procesa, čime rimska pravna tradicija kao zajednički nazivnik europske pravne kulture postaje značajnim čimbenikom i u oblikovanju suvremenog europskog identiteta</w:t>
      </w:r>
      <w:r w:rsidRPr="003D101F">
        <w:rPr>
          <w:rStyle w:val="FootnoteReference"/>
          <w:rFonts w:ascii="Adobe Garamond Pro" w:hAnsi="Adobe Garamond Pro"/>
          <w:sz w:val="20"/>
          <w:szCs w:val="20"/>
        </w:rPr>
        <w:footnoteReference w:id="5"/>
      </w:r>
      <w:r w:rsidRPr="003D101F">
        <w:rPr>
          <w:rFonts w:ascii="Adobe Garamond Pro" w:hAnsi="Adobe Garamond Pro" w:cs="Times New Roman"/>
          <w:sz w:val="20"/>
          <w:szCs w:val="20"/>
        </w:rPr>
        <w:t>.</w:t>
      </w:r>
    </w:p>
    <w:p w:rsidR="004B6972" w:rsidRPr="003D101F" w:rsidRDefault="004B6972" w:rsidP="004B6972">
      <w:pPr>
        <w:spacing w:after="0" w:line="240" w:lineRule="auto"/>
        <w:jc w:val="both"/>
        <w:rPr>
          <w:rFonts w:ascii="Adobe Garamond Pro" w:hAnsi="Adobe Garamond Pro" w:cs="Times New Roman"/>
          <w:sz w:val="20"/>
          <w:szCs w:val="20"/>
        </w:rPr>
      </w:pPr>
    </w:p>
    <w:p w:rsidR="004B6972" w:rsidRPr="003D101F" w:rsidRDefault="00620829" w:rsidP="00620829">
      <w:pPr>
        <w:spacing w:after="0" w:line="240" w:lineRule="auto"/>
        <w:rPr>
          <w:rFonts w:ascii="Adobe Garamond Pro" w:hAnsi="Adobe Garamond Pro" w:cs="Times New Roman"/>
          <w:b/>
        </w:rPr>
      </w:pPr>
      <w:r w:rsidRPr="003D101F">
        <w:rPr>
          <w:rFonts w:ascii="Adobe Garamond Pro" w:hAnsi="Adobe Garamond Pro" w:cs="Times New Roman"/>
          <w:b/>
        </w:rPr>
        <w:t>Regulae iuris</w:t>
      </w:r>
      <w:r w:rsidR="004B6972" w:rsidRPr="003D101F">
        <w:rPr>
          <w:rFonts w:ascii="Adobe Garamond Pro" w:hAnsi="Adobe Garamond Pro" w:cs="Times New Roman"/>
          <w:b/>
        </w:rPr>
        <w:t xml:space="preserve"> </w:t>
      </w:r>
      <w:r w:rsidRPr="003D101F">
        <w:rPr>
          <w:rFonts w:ascii="Adobe Garamond Pro" w:hAnsi="Adobe Garamond Pro" w:cs="Times New Roman"/>
          <w:b/>
        </w:rPr>
        <w:t>i europeizacija bosanskohercegovačkog prava</w:t>
      </w:r>
    </w:p>
    <w:p w:rsidR="004B6972" w:rsidRPr="003D101F" w:rsidRDefault="004B6972" w:rsidP="004B6972">
      <w:pPr>
        <w:spacing w:after="0" w:line="240" w:lineRule="auto"/>
        <w:jc w:val="both"/>
        <w:rPr>
          <w:rFonts w:ascii="Adobe Garamond Pro" w:hAnsi="Adobe Garamond Pro" w:cs="Times New Roman"/>
          <w:b/>
          <w:sz w:val="20"/>
          <w:szCs w:val="20"/>
        </w:rPr>
      </w:pPr>
    </w:p>
    <w:p w:rsidR="004B6972" w:rsidRPr="003D101F" w:rsidRDefault="004B6972" w:rsidP="00620829">
      <w:pPr>
        <w:spacing w:after="0" w:line="240" w:lineRule="auto"/>
        <w:ind w:firstLine="708"/>
        <w:jc w:val="both"/>
        <w:rPr>
          <w:rFonts w:ascii="Adobe Garamond Pro" w:hAnsi="Adobe Garamond Pro" w:cs="Times New Roman"/>
          <w:sz w:val="20"/>
          <w:szCs w:val="20"/>
        </w:rPr>
      </w:pPr>
      <w:r w:rsidRPr="003D101F">
        <w:rPr>
          <w:rFonts w:ascii="Adobe Garamond Pro" w:hAnsi="Adobe Garamond Pro" w:cs="Times New Roman"/>
          <w:sz w:val="20"/>
          <w:szCs w:val="20"/>
        </w:rPr>
        <w:t>Unutar navedenog europskog konteksta, svrha ovog rada jest ukratko analizirati značenje općeg prava (</w:t>
      </w:r>
      <w:r w:rsidRPr="003D101F">
        <w:rPr>
          <w:rFonts w:ascii="Adobe Garamond Pro" w:hAnsi="Adobe Garamond Pro" w:cs="Times New Roman"/>
          <w:i/>
          <w:iCs/>
          <w:sz w:val="20"/>
          <w:szCs w:val="20"/>
        </w:rPr>
        <w:t>ius commune</w:t>
      </w:r>
      <w:r w:rsidRPr="003D101F">
        <w:rPr>
          <w:rFonts w:ascii="Adobe Garamond Pro" w:hAnsi="Adobe Garamond Pro" w:cs="Times New Roman"/>
          <w:iCs/>
          <w:sz w:val="20"/>
          <w:szCs w:val="20"/>
        </w:rPr>
        <w:t>)</w:t>
      </w:r>
      <w:r w:rsidRPr="003D101F">
        <w:rPr>
          <w:rFonts w:ascii="Adobe Garamond Pro" w:hAnsi="Adobe Garamond Pro" w:cs="Times New Roman"/>
          <w:sz w:val="20"/>
          <w:szCs w:val="20"/>
        </w:rPr>
        <w:t xml:space="preserve"> u suvremenom bosanskohercegovačkom pravnom sistemu, a posebice moguću ulogu njegovih pravila u europeizaciji bosanskohercegovačkog prava. No prije što se usredotočimo na problematiku značenja općeg prava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u suvremenom bosanskohercegovačkom pravnom sustavu, nužno je prethodno ukratko objasniti na što se točno pojam „pravila općeg prava“ u ovom radu odnosi. Pod tim pojmom u navedenom kontekstu valja imati u vidu prije svega pravne izreke (</w:t>
      </w:r>
      <w:r w:rsidRPr="003D101F">
        <w:rPr>
          <w:rFonts w:ascii="Adobe Garamond Pro" w:hAnsi="Adobe Garamond Pro" w:cs="Times New Roman"/>
          <w:i/>
          <w:sz w:val="20"/>
          <w:szCs w:val="20"/>
        </w:rPr>
        <w:t>regulae iuris</w:t>
      </w:r>
      <w:r w:rsidRPr="003D101F">
        <w:rPr>
          <w:rFonts w:ascii="Adobe Garamond Pro" w:hAnsi="Adobe Garamond Pro" w:cs="Times New Roman"/>
          <w:sz w:val="20"/>
          <w:szCs w:val="20"/>
        </w:rPr>
        <w:t>) sadržane u izvorima antičkog rimskog prava ili pak oblikovane u srednjovjekovnoj i novovjekovnoj rimskoj pravnoj tradiciji na temelju tih antičkih izvora. Te pravne izreke posebice su značajne iz razloga što je u njima na krajnje sažet i jezgrovit način sabrano tisućljetno rimsko i europsko pravničko iskustvo, u rasponu od temeljnih pravnih načela do sasvim konkretnih rješenja, a njihov je sadržaj i danas u vrlo velikoj mjeri ugrađen u europske pravne sustave. Stoga one predstavljaju tradicionalni sažeti izraz same biti europske pravne tradicije i kulture te reprezentativne formule univerzalnog europskog pravnog jezika</w:t>
      </w:r>
      <w:r w:rsidRPr="003D101F">
        <w:rPr>
          <w:rStyle w:val="FootnoteReference"/>
          <w:rFonts w:ascii="Adobe Garamond Pro" w:hAnsi="Adobe Garamond Pro"/>
          <w:sz w:val="20"/>
          <w:szCs w:val="20"/>
        </w:rPr>
        <w:footnoteReference w:id="6"/>
      </w:r>
      <w:r w:rsidR="003D101F">
        <w:rPr>
          <w:rFonts w:ascii="Adobe Garamond Pro" w:hAnsi="Adobe Garamond Pro" w:cs="Times New Roman"/>
          <w:sz w:val="20"/>
          <w:szCs w:val="20"/>
        </w:rPr>
        <w:t xml:space="preserve">. </w:t>
      </w:r>
      <w:r w:rsidRPr="003D101F">
        <w:rPr>
          <w:rFonts w:ascii="Adobe Garamond Pro" w:hAnsi="Adobe Garamond Pro" w:cs="Times New Roman"/>
          <w:sz w:val="20"/>
          <w:szCs w:val="20"/>
        </w:rPr>
        <w:t>U kontekstu bosanskohercegovačkog pravnog sustava, ostavljajući ovom prilikom po strani relevantnost uporabe latinskih pravnih izreka u pravnoj teoriji i doktrini</w:t>
      </w:r>
      <w:r w:rsidRPr="003D101F">
        <w:rPr>
          <w:rStyle w:val="FootnoteReference"/>
          <w:rFonts w:ascii="Adobe Garamond Pro" w:hAnsi="Adobe Garamond Pro"/>
          <w:sz w:val="20"/>
          <w:szCs w:val="20"/>
        </w:rPr>
        <w:footnoteReference w:id="7"/>
      </w:r>
      <w:r w:rsidRPr="003D101F">
        <w:rPr>
          <w:rFonts w:ascii="Adobe Garamond Pro" w:hAnsi="Adobe Garamond Pro" w:cs="Times New Roman"/>
          <w:sz w:val="20"/>
          <w:szCs w:val="20"/>
        </w:rPr>
        <w:t xml:space="preserve">, postavlja se na preliminarnoj </w:t>
      </w:r>
      <w:r w:rsidRPr="003D101F">
        <w:rPr>
          <w:rFonts w:ascii="Adobe Garamond Pro" w:hAnsi="Adobe Garamond Pro" w:cs="Times New Roman"/>
          <w:sz w:val="20"/>
          <w:szCs w:val="20"/>
        </w:rPr>
        <w:lastRenderedPageBreak/>
        <w:t>razini sljedeće pitanje: postoji li mogućnost izravne primjene navedenih privilegiranih iskaza europske pravne tradicije u bosanskohercegovačkoj pravnoj praksi? Naime, budući da je prema ustavnim pravilima, u službenoj uporabi u Bosni i Hercegovini „</w:t>
      </w:r>
      <w:r w:rsidRPr="003D101F">
        <w:rPr>
          <w:rFonts w:ascii="Adobe Garamond Pro" w:hAnsi="Adobe Garamond Pro" w:cs="Times New Roman"/>
          <w:color w:val="000000"/>
          <w:sz w:val="20"/>
          <w:szCs w:val="20"/>
        </w:rPr>
        <w:t>bosanski jezik, hrvatski jezik i srpski jezik“</w:t>
      </w:r>
      <w:r w:rsidRPr="003D101F">
        <w:rPr>
          <w:rStyle w:val="FootnoteReference"/>
          <w:rFonts w:ascii="Adobe Garamond Pro" w:hAnsi="Adobe Garamond Pro"/>
          <w:sz w:val="20"/>
          <w:szCs w:val="20"/>
        </w:rPr>
        <w:t xml:space="preserve"> </w:t>
      </w:r>
      <w:r w:rsidRPr="003D101F">
        <w:rPr>
          <w:rStyle w:val="FootnoteReference"/>
          <w:rFonts w:ascii="Adobe Garamond Pro" w:hAnsi="Adobe Garamond Pro"/>
          <w:sz w:val="20"/>
          <w:szCs w:val="20"/>
        </w:rPr>
        <w:footnoteReference w:id="8"/>
      </w:r>
      <w:r w:rsidRPr="003D101F">
        <w:rPr>
          <w:rFonts w:ascii="Adobe Garamond Pro" w:hAnsi="Adobe Garamond Pro" w:cs="Times New Roman"/>
          <w:color w:val="000000"/>
          <w:sz w:val="20"/>
          <w:szCs w:val="20"/>
        </w:rPr>
        <w:t>, odnosno „</w:t>
      </w:r>
      <w:r w:rsidRPr="003D101F">
        <w:rPr>
          <w:rFonts w:ascii="Adobe Garamond Pro" w:hAnsi="Adobe Garamond Pro" w:cs="Times New Roman"/>
          <w:bCs/>
          <w:color w:val="000000"/>
          <w:sz w:val="20"/>
          <w:szCs w:val="20"/>
        </w:rPr>
        <w:t>jezik srpskog naroda, jezik bošnjačkog naroda i jezik hrvatskog naroda“</w:t>
      </w:r>
      <w:r w:rsidRPr="003D101F">
        <w:rPr>
          <w:rStyle w:val="FootnoteReference"/>
          <w:rFonts w:ascii="Adobe Garamond Pro" w:hAnsi="Adobe Garamond Pro"/>
          <w:sz w:val="20"/>
          <w:szCs w:val="20"/>
        </w:rPr>
        <w:footnoteReference w:id="9"/>
      </w:r>
      <w:r w:rsidRPr="003D101F">
        <w:rPr>
          <w:rFonts w:ascii="Adobe Garamond Pro" w:hAnsi="Adobe Garamond Pro" w:cs="Times New Roman"/>
          <w:sz w:val="20"/>
          <w:szCs w:val="20"/>
        </w:rPr>
        <w:t>, postavlja se pitanje je li primjena pravnih izreka na latinskom jeziku kao pravila općeg prava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u skladu s Ustavnim poretkom Bosne i Hercegovine? </w:t>
      </w:r>
    </w:p>
    <w:p w:rsidR="00620829" w:rsidRPr="003D101F" w:rsidRDefault="00620829" w:rsidP="00620829">
      <w:pPr>
        <w:spacing w:after="0" w:line="240" w:lineRule="auto"/>
        <w:ind w:firstLine="708"/>
        <w:jc w:val="both"/>
        <w:rPr>
          <w:rFonts w:ascii="Adobe Garamond Pro" w:hAnsi="Adobe Garamond Pro" w:cs="Times New Roman"/>
          <w:sz w:val="20"/>
          <w:szCs w:val="20"/>
        </w:rPr>
      </w:pPr>
    </w:p>
    <w:p w:rsidR="004B6972" w:rsidRPr="003D101F" w:rsidRDefault="004B6972" w:rsidP="004B6972">
      <w:pPr>
        <w:autoSpaceDE w:val="0"/>
        <w:autoSpaceDN w:val="0"/>
        <w:adjustRightInd w:val="0"/>
        <w:spacing w:after="0" w:line="240" w:lineRule="auto"/>
        <w:ind w:firstLine="709"/>
        <w:jc w:val="both"/>
        <w:rPr>
          <w:rFonts w:ascii="Adobe Garamond Pro" w:hAnsi="Adobe Garamond Pro" w:cs="Times New Roman"/>
          <w:sz w:val="20"/>
          <w:szCs w:val="20"/>
        </w:rPr>
      </w:pPr>
      <w:r w:rsidRPr="003D101F">
        <w:rPr>
          <w:rFonts w:ascii="Adobe Garamond Pro" w:hAnsi="Adobe Garamond Pro" w:cs="Times New Roman"/>
          <w:sz w:val="20"/>
          <w:szCs w:val="20"/>
        </w:rPr>
        <w:t>Intuitivan odgovor prosječnog čovjeka na pitanje je li u skladu s ustavnim poretkom Bosne i Hercegovine koristiti latinski jezik u pravnoj praksi, vrlo vjerojatno bi bio negativan: opće je poznata činjenica da se u Bosni i Hercegovini latinski jezik izvan katoličkih struktura nije koristio u službenom kontekstu od vremena prestanka srednjovjekovnog Bosanskog kraljevstva</w:t>
      </w:r>
      <w:r w:rsidRPr="003D101F">
        <w:rPr>
          <w:rStyle w:val="FootnoteReference"/>
          <w:rFonts w:ascii="Adobe Garamond Pro" w:hAnsi="Adobe Garamond Pro"/>
          <w:sz w:val="20"/>
          <w:szCs w:val="20"/>
        </w:rPr>
        <w:footnoteReference w:id="10"/>
      </w:r>
      <w:r w:rsidRPr="003D101F">
        <w:rPr>
          <w:rFonts w:ascii="Adobe Garamond Pro" w:hAnsi="Adobe Garamond Pro" w:cs="Times New Roman"/>
          <w:sz w:val="20"/>
          <w:szCs w:val="20"/>
        </w:rPr>
        <w:t xml:space="preserve">. </w:t>
      </w:r>
    </w:p>
    <w:p w:rsidR="00620829" w:rsidRPr="003D101F" w:rsidRDefault="00620829" w:rsidP="004B6972">
      <w:pPr>
        <w:autoSpaceDE w:val="0"/>
        <w:autoSpaceDN w:val="0"/>
        <w:adjustRightInd w:val="0"/>
        <w:spacing w:after="0" w:line="240" w:lineRule="auto"/>
        <w:ind w:firstLine="709"/>
        <w:jc w:val="both"/>
        <w:rPr>
          <w:rFonts w:ascii="Adobe Garamond Pro" w:hAnsi="Adobe Garamond Pro" w:cs="Times New Roman"/>
          <w:sz w:val="20"/>
          <w:szCs w:val="20"/>
        </w:rPr>
      </w:pPr>
    </w:p>
    <w:p w:rsidR="004B6972" w:rsidRPr="003D101F" w:rsidRDefault="004B6972" w:rsidP="004B6972">
      <w:pPr>
        <w:autoSpaceDE w:val="0"/>
        <w:autoSpaceDN w:val="0"/>
        <w:adjustRightInd w:val="0"/>
        <w:spacing w:after="0" w:line="240" w:lineRule="auto"/>
        <w:ind w:firstLine="708"/>
        <w:jc w:val="both"/>
        <w:rPr>
          <w:rFonts w:ascii="Adobe Garamond Pro" w:hAnsi="Adobe Garamond Pro" w:cs="Times New Roman"/>
          <w:sz w:val="20"/>
          <w:szCs w:val="20"/>
        </w:rPr>
      </w:pPr>
      <w:r w:rsidRPr="003D101F">
        <w:rPr>
          <w:rFonts w:ascii="Adobe Garamond Pro" w:hAnsi="Adobe Garamond Pro" w:cs="Times New Roman"/>
          <w:sz w:val="20"/>
          <w:szCs w:val="20"/>
        </w:rPr>
        <w:t xml:space="preserve">U prilog navedenom prosječnom shvaćanju, zanimljivo je spomenuti jednu noviju raspravu u hrvatskoj javnosti iz medicinske sfere: pojedini liječnici su u sredstvima javnog priopćavanja počeli vehementno i sustavno promicati shvaćanje da treba promptno napustiti pisanje dijagnoza na latinskom jeziku jer je takvo postupanje, </w:t>
      </w:r>
      <w:r w:rsidRPr="003D101F">
        <w:rPr>
          <w:rFonts w:ascii="Adobe Garamond Pro" w:hAnsi="Adobe Garamond Pro" w:cs="Times New Roman"/>
          <w:i/>
          <w:sz w:val="20"/>
          <w:szCs w:val="20"/>
        </w:rPr>
        <w:t>inter alia</w:t>
      </w:r>
      <w:r w:rsidRPr="003D101F">
        <w:rPr>
          <w:rFonts w:ascii="Adobe Garamond Pro" w:hAnsi="Adobe Garamond Pro" w:cs="Times New Roman"/>
          <w:sz w:val="20"/>
          <w:szCs w:val="20"/>
        </w:rPr>
        <w:t>, protuustavno, tj. suprotno odredbi Ustava Republike Hrvatske o hrvatskom jeziku kao službenom jeziku u Republici Hrvatskoj</w:t>
      </w:r>
      <w:r w:rsidRPr="003D101F">
        <w:rPr>
          <w:rStyle w:val="FootnoteReference"/>
          <w:rFonts w:ascii="Adobe Garamond Pro" w:hAnsi="Adobe Garamond Pro"/>
          <w:sz w:val="20"/>
          <w:szCs w:val="20"/>
        </w:rPr>
        <w:footnoteReference w:id="11"/>
      </w:r>
      <w:r w:rsidRPr="003D101F">
        <w:rPr>
          <w:rFonts w:ascii="Adobe Garamond Pro" w:hAnsi="Adobe Garamond Pro" w:cs="Times New Roman"/>
          <w:sz w:val="20"/>
          <w:szCs w:val="20"/>
        </w:rPr>
        <w:t>. Usporedive ideje u sferi medicine nedavno su se pojavile i u bosanskohercegovačkim javnim medijima, ne postavljajući ipak u navedenom kontekstu pitanje ustavnosti</w:t>
      </w:r>
      <w:r w:rsidRPr="003D101F">
        <w:rPr>
          <w:rStyle w:val="FootnoteReference"/>
          <w:rFonts w:ascii="Adobe Garamond Pro" w:hAnsi="Adobe Garamond Pro"/>
          <w:sz w:val="20"/>
          <w:szCs w:val="20"/>
        </w:rPr>
        <w:footnoteReference w:id="12"/>
      </w:r>
      <w:r w:rsidRPr="003D101F">
        <w:rPr>
          <w:rFonts w:ascii="Adobe Garamond Pro" w:hAnsi="Adobe Garamond Pro" w:cs="Times New Roman"/>
          <w:sz w:val="20"/>
          <w:szCs w:val="20"/>
        </w:rPr>
        <w:t xml:space="preserve">. Ne ulazeći u smislenost takve teze koja nastoji destruirati dva tisućljeća uspješnih nastojanja stvaranja sažete, precizne i sustavne terminologije na nadnacionalnom </w:t>
      </w:r>
      <w:r w:rsidRPr="003D101F">
        <w:rPr>
          <w:rFonts w:ascii="Adobe Garamond Pro" w:hAnsi="Adobe Garamond Pro" w:cs="Times New Roman"/>
          <w:sz w:val="20"/>
          <w:szCs w:val="20"/>
        </w:rPr>
        <w:lastRenderedPageBreak/>
        <w:t>jeziku</w:t>
      </w:r>
      <w:r w:rsidRPr="003D101F">
        <w:rPr>
          <w:rStyle w:val="FootnoteReference"/>
          <w:rFonts w:ascii="Adobe Garamond Pro" w:hAnsi="Adobe Garamond Pro"/>
          <w:sz w:val="20"/>
          <w:szCs w:val="20"/>
        </w:rPr>
        <w:footnoteReference w:id="13"/>
      </w:r>
      <w:r w:rsidRPr="003D101F">
        <w:rPr>
          <w:rFonts w:ascii="Adobe Garamond Pro" w:hAnsi="Adobe Garamond Pro" w:cs="Times New Roman"/>
          <w:sz w:val="20"/>
          <w:szCs w:val="20"/>
        </w:rPr>
        <w:t>, istom logikom bi se dalo zaključiti da je protuustavna i npr. latinska farmakološka, botanička ili zoološka terminologija, francuska ili talijanska gastronomska terminologija ili engleska informatička terminologija. Rečeno bi se moglo nedvojbeno primjeniti i na latinsku pravnu terminologiju kao univerzalan europski pravni jezik. Tjerajući navedenu logiku do apsurda, moglo bi se reći da je svaki oblik normativnog izražavanja koji nije isključivo na nacionalnom službenom jeziku, nego se, primjerice, izražava određenim formulama, grafikonima ili znacima, također protuustavan</w:t>
      </w:r>
      <w:r w:rsidRPr="003D101F">
        <w:rPr>
          <w:rStyle w:val="FootnoteReference"/>
          <w:rFonts w:ascii="Adobe Garamond Pro" w:hAnsi="Adobe Garamond Pro"/>
          <w:sz w:val="20"/>
          <w:szCs w:val="20"/>
        </w:rPr>
        <w:footnoteReference w:id="14"/>
      </w:r>
      <w:r w:rsidRPr="003D101F">
        <w:rPr>
          <w:rFonts w:ascii="Adobe Garamond Pro" w:hAnsi="Adobe Garamond Pro" w:cs="Times New Roman"/>
          <w:sz w:val="20"/>
          <w:szCs w:val="20"/>
        </w:rPr>
        <w:t xml:space="preserve">. </w:t>
      </w:r>
    </w:p>
    <w:p w:rsidR="00620829" w:rsidRPr="003D101F" w:rsidRDefault="00620829" w:rsidP="004B6972">
      <w:pPr>
        <w:autoSpaceDE w:val="0"/>
        <w:autoSpaceDN w:val="0"/>
        <w:adjustRightInd w:val="0"/>
        <w:spacing w:after="0" w:line="240" w:lineRule="auto"/>
        <w:ind w:firstLine="708"/>
        <w:jc w:val="both"/>
        <w:rPr>
          <w:rFonts w:ascii="Adobe Garamond Pro" w:hAnsi="Adobe Garamond Pro" w:cs="Times New Roman"/>
          <w:sz w:val="20"/>
          <w:szCs w:val="20"/>
        </w:rPr>
      </w:pPr>
    </w:p>
    <w:p w:rsidR="004B6972" w:rsidRPr="003D101F" w:rsidRDefault="004B6972" w:rsidP="004B6972">
      <w:pPr>
        <w:autoSpaceDE w:val="0"/>
        <w:autoSpaceDN w:val="0"/>
        <w:adjustRightInd w:val="0"/>
        <w:spacing w:after="0" w:line="240" w:lineRule="auto"/>
        <w:ind w:firstLine="708"/>
        <w:jc w:val="both"/>
        <w:rPr>
          <w:rFonts w:ascii="Adobe Garamond Pro" w:hAnsi="Adobe Garamond Pro" w:cs="Times New Roman"/>
          <w:sz w:val="20"/>
          <w:szCs w:val="20"/>
        </w:rPr>
      </w:pPr>
      <w:r w:rsidRPr="003D101F">
        <w:rPr>
          <w:rFonts w:ascii="Adobe Garamond Pro" w:hAnsi="Adobe Garamond Pro" w:cs="Times New Roman"/>
          <w:sz w:val="20"/>
          <w:szCs w:val="20"/>
        </w:rPr>
        <w:t xml:space="preserve">Međutim, nasuprot takvom shvaćanju, svatko tko ima elementarna pravna znanja ispravno će zaključiti da specifičan jezik ili terminologija neke znanosti ili struke može predstavljati poseban oblik normativnog izražavanja - različit od općeg oblika normativnog izražavanja na službenom jeziku - te da stoga nipošto sam po sebi ne može biti protuustavan. A da uporaba specifičnog jezika ili terminologije neke struke nije kao takva protuustavna, možda ponajbolje dokazuje činjenica da je Ustavni sud Bosne i Hercegovine u svojoj praksi, uz mnoštvo latinskih pravnih izraza, višekratno koristio latinske pravne izreke kao pravna načela, pri čemu su u određenim slučajevima pravna pravila izražena na latinskom jeziku predstavljala nadasve važan normativni sadržaj pri donošenju konkretne odluke. </w:t>
      </w:r>
    </w:p>
    <w:p w:rsidR="00620829" w:rsidRPr="003D101F" w:rsidRDefault="00620829" w:rsidP="004B6972">
      <w:pPr>
        <w:autoSpaceDE w:val="0"/>
        <w:autoSpaceDN w:val="0"/>
        <w:adjustRightInd w:val="0"/>
        <w:spacing w:after="0" w:line="240" w:lineRule="auto"/>
        <w:ind w:firstLine="708"/>
        <w:jc w:val="both"/>
        <w:rPr>
          <w:rFonts w:ascii="Adobe Garamond Pro" w:hAnsi="Adobe Garamond Pro" w:cs="Times New Roman"/>
          <w:sz w:val="20"/>
          <w:szCs w:val="20"/>
        </w:rPr>
      </w:pPr>
    </w:p>
    <w:p w:rsidR="004B6972" w:rsidRPr="003D101F" w:rsidRDefault="004B6972" w:rsidP="004B6972">
      <w:pPr>
        <w:autoSpaceDE w:val="0"/>
        <w:autoSpaceDN w:val="0"/>
        <w:adjustRightInd w:val="0"/>
        <w:spacing w:after="0" w:line="240" w:lineRule="auto"/>
        <w:ind w:firstLine="708"/>
        <w:jc w:val="both"/>
        <w:rPr>
          <w:rFonts w:ascii="Adobe Garamond Pro" w:hAnsi="Adobe Garamond Pro" w:cs="Times New Roman"/>
          <w:bCs/>
          <w:sz w:val="20"/>
          <w:szCs w:val="20"/>
        </w:rPr>
      </w:pPr>
      <w:r w:rsidRPr="003D101F">
        <w:rPr>
          <w:rFonts w:ascii="Adobe Garamond Pro" w:hAnsi="Adobe Garamond Pro" w:cs="Times New Roman"/>
          <w:bCs/>
          <w:sz w:val="20"/>
          <w:szCs w:val="20"/>
        </w:rPr>
        <w:t>Do navedenog zaključka o uporabi latinskih pravnih izreka u bosanskohercegovačkoj pravnoj praksi došli smo na temelju sumarnog istraživanja, obavljenog isključivo temeljem pretraživanja internetom dostupne elektroničke baze judikature Ustavnog suda Bosne i Hercegovine kao najvažnijeg pravnog tijela u državi.</w:t>
      </w:r>
    </w:p>
    <w:p w:rsidR="00620829" w:rsidRPr="003D101F" w:rsidRDefault="00620829" w:rsidP="004B6972">
      <w:pPr>
        <w:autoSpaceDE w:val="0"/>
        <w:autoSpaceDN w:val="0"/>
        <w:adjustRightInd w:val="0"/>
        <w:spacing w:after="0" w:line="240" w:lineRule="auto"/>
        <w:ind w:firstLine="708"/>
        <w:jc w:val="both"/>
        <w:rPr>
          <w:rFonts w:ascii="Adobe Garamond Pro" w:hAnsi="Adobe Garamond Pro" w:cs="Times New Roman"/>
          <w:sz w:val="20"/>
          <w:szCs w:val="20"/>
        </w:rPr>
      </w:pPr>
    </w:p>
    <w:p w:rsidR="004B6972" w:rsidRPr="003D101F" w:rsidRDefault="004B6972" w:rsidP="004B6972">
      <w:pPr>
        <w:spacing w:after="0" w:line="240" w:lineRule="auto"/>
        <w:jc w:val="both"/>
        <w:rPr>
          <w:rFonts w:ascii="Adobe Garamond Pro" w:hAnsi="Adobe Garamond Pro" w:cs="Times New Roman"/>
          <w:iCs/>
          <w:sz w:val="20"/>
          <w:szCs w:val="20"/>
        </w:rPr>
      </w:pPr>
      <w:r w:rsidRPr="003D101F">
        <w:rPr>
          <w:rFonts w:ascii="Adobe Garamond Pro" w:hAnsi="Adobe Garamond Pro" w:cs="Times New Roman"/>
          <w:bCs/>
          <w:sz w:val="20"/>
          <w:szCs w:val="20"/>
        </w:rPr>
        <w:tab/>
        <w:t>Tako se u praksi Ustavnog suda, u obrazloženjima (ili izdvojenim mišljenjima) pojedinih odluka, citiraju, abecednim redom navedeno, sljedeća pravila općeg prava (</w:t>
      </w:r>
      <w:r w:rsidRPr="003D101F">
        <w:rPr>
          <w:rFonts w:ascii="Adobe Garamond Pro" w:hAnsi="Adobe Garamond Pro" w:cs="Times New Roman"/>
          <w:bCs/>
          <w:i/>
          <w:sz w:val="20"/>
          <w:szCs w:val="20"/>
        </w:rPr>
        <w:t>ius commune</w:t>
      </w:r>
      <w:r w:rsidRPr="003D101F">
        <w:rPr>
          <w:rFonts w:ascii="Adobe Garamond Pro" w:hAnsi="Adobe Garamond Pro" w:cs="Times New Roman"/>
          <w:bCs/>
          <w:sz w:val="20"/>
          <w:szCs w:val="20"/>
        </w:rPr>
        <w:t xml:space="preserve">) na latinskom jeziku: </w:t>
      </w:r>
      <w:r w:rsidRPr="003D101F">
        <w:rPr>
          <w:rFonts w:ascii="Adobe Garamond Pro" w:hAnsi="Adobe Garamond Pro" w:cs="Times New Roman"/>
          <w:i/>
          <w:iCs/>
          <w:sz w:val="20"/>
          <w:szCs w:val="20"/>
        </w:rPr>
        <w:t>actori incumbit probatio</w:t>
      </w:r>
      <w:r w:rsidRPr="003D101F">
        <w:rPr>
          <w:rStyle w:val="FootnoteReference"/>
          <w:rFonts w:ascii="Adobe Garamond Pro" w:hAnsi="Adobe Garamond Pro"/>
          <w:iCs/>
          <w:sz w:val="20"/>
          <w:szCs w:val="20"/>
          <w:lang w:val="fr-FR"/>
        </w:rPr>
        <w:footnoteReference w:id="15"/>
      </w:r>
      <w:r w:rsidRPr="003D101F">
        <w:rPr>
          <w:rFonts w:ascii="Adobe Garamond Pro" w:hAnsi="Adobe Garamond Pro" w:cs="Times New Roman"/>
          <w:iCs/>
          <w:sz w:val="20"/>
          <w:szCs w:val="20"/>
        </w:rPr>
        <w:t>;</w:t>
      </w:r>
      <w:r w:rsidRPr="003D101F">
        <w:rPr>
          <w:rFonts w:ascii="Adobe Garamond Pro" w:hAnsi="Adobe Garamond Pro" w:cs="Times New Roman"/>
          <w:i/>
          <w:iCs/>
          <w:sz w:val="20"/>
          <w:szCs w:val="20"/>
        </w:rPr>
        <w:t xml:space="preserve"> </w:t>
      </w:r>
      <w:r w:rsidRPr="003D101F">
        <w:rPr>
          <w:rFonts w:ascii="Adobe Garamond Pro" w:hAnsi="Adobe Garamond Pro" w:cs="Times New Roman"/>
          <w:bCs/>
          <w:i/>
          <w:iCs/>
          <w:sz w:val="20"/>
          <w:szCs w:val="20"/>
        </w:rPr>
        <w:t xml:space="preserve">falsa nominatio non </w:t>
      </w:r>
      <w:hyperlink r:id="rId8" w:anchor="2#2" w:history="1">
        <w:r w:rsidRPr="003D101F">
          <w:rPr>
            <w:rStyle w:val="Hyperlink"/>
            <w:rFonts w:ascii="Adobe Garamond Pro" w:hAnsi="Adobe Garamond Pro"/>
            <w:bCs/>
            <w:i/>
            <w:iCs/>
            <w:color w:val="auto"/>
            <w:sz w:val="20"/>
            <w:szCs w:val="20"/>
            <w:u w:val="none"/>
          </w:rPr>
          <w:t>nocet</w:t>
        </w:r>
      </w:hyperlink>
      <w:r w:rsidRPr="003D101F">
        <w:rPr>
          <w:rStyle w:val="FootnoteReference"/>
          <w:rFonts w:ascii="Adobe Garamond Pro" w:hAnsi="Adobe Garamond Pro"/>
          <w:bCs/>
          <w:sz w:val="20"/>
          <w:szCs w:val="20"/>
        </w:rPr>
        <w:footnoteReference w:id="16"/>
      </w:r>
      <w:r w:rsidRPr="003D101F">
        <w:rPr>
          <w:rFonts w:ascii="Adobe Garamond Pro" w:hAnsi="Adobe Garamond Pro" w:cs="Times New Roman"/>
          <w:bCs/>
          <w:iCs/>
          <w:sz w:val="20"/>
          <w:szCs w:val="20"/>
        </w:rPr>
        <w:t>;</w:t>
      </w:r>
      <w:r w:rsidRPr="003D101F">
        <w:rPr>
          <w:rFonts w:ascii="Adobe Garamond Pro" w:hAnsi="Adobe Garamond Pro" w:cs="Times New Roman"/>
          <w:bCs/>
          <w:i/>
          <w:iCs/>
          <w:sz w:val="20"/>
          <w:szCs w:val="20"/>
        </w:rPr>
        <w:t xml:space="preserve"> </w:t>
      </w:r>
      <w:r w:rsidRPr="003D101F">
        <w:rPr>
          <w:rFonts w:ascii="Adobe Garamond Pro" w:hAnsi="Adobe Garamond Pro" w:cs="Times New Roman"/>
          <w:bCs/>
          <w:i/>
          <w:sz w:val="20"/>
          <w:szCs w:val="20"/>
        </w:rPr>
        <w:t>ignorantia iuris nocet</w:t>
      </w:r>
      <w:r w:rsidRPr="003D101F">
        <w:rPr>
          <w:rStyle w:val="FootnoteReference"/>
          <w:rFonts w:ascii="Adobe Garamond Pro" w:hAnsi="Adobe Garamond Pro"/>
          <w:bCs/>
          <w:sz w:val="20"/>
          <w:szCs w:val="20"/>
        </w:rPr>
        <w:footnoteReference w:id="17"/>
      </w:r>
      <w:r w:rsidRPr="003D101F">
        <w:rPr>
          <w:rFonts w:ascii="Adobe Garamond Pro" w:hAnsi="Adobe Garamond Pro" w:cs="Times New Roman"/>
          <w:bCs/>
          <w:sz w:val="20"/>
          <w:szCs w:val="20"/>
        </w:rPr>
        <w:t xml:space="preserve">; </w:t>
      </w:r>
      <w:r w:rsidRPr="003D101F">
        <w:rPr>
          <w:rFonts w:ascii="Adobe Garamond Pro" w:hAnsi="Adobe Garamond Pro" w:cs="Times New Roman"/>
          <w:i/>
          <w:iCs/>
          <w:sz w:val="20"/>
          <w:szCs w:val="20"/>
        </w:rPr>
        <w:t>in dubio pro reo</w:t>
      </w:r>
      <w:r w:rsidRPr="003D101F">
        <w:rPr>
          <w:rStyle w:val="FootnoteReference"/>
          <w:rFonts w:ascii="Adobe Garamond Pro" w:hAnsi="Adobe Garamond Pro"/>
          <w:iCs/>
          <w:sz w:val="20"/>
          <w:szCs w:val="20"/>
          <w:lang w:val="fr-FR"/>
        </w:rPr>
        <w:footnoteReference w:id="18"/>
      </w:r>
      <w:r w:rsidRPr="003D101F">
        <w:rPr>
          <w:rFonts w:ascii="Adobe Garamond Pro" w:hAnsi="Adobe Garamond Pro" w:cs="Times New Roman"/>
          <w:iCs/>
          <w:sz w:val="20"/>
          <w:szCs w:val="20"/>
        </w:rPr>
        <w:t xml:space="preserve">; </w:t>
      </w:r>
      <w:r w:rsidRPr="003D101F">
        <w:rPr>
          <w:rFonts w:ascii="Adobe Garamond Pro" w:hAnsi="Adobe Garamond Pro" w:cs="Times New Roman"/>
          <w:i/>
          <w:sz w:val="20"/>
          <w:szCs w:val="20"/>
          <w:lang w:val="en-GB"/>
        </w:rPr>
        <w:t>iura novit curia</w:t>
      </w:r>
      <w:r w:rsidRPr="003D101F">
        <w:rPr>
          <w:rStyle w:val="FootnoteReference"/>
          <w:rFonts w:ascii="Adobe Garamond Pro" w:hAnsi="Adobe Garamond Pro"/>
          <w:sz w:val="20"/>
          <w:szCs w:val="20"/>
          <w:lang w:val="en-GB"/>
        </w:rPr>
        <w:footnoteReference w:id="19"/>
      </w:r>
      <w:r w:rsidRPr="003D101F">
        <w:rPr>
          <w:rFonts w:ascii="Adobe Garamond Pro" w:hAnsi="Adobe Garamond Pro" w:cs="Times New Roman"/>
          <w:sz w:val="20"/>
          <w:szCs w:val="20"/>
          <w:lang w:val="en-GB"/>
        </w:rPr>
        <w:t xml:space="preserve">, </w:t>
      </w:r>
      <w:r w:rsidRPr="003D101F">
        <w:rPr>
          <w:rFonts w:ascii="Adobe Garamond Pro" w:hAnsi="Adobe Garamond Pro" w:cs="Times New Roman"/>
          <w:bCs/>
          <w:i/>
          <w:iCs/>
          <w:sz w:val="20"/>
          <w:szCs w:val="20"/>
        </w:rPr>
        <w:t>lex posterior derogat legi priori</w:t>
      </w:r>
      <w:r w:rsidRPr="003D101F">
        <w:rPr>
          <w:rStyle w:val="FootnoteReference"/>
          <w:rFonts w:ascii="Adobe Garamond Pro" w:hAnsi="Adobe Garamond Pro"/>
          <w:bCs/>
          <w:sz w:val="20"/>
          <w:szCs w:val="20"/>
        </w:rPr>
        <w:footnoteReference w:id="20"/>
      </w:r>
      <w:r w:rsidRPr="003D101F">
        <w:rPr>
          <w:rFonts w:ascii="Adobe Garamond Pro" w:hAnsi="Adobe Garamond Pro" w:cs="Times New Roman"/>
          <w:bCs/>
          <w:iCs/>
          <w:sz w:val="20"/>
          <w:szCs w:val="20"/>
        </w:rPr>
        <w:t>;</w:t>
      </w:r>
      <w:r w:rsidRPr="003D101F">
        <w:rPr>
          <w:rFonts w:ascii="Adobe Garamond Pro" w:hAnsi="Adobe Garamond Pro" w:cs="Times New Roman"/>
          <w:i/>
          <w:iCs/>
          <w:sz w:val="20"/>
          <w:szCs w:val="20"/>
        </w:rPr>
        <w:t xml:space="preserve"> </w:t>
      </w:r>
      <w:r w:rsidRPr="003D101F">
        <w:rPr>
          <w:rFonts w:ascii="Adobe Garamond Pro" w:hAnsi="Adobe Garamond Pro" w:cs="Times New Roman"/>
          <w:i/>
          <w:iCs/>
          <w:sz w:val="20"/>
          <w:szCs w:val="20"/>
        </w:rPr>
        <w:lastRenderedPageBreak/>
        <w:t>lex specialis derogat legi generali</w:t>
      </w:r>
      <w:r w:rsidRPr="003D101F">
        <w:rPr>
          <w:rStyle w:val="FootnoteReference"/>
          <w:rFonts w:ascii="Adobe Garamond Pro" w:hAnsi="Adobe Garamond Pro"/>
          <w:sz w:val="20"/>
          <w:szCs w:val="20"/>
        </w:rPr>
        <w:footnoteReference w:id="21"/>
      </w:r>
      <w:r w:rsidRPr="003D101F">
        <w:rPr>
          <w:rFonts w:ascii="Adobe Garamond Pro" w:hAnsi="Adobe Garamond Pro" w:cs="Times New Roman"/>
          <w:iCs/>
          <w:sz w:val="20"/>
          <w:szCs w:val="20"/>
        </w:rPr>
        <w:t>;</w:t>
      </w:r>
      <w:r w:rsidRPr="003D101F">
        <w:rPr>
          <w:rFonts w:ascii="Adobe Garamond Pro" w:hAnsi="Adobe Garamond Pro" w:cs="Times New Roman"/>
          <w:i/>
          <w:iCs/>
          <w:sz w:val="20"/>
          <w:szCs w:val="20"/>
        </w:rPr>
        <w:t xml:space="preserve"> </w:t>
      </w:r>
      <w:r w:rsidRPr="003D101F">
        <w:rPr>
          <w:rFonts w:ascii="Adobe Garamond Pro" w:hAnsi="Adobe Garamond Pro" w:cs="Times New Roman"/>
          <w:bCs/>
          <w:i/>
          <w:iCs/>
          <w:sz w:val="20"/>
          <w:szCs w:val="20"/>
        </w:rPr>
        <w:t>nemo iudex in causa sua</w:t>
      </w:r>
      <w:r w:rsidRPr="003D101F">
        <w:rPr>
          <w:rStyle w:val="FootnoteReference"/>
          <w:rFonts w:ascii="Adobe Garamond Pro" w:hAnsi="Adobe Garamond Pro"/>
          <w:bCs/>
          <w:sz w:val="20"/>
          <w:szCs w:val="20"/>
        </w:rPr>
        <w:footnoteReference w:id="22"/>
      </w:r>
      <w:r w:rsidRPr="003D101F">
        <w:rPr>
          <w:rFonts w:ascii="Adobe Garamond Pro" w:hAnsi="Adobe Garamond Pro" w:cs="Times New Roman"/>
          <w:bCs/>
          <w:iCs/>
          <w:sz w:val="20"/>
          <w:szCs w:val="20"/>
        </w:rPr>
        <w:t xml:space="preserve">; </w:t>
      </w:r>
      <w:r w:rsidRPr="003D101F">
        <w:rPr>
          <w:rFonts w:ascii="Adobe Garamond Pro" w:hAnsi="Adobe Garamond Pro" w:cs="Times New Roman"/>
          <w:bCs/>
          <w:i/>
          <w:iCs/>
          <w:sz w:val="20"/>
          <w:szCs w:val="20"/>
        </w:rPr>
        <w:t>ne bis in idem</w:t>
      </w:r>
      <w:r w:rsidRPr="003D101F">
        <w:rPr>
          <w:rStyle w:val="FootnoteReference"/>
          <w:rFonts w:ascii="Adobe Garamond Pro" w:hAnsi="Adobe Garamond Pro"/>
          <w:bCs/>
          <w:sz w:val="20"/>
          <w:szCs w:val="20"/>
        </w:rPr>
        <w:footnoteReference w:id="23"/>
      </w:r>
      <w:r w:rsidRPr="003D101F">
        <w:rPr>
          <w:rFonts w:ascii="Adobe Garamond Pro" w:hAnsi="Adobe Garamond Pro" w:cs="Times New Roman"/>
          <w:bCs/>
          <w:iCs/>
          <w:sz w:val="20"/>
          <w:szCs w:val="20"/>
        </w:rPr>
        <w:t xml:space="preserve">; </w:t>
      </w:r>
      <w:r w:rsidRPr="003D101F">
        <w:rPr>
          <w:rFonts w:ascii="Adobe Garamond Pro" w:hAnsi="Adobe Garamond Pro" w:cs="Times New Roman"/>
          <w:bCs/>
          <w:i/>
          <w:iCs/>
          <w:sz w:val="20"/>
          <w:szCs w:val="20"/>
        </w:rPr>
        <w:t>nemo plus iuris ad alium transferre potest, quam ipse habet</w:t>
      </w:r>
      <w:r w:rsidRPr="003D101F">
        <w:rPr>
          <w:rStyle w:val="FootnoteReference"/>
          <w:rFonts w:ascii="Adobe Garamond Pro" w:hAnsi="Adobe Garamond Pro"/>
          <w:bCs/>
          <w:sz w:val="20"/>
          <w:szCs w:val="20"/>
        </w:rPr>
        <w:footnoteReference w:id="24"/>
      </w:r>
      <w:r w:rsidRPr="003D101F">
        <w:rPr>
          <w:rFonts w:ascii="Adobe Garamond Pro" w:hAnsi="Adobe Garamond Pro" w:cs="Times New Roman"/>
          <w:bCs/>
          <w:sz w:val="20"/>
          <w:szCs w:val="20"/>
        </w:rPr>
        <w:t xml:space="preserve">; </w:t>
      </w:r>
      <w:r w:rsidRPr="003D101F">
        <w:rPr>
          <w:rFonts w:ascii="Adobe Garamond Pro" w:hAnsi="Adobe Garamond Pro" w:cs="Times New Roman"/>
          <w:i/>
          <w:iCs/>
          <w:color w:val="000000"/>
          <w:sz w:val="20"/>
          <w:szCs w:val="20"/>
        </w:rPr>
        <w:t>nullum crimen sine lege, nulla poena sine lege</w:t>
      </w:r>
      <w:r w:rsidRPr="003D101F">
        <w:rPr>
          <w:rStyle w:val="FootnoteReference"/>
          <w:rFonts w:ascii="Adobe Garamond Pro" w:hAnsi="Adobe Garamond Pro"/>
          <w:color w:val="000000"/>
          <w:sz w:val="20"/>
          <w:szCs w:val="20"/>
        </w:rPr>
        <w:footnoteReference w:id="25"/>
      </w:r>
      <w:r w:rsidRPr="003D101F">
        <w:rPr>
          <w:rFonts w:ascii="Adobe Garamond Pro" w:hAnsi="Adobe Garamond Pro" w:cs="Times New Roman"/>
          <w:iCs/>
          <w:color w:val="000000"/>
          <w:sz w:val="20"/>
          <w:szCs w:val="20"/>
        </w:rPr>
        <w:t xml:space="preserve">; </w:t>
      </w:r>
      <w:r w:rsidRPr="003D101F">
        <w:rPr>
          <w:rFonts w:ascii="Adobe Garamond Pro" w:hAnsi="Adobe Garamond Pro" w:cs="Times New Roman"/>
          <w:bCs/>
          <w:i/>
          <w:iCs/>
          <w:sz w:val="20"/>
          <w:szCs w:val="20"/>
        </w:rPr>
        <w:t>pacta sunt servanda</w:t>
      </w:r>
      <w:r w:rsidRPr="003D101F">
        <w:rPr>
          <w:rStyle w:val="FootnoteReference"/>
          <w:rFonts w:ascii="Adobe Garamond Pro" w:hAnsi="Adobe Garamond Pro"/>
          <w:bCs/>
          <w:sz w:val="20"/>
          <w:szCs w:val="20"/>
        </w:rPr>
        <w:footnoteReference w:id="26"/>
      </w:r>
      <w:r w:rsidRPr="003D101F">
        <w:rPr>
          <w:rFonts w:ascii="Adobe Garamond Pro" w:hAnsi="Adobe Garamond Pro" w:cs="Times New Roman"/>
          <w:bCs/>
          <w:sz w:val="20"/>
          <w:szCs w:val="20"/>
        </w:rPr>
        <w:t xml:space="preserve">; </w:t>
      </w:r>
      <w:r w:rsidRPr="003D101F">
        <w:rPr>
          <w:rFonts w:ascii="Adobe Garamond Pro" w:hAnsi="Adobe Garamond Pro" w:cs="Times New Roman"/>
          <w:bCs/>
          <w:i/>
          <w:iCs/>
          <w:sz w:val="20"/>
          <w:szCs w:val="20"/>
        </w:rPr>
        <w:t>petitorium absorbet possessorium</w:t>
      </w:r>
      <w:r w:rsidRPr="003D101F">
        <w:rPr>
          <w:rStyle w:val="FootnoteReference"/>
          <w:rFonts w:ascii="Adobe Garamond Pro" w:hAnsi="Adobe Garamond Pro"/>
          <w:bCs/>
          <w:sz w:val="20"/>
          <w:szCs w:val="20"/>
        </w:rPr>
        <w:footnoteReference w:id="27"/>
      </w:r>
      <w:r w:rsidRPr="003D101F">
        <w:rPr>
          <w:rFonts w:ascii="Adobe Garamond Pro" w:hAnsi="Adobe Garamond Pro" w:cs="Times New Roman"/>
          <w:bCs/>
          <w:iCs/>
          <w:sz w:val="20"/>
          <w:szCs w:val="20"/>
        </w:rPr>
        <w:t xml:space="preserve">; </w:t>
      </w:r>
      <w:r w:rsidRPr="003D101F">
        <w:rPr>
          <w:rFonts w:ascii="Adobe Garamond Pro" w:hAnsi="Adobe Garamond Pro" w:cs="Times New Roman"/>
          <w:i/>
          <w:sz w:val="20"/>
          <w:szCs w:val="20"/>
        </w:rPr>
        <w:t>prior tempore potior iure</w:t>
      </w:r>
      <w:r w:rsidRPr="003D101F">
        <w:rPr>
          <w:rStyle w:val="FootnoteReference"/>
          <w:rFonts w:ascii="Adobe Garamond Pro" w:hAnsi="Adobe Garamond Pro"/>
          <w:sz w:val="20"/>
          <w:szCs w:val="20"/>
        </w:rPr>
        <w:footnoteReference w:id="28"/>
      </w:r>
      <w:r w:rsidRPr="003D101F">
        <w:rPr>
          <w:rFonts w:ascii="Adobe Garamond Pro" w:hAnsi="Adobe Garamond Pro"/>
          <w:sz w:val="20"/>
          <w:szCs w:val="20"/>
        </w:rPr>
        <w:t xml:space="preserve">; </w:t>
      </w:r>
      <w:r w:rsidRPr="003D101F">
        <w:rPr>
          <w:rFonts w:ascii="Adobe Garamond Pro" w:hAnsi="Adobe Garamond Pro" w:cs="Times New Roman"/>
          <w:bCs/>
          <w:i/>
          <w:iCs/>
          <w:sz w:val="20"/>
          <w:szCs w:val="20"/>
        </w:rPr>
        <w:t xml:space="preserve">quod ab initio vitiosum est, non </w:t>
      </w:r>
      <w:hyperlink r:id="rId9" w:anchor="2#2" w:history="1">
        <w:r w:rsidRPr="003D101F">
          <w:rPr>
            <w:rStyle w:val="Hyperlink"/>
            <w:rFonts w:ascii="Adobe Garamond Pro" w:hAnsi="Adobe Garamond Pro"/>
            <w:bCs/>
            <w:i/>
            <w:iCs/>
            <w:color w:val="auto"/>
            <w:sz w:val="20"/>
            <w:szCs w:val="20"/>
            <w:u w:val="none"/>
          </w:rPr>
          <w:t>potest</w:t>
        </w:r>
      </w:hyperlink>
      <w:r w:rsidRPr="003D101F">
        <w:rPr>
          <w:rFonts w:ascii="Adobe Garamond Pro" w:hAnsi="Adobe Garamond Pro" w:cs="Times New Roman"/>
          <w:bCs/>
          <w:i/>
          <w:iCs/>
          <w:sz w:val="20"/>
          <w:szCs w:val="20"/>
        </w:rPr>
        <w:t xml:space="preserve"> tractu temporis convalescere</w:t>
      </w:r>
      <w:r w:rsidRPr="003D101F">
        <w:rPr>
          <w:rStyle w:val="FootnoteReference"/>
          <w:rFonts w:ascii="Adobe Garamond Pro" w:hAnsi="Adobe Garamond Pro"/>
          <w:bCs/>
          <w:sz w:val="20"/>
          <w:szCs w:val="20"/>
        </w:rPr>
        <w:footnoteReference w:id="29"/>
      </w:r>
      <w:r w:rsidRPr="003D101F">
        <w:rPr>
          <w:rFonts w:ascii="Adobe Garamond Pro" w:hAnsi="Adobe Garamond Pro" w:cs="Times New Roman"/>
          <w:bCs/>
          <w:iCs/>
          <w:sz w:val="20"/>
          <w:szCs w:val="20"/>
        </w:rPr>
        <w:t xml:space="preserve">; </w:t>
      </w:r>
      <w:r w:rsidRPr="003D101F">
        <w:rPr>
          <w:rFonts w:ascii="Adobe Garamond Pro" w:hAnsi="Adobe Garamond Pro" w:cs="Times New Roman"/>
          <w:bCs/>
          <w:i/>
          <w:iCs/>
          <w:sz w:val="20"/>
          <w:szCs w:val="20"/>
        </w:rPr>
        <w:t>res iudicata pro veritate habetur</w:t>
      </w:r>
      <w:r w:rsidRPr="003D101F">
        <w:rPr>
          <w:rStyle w:val="FootnoteReference"/>
          <w:rFonts w:ascii="Adobe Garamond Pro" w:hAnsi="Adobe Garamond Pro"/>
          <w:bCs/>
          <w:sz w:val="20"/>
          <w:szCs w:val="20"/>
        </w:rPr>
        <w:footnoteReference w:id="30"/>
      </w:r>
      <w:r w:rsidRPr="003D101F">
        <w:rPr>
          <w:rFonts w:ascii="Adobe Garamond Pro" w:hAnsi="Adobe Garamond Pro" w:cs="Times New Roman"/>
          <w:bCs/>
          <w:iCs/>
          <w:sz w:val="20"/>
          <w:szCs w:val="20"/>
        </w:rPr>
        <w:t xml:space="preserve">; </w:t>
      </w:r>
      <w:r w:rsidRPr="003D101F">
        <w:rPr>
          <w:rFonts w:ascii="Adobe Garamond Pro" w:hAnsi="Adobe Garamond Pro" w:cs="Times New Roman"/>
          <w:bCs/>
          <w:i/>
          <w:iCs/>
          <w:sz w:val="20"/>
          <w:szCs w:val="20"/>
        </w:rPr>
        <w:t>superficies solo cedit</w:t>
      </w:r>
      <w:r w:rsidRPr="003D101F">
        <w:rPr>
          <w:rStyle w:val="FootnoteReference"/>
          <w:rFonts w:ascii="Adobe Garamond Pro" w:hAnsi="Adobe Garamond Pro"/>
          <w:bCs/>
          <w:sz w:val="20"/>
          <w:szCs w:val="20"/>
        </w:rPr>
        <w:footnoteReference w:id="31"/>
      </w:r>
      <w:r w:rsidRPr="003D101F">
        <w:rPr>
          <w:rFonts w:ascii="Adobe Garamond Pro" w:hAnsi="Adobe Garamond Pro" w:cs="Times New Roman"/>
          <w:bCs/>
          <w:sz w:val="20"/>
          <w:szCs w:val="20"/>
        </w:rPr>
        <w:t xml:space="preserve">; </w:t>
      </w:r>
      <w:r w:rsidRPr="003D101F">
        <w:rPr>
          <w:rFonts w:ascii="Adobe Garamond Pro" w:hAnsi="Adobe Garamond Pro" w:cs="Times New Roman"/>
          <w:i/>
          <w:iCs/>
          <w:sz w:val="20"/>
          <w:szCs w:val="20"/>
        </w:rPr>
        <w:t>tempus regit actum</w:t>
      </w:r>
      <w:r w:rsidRPr="003D101F">
        <w:rPr>
          <w:rStyle w:val="FootnoteReference"/>
          <w:rFonts w:ascii="Adobe Garamond Pro" w:hAnsi="Adobe Garamond Pro"/>
          <w:iCs/>
          <w:sz w:val="20"/>
          <w:szCs w:val="20"/>
        </w:rPr>
        <w:footnoteReference w:id="32"/>
      </w:r>
      <w:r w:rsidRPr="003D101F">
        <w:rPr>
          <w:rFonts w:ascii="Adobe Garamond Pro" w:hAnsi="Adobe Garamond Pro" w:cs="Times New Roman"/>
          <w:iCs/>
          <w:sz w:val="20"/>
          <w:szCs w:val="20"/>
        </w:rPr>
        <w:t>.</w:t>
      </w:r>
    </w:p>
    <w:p w:rsidR="00620829" w:rsidRPr="003D101F" w:rsidRDefault="00620829" w:rsidP="004B6972">
      <w:pPr>
        <w:spacing w:after="0" w:line="240" w:lineRule="auto"/>
        <w:jc w:val="both"/>
        <w:rPr>
          <w:rFonts w:ascii="Adobe Garamond Pro" w:hAnsi="Adobe Garamond Pro" w:cs="Times New Roman"/>
          <w:bCs/>
          <w:iCs/>
          <w:sz w:val="20"/>
          <w:szCs w:val="20"/>
        </w:rPr>
      </w:pPr>
    </w:p>
    <w:p w:rsidR="004B6972" w:rsidRPr="003D101F" w:rsidRDefault="004B6972" w:rsidP="004B6972">
      <w:pPr>
        <w:spacing w:after="0" w:line="240" w:lineRule="auto"/>
        <w:ind w:firstLine="720"/>
        <w:jc w:val="both"/>
        <w:rPr>
          <w:rFonts w:ascii="Adobe Garamond Pro" w:hAnsi="Adobe Garamond Pro" w:cs="Times New Roman"/>
          <w:sz w:val="20"/>
          <w:szCs w:val="20"/>
        </w:rPr>
      </w:pPr>
      <w:r w:rsidRPr="003D101F">
        <w:rPr>
          <w:rFonts w:ascii="Adobe Garamond Pro" w:hAnsi="Adobe Garamond Pro" w:cs="Times New Roman"/>
          <w:bCs/>
          <w:sz w:val="20"/>
          <w:szCs w:val="20"/>
        </w:rPr>
        <w:t>Problematika pozivanja bosanskohercegovačkih sudova na pravila općeg prava (</w:t>
      </w:r>
      <w:r w:rsidRPr="003D101F">
        <w:rPr>
          <w:rFonts w:ascii="Adobe Garamond Pro" w:hAnsi="Adobe Garamond Pro" w:cs="Times New Roman"/>
          <w:bCs/>
          <w:i/>
          <w:sz w:val="20"/>
          <w:szCs w:val="20"/>
        </w:rPr>
        <w:t>ius commune</w:t>
      </w:r>
      <w:r w:rsidRPr="003D101F">
        <w:rPr>
          <w:rFonts w:ascii="Adobe Garamond Pro" w:hAnsi="Adobe Garamond Pro" w:cs="Times New Roman"/>
          <w:bCs/>
          <w:sz w:val="20"/>
          <w:szCs w:val="20"/>
        </w:rPr>
        <w:t xml:space="preserve">) svakako bi zaslužila posebnu monografsku obradu. Takvo bi istraživanje moralo uzeti u obzir sve odluke bosanskohercegovačkih sudova, bez obzira na njihovu instanciju, u kojima se </w:t>
      </w:r>
      <w:r w:rsidRPr="003D101F">
        <w:rPr>
          <w:rFonts w:ascii="Adobe Garamond Pro" w:hAnsi="Adobe Garamond Pro" w:cs="Times New Roman"/>
          <w:bCs/>
          <w:i/>
          <w:iCs/>
          <w:sz w:val="20"/>
          <w:szCs w:val="20"/>
        </w:rPr>
        <w:t>explicite</w:t>
      </w:r>
      <w:r w:rsidRPr="003D101F">
        <w:rPr>
          <w:rFonts w:ascii="Adobe Garamond Pro" w:hAnsi="Adobe Garamond Pro" w:cs="Times New Roman"/>
          <w:bCs/>
          <w:sz w:val="20"/>
          <w:szCs w:val="20"/>
        </w:rPr>
        <w:t xml:space="preserve"> navode pravne izreke kao pravna pravila na latinskom jeziku; uzeti u obzir i sve odluke u kojima su se sudovi </w:t>
      </w:r>
      <w:r w:rsidRPr="003D101F">
        <w:rPr>
          <w:rFonts w:ascii="Adobe Garamond Pro" w:hAnsi="Adobe Garamond Pro" w:cs="Times New Roman"/>
          <w:bCs/>
          <w:i/>
          <w:iCs/>
          <w:sz w:val="20"/>
          <w:szCs w:val="20"/>
        </w:rPr>
        <w:t>implicite</w:t>
      </w:r>
      <w:r w:rsidRPr="003D101F">
        <w:rPr>
          <w:rFonts w:ascii="Adobe Garamond Pro" w:hAnsi="Adobe Garamond Pro" w:cs="Times New Roman"/>
          <w:bCs/>
          <w:sz w:val="20"/>
          <w:szCs w:val="20"/>
        </w:rPr>
        <w:t xml:space="preserve"> referirali na pojedina pravila općeg prava; konačno, na temelju prikupljene građe, detaljno istražiti svaki takav pojedini slučaj referiranja na pravila općeg prava u bosanskohercegovačkoj sudskoj praksi, tj. u prvom redu precizno utvrditi pravni kontekst u kojem su ona uporabljena te usporediti izvorno značenje pojedinog pravila sa njegovom suvremenom uporabom u svrhu kritičke analize svih slučajeva primjene „supstrata općeg prava“ u bosanskohercegovačkoj pravnoj praksi. Razumije se da u okvirima </w:t>
      </w:r>
      <w:r w:rsidRPr="003D101F">
        <w:rPr>
          <w:rFonts w:ascii="Adobe Garamond Pro" w:hAnsi="Adobe Garamond Pro" w:cs="Times New Roman"/>
          <w:bCs/>
          <w:sz w:val="20"/>
          <w:szCs w:val="20"/>
        </w:rPr>
        <w:lastRenderedPageBreak/>
        <w:t xml:space="preserve">ovog rada nije moguće izvesti takvo obuhvatno istraživanje, no smatramo da se i na temelju iznesenog skromnog fragmenta tog budućeg istraživanja mogu izvući određeni zaključci. Prije svega, upada u oči činjenica da referiranje na pravila općeg prava na latinskom jeziku u judikaturi Ustavnog suda Bosne i Hercegovine ne predstavlja ni rijetku, niti neuobičajenu pojavu. Povrh toga, može se uvidjeti da su pojedina pravila (npr. </w:t>
      </w:r>
      <w:r w:rsidRPr="003D101F">
        <w:rPr>
          <w:rFonts w:ascii="Adobe Garamond Pro" w:hAnsi="Adobe Garamond Pro" w:cs="Times New Roman"/>
          <w:bCs/>
          <w:i/>
          <w:sz w:val="20"/>
          <w:szCs w:val="20"/>
        </w:rPr>
        <w:t>iura novit curia</w:t>
      </w:r>
      <w:r w:rsidRPr="003D101F">
        <w:rPr>
          <w:rFonts w:ascii="Adobe Garamond Pro" w:hAnsi="Adobe Garamond Pro" w:cs="Times New Roman"/>
          <w:bCs/>
          <w:sz w:val="20"/>
          <w:szCs w:val="20"/>
        </w:rPr>
        <w:t>;</w:t>
      </w:r>
      <w:r w:rsidRPr="003D101F">
        <w:rPr>
          <w:rFonts w:ascii="Adobe Garamond Pro" w:hAnsi="Adobe Garamond Pro" w:cs="Times New Roman"/>
          <w:bCs/>
          <w:i/>
          <w:sz w:val="20"/>
          <w:szCs w:val="20"/>
        </w:rPr>
        <w:t xml:space="preserve"> in dubio pro reo</w:t>
      </w:r>
      <w:r w:rsidRPr="003D101F">
        <w:rPr>
          <w:rFonts w:ascii="Adobe Garamond Pro" w:hAnsi="Adobe Garamond Pro" w:cs="Times New Roman"/>
          <w:bCs/>
          <w:sz w:val="20"/>
          <w:szCs w:val="20"/>
        </w:rPr>
        <w:t xml:space="preserve">; </w:t>
      </w:r>
      <w:r w:rsidRPr="003D101F">
        <w:rPr>
          <w:rFonts w:ascii="Adobe Garamond Pro" w:hAnsi="Adobe Garamond Pro" w:cs="Times New Roman"/>
          <w:bCs/>
          <w:i/>
          <w:iCs/>
          <w:sz w:val="20"/>
          <w:szCs w:val="20"/>
        </w:rPr>
        <w:t>lex posterior derogat legi priori</w:t>
      </w:r>
      <w:r w:rsidRPr="003D101F">
        <w:rPr>
          <w:rFonts w:ascii="Adobe Garamond Pro" w:hAnsi="Adobe Garamond Pro" w:cs="Times New Roman"/>
          <w:bCs/>
          <w:sz w:val="20"/>
          <w:szCs w:val="20"/>
        </w:rPr>
        <w:t>;</w:t>
      </w:r>
      <w:r w:rsidRPr="003D101F">
        <w:rPr>
          <w:rFonts w:ascii="Adobe Garamond Pro" w:hAnsi="Adobe Garamond Pro" w:cs="Times New Roman"/>
          <w:bCs/>
          <w:i/>
          <w:iCs/>
          <w:sz w:val="20"/>
          <w:szCs w:val="20"/>
        </w:rPr>
        <w:t xml:space="preserve"> </w:t>
      </w:r>
      <w:r w:rsidRPr="003D101F">
        <w:rPr>
          <w:rFonts w:ascii="Adobe Garamond Pro" w:hAnsi="Adobe Garamond Pro" w:cs="Times New Roman"/>
          <w:i/>
          <w:iCs/>
          <w:color w:val="000000"/>
          <w:sz w:val="20"/>
          <w:szCs w:val="20"/>
          <w:lang w:val="sv-SE"/>
        </w:rPr>
        <w:t>lex</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specialis</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derogat</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legi</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generali</w:t>
      </w:r>
      <w:r w:rsidRPr="003D101F">
        <w:rPr>
          <w:rFonts w:ascii="Adobe Garamond Pro" w:hAnsi="Adobe Garamond Pro" w:cs="Times New Roman"/>
          <w:bCs/>
          <w:sz w:val="20"/>
          <w:szCs w:val="20"/>
        </w:rPr>
        <w:t>;</w:t>
      </w:r>
      <w:r w:rsidRPr="003D101F">
        <w:rPr>
          <w:rFonts w:ascii="Adobe Garamond Pro" w:hAnsi="Adobe Garamond Pro" w:cs="Times New Roman"/>
          <w:iCs/>
          <w:color w:val="000000"/>
          <w:sz w:val="20"/>
          <w:szCs w:val="20"/>
          <w:lang w:val="sv-SE"/>
        </w:rPr>
        <w:t xml:space="preserve"> </w:t>
      </w:r>
      <w:r w:rsidRPr="003D101F">
        <w:rPr>
          <w:rFonts w:ascii="Adobe Garamond Pro" w:hAnsi="Adobe Garamond Pro" w:cs="Times New Roman"/>
          <w:bCs/>
          <w:i/>
          <w:iCs/>
          <w:sz w:val="20"/>
          <w:szCs w:val="20"/>
          <w:lang w:val="sv-SE"/>
        </w:rPr>
        <w:t>ne</w:t>
      </w:r>
      <w:r w:rsidRPr="003D101F">
        <w:rPr>
          <w:rFonts w:ascii="Adobe Garamond Pro" w:hAnsi="Adobe Garamond Pro" w:cs="Times New Roman"/>
          <w:bCs/>
          <w:i/>
          <w:iCs/>
          <w:sz w:val="20"/>
          <w:szCs w:val="20"/>
        </w:rPr>
        <w:t xml:space="preserve"> </w:t>
      </w:r>
      <w:r w:rsidRPr="003D101F">
        <w:rPr>
          <w:rFonts w:ascii="Adobe Garamond Pro" w:hAnsi="Adobe Garamond Pro" w:cs="Times New Roman"/>
          <w:bCs/>
          <w:i/>
          <w:iCs/>
          <w:sz w:val="20"/>
          <w:szCs w:val="20"/>
          <w:lang w:val="sv-SE"/>
        </w:rPr>
        <w:t>bis</w:t>
      </w:r>
      <w:r w:rsidRPr="003D101F">
        <w:rPr>
          <w:rFonts w:ascii="Adobe Garamond Pro" w:hAnsi="Adobe Garamond Pro" w:cs="Times New Roman"/>
          <w:bCs/>
          <w:i/>
          <w:iCs/>
          <w:sz w:val="20"/>
          <w:szCs w:val="20"/>
        </w:rPr>
        <w:t xml:space="preserve"> </w:t>
      </w:r>
      <w:r w:rsidRPr="003D101F">
        <w:rPr>
          <w:rFonts w:ascii="Adobe Garamond Pro" w:hAnsi="Adobe Garamond Pro" w:cs="Times New Roman"/>
          <w:bCs/>
          <w:i/>
          <w:iCs/>
          <w:sz w:val="20"/>
          <w:szCs w:val="20"/>
          <w:lang w:val="sv-SE"/>
        </w:rPr>
        <w:t>in</w:t>
      </w:r>
      <w:r w:rsidRPr="003D101F">
        <w:rPr>
          <w:rFonts w:ascii="Adobe Garamond Pro" w:hAnsi="Adobe Garamond Pro" w:cs="Times New Roman"/>
          <w:bCs/>
          <w:i/>
          <w:iCs/>
          <w:sz w:val="20"/>
          <w:szCs w:val="20"/>
        </w:rPr>
        <w:t xml:space="preserve"> </w:t>
      </w:r>
      <w:r w:rsidRPr="003D101F">
        <w:rPr>
          <w:rFonts w:ascii="Adobe Garamond Pro" w:hAnsi="Adobe Garamond Pro" w:cs="Times New Roman"/>
          <w:bCs/>
          <w:i/>
          <w:iCs/>
          <w:sz w:val="20"/>
          <w:szCs w:val="20"/>
          <w:lang w:val="sv-SE"/>
        </w:rPr>
        <w:t>idem</w:t>
      </w:r>
      <w:r w:rsidRPr="003D101F">
        <w:rPr>
          <w:rFonts w:ascii="Adobe Garamond Pro" w:hAnsi="Adobe Garamond Pro" w:cs="Times New Roman"/>
          <w:bCs/>
          <w:sz w:val="20"/>
          <w:szCs w:val="20"/>
        </w:rPr>
        <w:t>;</w:t>
      </w:r>
      <w:r w:rsidRPr="003D101F">
        <w:rPr>
          <w:rFonts w:ascii="Adobe Garamond Pro" w:hAnsi="Adobe Garamond Pro" w:cs="Times New Roman"/>
          <w:bCs/>
          <w:iCs/>
          <w:sz w:val="20"/>
          <w:szCs w:val="20"/>
        </w:rPr>
        <w:t xml:space="preserve"> </w:t>
      </w:r>
      <w:r w:rsidRPr="003D101F">
        <w:rPr>
          <w:rFonts w:ascii="Adobe Garamond Pro" w:hAnsi="Adobe Garamond Pro" w:cs="Times New Roman"/>
          <w:i/>
          <w:iCs/>
          <w:color w:val="000000"/>
          <w:sz w:val="20"/>
          <w:szCs w:val="20"/>
          <w:lang w:val="sv-SE"/>
        </w:rPr>
        <w:t>nullum</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crimen</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sine</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lege</w:t>
      </w:r>
      <w:r w:rsidRPr="003D101F">
        <w:rPr>
          <w:rFonts w:ascii="Adobe Garamond Pro" w:hAnsi="Adobe Garamond Pro" w:cs="Times New Roman"/>
          <w:bCs/>
          <w:sz w:val="20"/>
          <w:szCs w:val="20"/>
        </w:rPr>
        <w:t>,</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nulla</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poena</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sine</w:t>
      </w:r>
      <w:r w:rsidRPr="003D101F">
        <w:rPr>
          <w:rFonts w:ascii="Adobe Garamond Pro" w:hAnsi="Adobe Garamond Pro" w:cs="Times New Roman"/>
          <w:i/>
          <w:iCs/>
          <w:color w:val="000000"/>
          <w:sz w:val="20"/>
          <w:szCs w:val="20"/>
        </w:rPr>
        <w:t xml:space="preserve"> </w:t>
      </w:r>
      <w:r w:rsidRPr="003D101F">
        <w:rPr>
          <w:rFonts w:ascii="Adobe Garamond Pro" w:hAnsi="Adobe Garamond Pro" w:cs="Times New Roman"/>
          <w:i/>
          <w:iCs/>
          <w:color w:val="000000"/>
          <w:sz w:val="20"/>
          <w:szCs w:val="20"/>
          <w:lang w:val="sv-SE"/>
        </w:rPr>
        <w:t>lege</w:t>
      </w:r>
      <w:r w:rsidRPr="003D101F">
        <w:rPr>
          <w:rFonts w:ascii="Adobe Garamond Pro" w:hAnsi="Adobe Garamond Pro" w:cs="Times New Roman"/>
          <w:bCs/>
          <w:sz w:val="20"/>
          <w:szCs w:val="20"/>
        </w:rPr>
        <w:t>;</w:t>
      </w:r>
      <w:r w:rsidRPr="003D101F">
        <w:rPr>
          <w:rFonts w:ascii="Adobe Garamond Pro" w:hAnsi="Adobe Garamond Pro" w:cs="Times New Roman"/>
          <w:bCs/>
          <w:i/>
          <w:iCs/>
          <w:sz w:val="20"/>
          <w:szCs w:val="20"/>
        </w:rPr>
        <w:t xml:space="preserve"> pacta sunt servanda</w:t>
      </w:r>
      <w:r w:rsidRPr="003D101F">
        <w:rPr>
          <w:rFonts w:ascii="Adobe Garamond Pro" w:hAnsi="Adobe Garamond Pro" w:cs="Times New Roman"/>
          <w:bCs/>
          <w:sz w:val="20"/>
          <w:szCs w:val="20"/>
        </w:rPr>
        <w:t xml:space="preserve">; </w:t>
      </w:r>
      <w:r w:rsidRPr="003D101F">
        <w:rPr>
          <w:rFonts w:ascii="Adobe Garamond Pro" w:hAnsi="Adobe Garamond Pro" w:cs="Times New Roman"/>
          <w:i/>
          <w:iCs/>
          <w:sz w:val="20"/>
          <w:szCs w:val="20"/>
          <w:lang w:val="fr-FR"/>
        </w:rPr>
        <w:t>superficies</w:t>
      </w:r>
      <w:r w:rsidRPr="003D101F">
        <w:rPr>
          <w:rFonts w:ascii="Adobe Garamond Pro" w:hAnsi="Adobe Garamond Pro" w:cs="Times New Roman"/>
          <w:i/>
          <w:iCs/>
          <w:sz w:val="20"/>
          <w:szCs w:val="20"/>
        </w:rPr>
        <w:t xml:space="preserve"> </w:t>
      </w:r>
      <w:r w:rsidRPr="003D101F">
        <w:rPr>
          <w:rFonts w:ascii="Adobe Garamond Pro" w:hAnsi="Adobe Garamond Pro" w:cs="Times New Roman"/>
          <w:i/>
          <w:iCs/>
          <w:sz w:val="20"/>
          <w:szCs w:val="20"/>
          <w:lang w:val="fr-FR"/>
        </w:rPr>
        <w:t>solo</w:t>
      </w:r>
      <w:r w:rsidRPr="003D101F">
        <w:rPr>
          <w:rFonts w:ascii="Adobe Garamond Pro" w:hAnsi="Adobe Garamond Pro" w:cs="Times New Roman"/>
          <w:i/>
          <w:iCs/>
          <w:sz w:val="20"/>
          <w:szCs w:val="20"/>
        </w:rPr>
        <w:t xml:space="preserve"> </w:t>
      </w:r>
      <w:r w:rsidRPr="003D101F">
        <w:rPr>
          <w:rFonts w:ascii="Adobe Garamond Pro" w:hAnsi="Adobe Garamond Pro" w:cs="Times New Roman"/>
          <w:i/>
          <w:iCs/>
          <w:sz w:val="20"/>
          <w:szCs w:val="20"/>
          <w:lang w:val="fr-FR"/>
        </w:rPr>
        <w:t>cedit</w:t>
      </w:r>
      <w:r w:rsidRPr="003D101F">
        <w:rPr>
          <w:rFonts w:ascii="Adobe Garamond Pro" w:hAnsi="Adobe Garamond Pro" w:cs="Times New Roman"/>
          <w:bCs/>
          <w:sz w:val="20"/>
          <w:szCs w:val="20"/>
        </w:rPr>
        <w:t xml:space="preserve">) višekratno primjenjivana u navedenoj judikaturi. Sve to upućuje na zaključak </w:t>
      </w:r>
      <w:r w:rsidRPr="003D101F">
        <w:rPr>
          <w:rFonts w:ascii="Adobe Garamond Pro" w:hAnsi="Adobe Garamond Pro" w:cs="Times New Roman"/>
          <w:sz w:val="20"/>
          <w:szCs w:val="20"/>
        </w:rPr>
        <w:t>da su pojedina pravila općeg prava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prihvaćena kao važeći normativni sadržaji u sudskoj praksi </w:t>
      </w:r>
      <w:r w:rsidRPr="003D101F">
        <w:rPr>
          <w:rFonts w:ascii="Adobe Garamond Pro" w:hAnsi="Adobe Garamond Pro" w:cs="Times New Roman"/>
          <w:bCs/>
          <w:sz w:val="20"/>
          <w:szCs w:val="20"/>
        </w:rPr>
        <w:t>Ustavnog suda Bosne i Hercegovine</w:t>
      </w:r>
      <w:r w:rsidRPr="003D101F">
        <w:rPr>
          <w:rFonts w:ascii="Adobe Garamond Pro" w:hAnsi="Adobe Garamond Pro" w:cs="Times New Roman"/>
          <w:sz w:val="20"/>
          <w:szCs w:val="20"/>
        </w:rPr>
        <w:t>. Sve u svemu, na temelju navedenih činjenica može se zaključiti da latinske pravne izreke kao iznimno važna sastavnica europske pravne tradicije predstavljaju integralni aspekt bosanskohercegovačkog pravnog sustava</w:t>
      </w:r>
      <w:r w:rsidRPr="003D101F">
        <w:rPr>
          <w:rStyle w:val="FootnoteReference"/>
          <w:rFonts w:ascii="Adobe Garamond Pro" w:hAnsi="Adobe Garamond Pro"/>
          <w:sz w:val="20"/>
          <w:szCs w:val="20"/>
        </w:rPr>
        <w:footnoteReference w:id="33"/>
      </w:r>
      <w:r w:rsidRPr="003D101F">
        <w:rPr>
          <w:rFonts w:ascii="Adobe Garamond Pro" w:hAnsi="Adobe Garamond Pro" w:cs="Times New Roman"/>
          <w:sz w:val="20"/>
          <w:szCs w:val="20"/>
        </w:rPr>
        <w:t>.</w:t>
      </w:r>
    </w:p>
    <w:p w:rsidR="00620829" w:rsidRPr="003D101F" w:rsidRDefault="00620829" w:rsidP="004B6972">
      <w:pPr>
        <w:spacing w:after="0" w:line="240" w:lineRule="auto"/>
        <w:ind w:firstLine="720"/>
        <w:jc w:val="both"/>
        <w:rPr>
          <w:rFonts w:ascii="Adobe Garamond Pro" w:hAnsi="Adobe Garamond Pro" w:cs="Times New Roman"/>
          <w:sz w:val="20"/>
          <w:szCs w:val="20"/>
        </w:rPr>
      </w:pPr>
    </w:p>
    <w:p w:rsidR="004B6972" w:rsidRPr="003D101F" w:rsidRDefault="004B6972" w:rsidP="004B6972">
      <w:pPr>
        <w:spacing w:after="0" w:line="240" w:lineRule="auto"/>
        <w:ind w:firstLine="720"/>
        <w:jc w:val="both"/>
        <w:rPr>
          <w:rFonts w:ascii="Adobe Garamond Pro" w:hAnsi="Adobe Garamond Pro" w:cs="Times New Roman"/>
          <w:sz w:val="20"/>
          <w:szCs w:val="20"/>
        </w:rPr>
      </w:pPr>
      <w:r w:rsidRPr="003D101F">
        <w:rPr>
          <w:rFonts w:ascii="Adobe Garamond Pro" w:hAnsi="Adobe Garamond Pro" w:cs="Times New Roman"/>
          <w:sz w:val="20"/>
          <w:szCs w:val="20"/>
        </w:rPr>
        <w:t>U navedenom kontekstu treba posebice istaknuti da izravna primjena rimskih pravnih pravila u obliku latinskih pravnih izreka od strane današnje pravne prakse nipošto ne predstavlja rijetkost</w:t>
      </w:r>
      <w:r w:rsidRPr="003D101F">
        <w:rPr>
          <w:rFonts w:ascii="Adobe Garamond Pro" w:hAnsi="Adobe Garamond Pro" w:cs="Times New Roman"/>
          <w:i/>
          <w:sz w:val="20"/>
          <w:szCs w:val="20"/>
        </w:rPr>
        <w:t xml:space="preserve"> </w:t>
      </w:r>
      <w:r w:rsidRPr="003D101F">
        <w:rPr>
          <w:rFonts w:ascii="Adobe Garamond Pro" w:hAnsi="Adobe Garamond Pro" w:cs="Times New Roman"/>
          <w:sz w:val="20"/>
          <w:szCs w:val="20"/>
        </w:rPr>
        <w:t xml:space="preserve">ni u europskim, a niti u svjetskim razmjerima. Štoviše,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još uvijek predstavlja izvor pozitivnog privatnog prava u desetak europskih i izvaneuropskih zemalja</w:t>
      </w:r>
      <w:r w:rsidRPr="003D101F">
        <w:rPr>
          <w:rStyle w:val="FootnoteReference"/>
          <w:rFonts w:ascii="Adobe Garamond Pro" w:hAnsi="Adobe Garamond Pro"/>
          <w:sz w:val="20"/>
          <w:szCs w:val="20"/>
        </w:rPr>
        <w:footnoteReference w:id="34"/>
      </w:r>
      <w:r w:rsidRPr="003D101F">
        <w:rPr>
          <w:rFonts w:ascii="Adobe Garamond Pro" w:hAnsi="Adobe Garamond Pro" w:cs="Times New Roman"/>
          <w:sz w:val="20"/>
          <w:szCs w:val="20"/>
        </w:rPr>
        <w:t xml:space="preserve">, a sudska praksa u tim zemljama često temelji svoje odluke izravno na rimskim pravnim pravilima u obliku latinskih pravnih izreka. Također, i u zemljama gdje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w:t>
      </w:r>
      <w:r w:rsidRPr="003D101F">
        <w:rPr>
          <w:rFonts w:ascii="Adobe Garamond Pro" w:hAnsi="Adobe Garamond Pro" w:cs="Times New Roman"/>
          <w:sz w:val="20"/>
          <w:szCs w:val="20"/>
        </w:rPr>
        <w:lastRenderedPageBreak/>
        <w:t>ne predstavlja izvor pozitivnog prava, sudska praksa se učestalo referira na brojne latinske pravne izreke koje sadrže u sebi opća načela prava</w:t>
      </w:r>
      <w:r w:rsidRPr="003D101F">
        <w:rPr>
          <w:rStyle w:val="FootnoteReference"/>
          <w:rFonts w:ascii="Adobe Garamond Pro" w:hAnsi="Adobe Garamond Pro"/>
          <w:sz w:val="20"/>
          <w:szCs w:val="20"/>
        </w:rPr>
        <w:footnoteReference w:id="35"/>
      </w:r>
      <w:r w:rsidRPr="003D101F">
        <w:rPr>
          <w:rFonts w:ascii="Adobe Garamond Pro" w:hAnsi="Adobe Garamond Pro" w:cs="Times New Roman"/>
          <w:sz w:val="20"/>
          <w:szCs w:val="20"/>
        </w:rPr>
        <w:t>. U navedenom kontekstu posebno je zanimljivo podvući da su se sudska tijela Europske unije, jednako kao i međunarodni sudovi, u relevantnom broju slučajeva također izravno pozivali na rimska pravna načela izražena latinskim pravnim izrekama</w:t>
      </w:r>
      <w:r w:rsidRPr="003D101F">
        <w:rPr>
          <w:rStyle w:val="FootnoteReference"/>
          <w:rFonts w:ascii="Adobe Garamond Pro" w:hAnsi="Adobe Garamond Pro"/>
          <w:sz w:val="20"/>
          <w:szCs w:val="20"/>
        </w:rPr>
        <w:footnoteReference w:id="36"/>
      </w:r>
      <w:r w:rsidRPr="003D101F">
        <w:rPr>
          <w:rFonts w:ascii="Adobe Garamond Pro" w:hAnsi="Adobe Garamond Pro" w:cs="Times New Roman"/>
          <w:sz w:val="20"/>
          <w:szCs w:val="20"/>
        </w:rPr>
        <w:t>. Sve to svjedoči o aktualnoj globalnoj relevantnosti navedenog važnog pojavnog oblika europske pravne tradicije.</w:t>
      </w:r>
    </w:p>
    <w:p w:rsidR="00620829" w:rsidRPr="003D101F" w:rsidRDefault="00620829" w:rsidP="004B6972">
      <w:pPr>
        <w:spacing w:after="0" w:line="240" w:lineRule="auto"/>
        <w:ind w:firstLine="720"/>
        <w:jc w:val="both"/>
        <w:rPr>
          <w:rFonts w:ascii="Adobe Garamond Pro" w:hAnsi="Adobe Garamond Pro" w:cs="Times New Roman"/>
          <w:sz w:val="20"/>
          <w:szCs w:val="20"/>
        </w:rPr>
      </w:pPr>
    </w:p>
    <w:p w:rsidR="004B6972" w:rsidRPr="003D101F" w:rsidRDefault="004B6972" w:rsidP="004B6972">
      <w:pPr>
        <w:spacing w:after="0" w:line="240" w:lineRule="auto"/>
        <w:ind w:firstLine="708"/>
        <w:jc w:val="both"/>
        <w:rPr>
          <w:rFonts w:ascii="Adobe Garamond Pro" w:hAnsi="Adobe Garamond Pro" w:cs="Times New Roman"/>
          <w:sz w:val="20"/>
          <w:szCs w:val="20"/>
          <w:lang w:val="it-IT"/>
        </w:rPr>
      </w:pPr>
      <w:r w:rsidRPr="003D101F">
        <w:rPr>
          <w:rFonts w:ascii="Adobe Garamond Pro" w:hAnsi="Adobe Garamond Pro" w:cs="Times New Roman"/>
          <w:sz w:val="20"/>
          <w:szCs w:val="20"/>
        </w:rPr>
        <w:t>Bez obzira na navedeni univerzalan karakter latinskih pravnih izreka koje sadrže temeljna pravna načela, pravnici sa južnoslavenskih prostora pokušali su već u 19 st. najvažnije i najpoznatije od njih prevesti na narodni jezik radi sveopće razumljivosti u puku. U tom smislu posebice je značajan pothvat znamenitog pravnika i polihistora Baltazara (Balda) Bogišića (1834-1908). Bogišić je od svojih znanstvenih početaka intenzivno istraživao tekstualne i sadržajne istovjetnosti između regula</w:t>
      </w:r>
      <w:r w:rsidRPr="003D101F">
        <w:rPr>
          <w:rFonts w:ascii="Adobe Garamond Pro" w:hAnsi="Adobe Garamond Pro" w:cs="Times New Roman"/>
          <w:i/>
          <w:sz w:val="20"/>
          <w:szCs w:val="20"/>
        </w:rPr>
        <w:t xml:space="preserve"> iuris </w:t>
      </w:r>
      <w:r w:rsidRPr="003D101F">
        <w:rPr>
          <w:rFonts w:ascii="Adobe Garamond Pro" w:hAnsi="Adobe Garamond Pro" w:cs="Times New Roman"/>
          <w:sz w:val="20"/>
          <w:szCs w:val="20"/>
        </w:rPr>
        <w:t>pripadnih rimskoj pravnoj tradiciji i slavenskih narodnih poslovica pravnog karaktera</w:t>
      </w:r>
      <w:r w:rsidRPr="003D101F">
        <w:rPr>
          <w:rStyle w:val="FootnoteReference"/>
          <w:rFonts w:ascii="Adobe Garamond Pro" w:hAnsi="Adobe Garamond Pro"/>
          <w:sz w:val="20"/>
          <w:szCs w:val="20"/>
        </w:rPr>
        <w:footnoteReference w:id="37"/>
      </w:r>
      <w:r w:rsidRPr="003D101F">
        <w:rPr>
          <w:rFonts w:ascii="Adobe Garamond Pro" w:hAnsi="Adobe Garamond Pro" w:cs="Times New Roman"/>
          <w:sz w:val="20"/>
          <w:szCs w:val="20"/>
        </w:rPr>
        <w:t xml:space="preserve">. Polazeći od navedenih istraživanja, on je u posljednjem razdjelu šestog dijela svojeg </w:t>
      </w:r>
      <w:r w:rsidRPr="003D101F">
        <w:rPr>
          <w:rFonts w:ascii="Adobe Garamond Pro" w:hAnsi="Adobe Garamond Pro" w:cs="Times New Roman"/>
          <w:i/>
          <w:sz w:val="20"/>
          <w:szCs w:val="20"/>
        </w:rPr>
        <w:t>Opšteg imovinskog zakonika</w:t>
      </w:r>
      <w:r w:rsidRPr="003D101F">
        <w:rPr>
          <w:rFonts w:ascii="Adobe Garamond Pro" w:hAnsi="Adobe Garamond Pro" w:cs="Times New Roman"/>
          <w:sz w:val="20"/>
          <w:szCs w:val="20"/>
        </w:rPr>
        <w:t xml:space="preserve"> </w:t>
      </w:r>
      <w:r w:rsidRPr="003D101F">
        <w:rPr>
          <w:rFonts w:ascii="Adobe Garamond Pro" w:hAnsi="Adobe Garamond Pro" w:cs="Times New Roman"/>
          <w:i/>
          <w:sz w:val="20"/>
          <w:szCs w:val="20"/>
        </w:rPr>
        <w:t>za Knjaževinu Crnu Goru</w:t>
      </w:r>
      <w:r w:rsidRPr="003D101F">
        <w:rPr>
          <w:rFonts w:ascii="Adobe Garamond Pro" w:hAnsi="Adobe Garamond Pro" w:cs="Times New Roman"/>
          <w:sz w:val="20"/>
          <w:szCs w:val="20"/>
        </w:rPr>
        <w:t xml:space="preserve"> (OIZ) iz 1888. godine pod naslovom </w:t>
      </w:r>
      <w:r w:rsidRPr="003D101F">
        <w:rPr>
          <w:rFonts w:ascii="Adobe Garamond Pro" w:hAnsi="Adobe Garamond Pro" w:cs="Times New Roman"/>
          <w:i/>
          <w:sz w:val="20"/>
          <w:szCs w:val="20"/>
        </w:rPr>
        <w:t>Neke zakonjačke (pravničke) izreke i postavke koje, i ako ne mogu zakona ni preinačiti ni zamijeniti, mogu mu, ipak, objasniti smisao</w:t>
      </w:r>
      <w:r w:rsidRPr="003D101F">
        <w:rPr>
          <w:rFonts w:ascii="Adobe Garamond Pro" w:hAnsi="Adobe Garamond Pro" w:cs="Times New Roman"/>
          <w:sz w:val="20"/>
          <w:szCs w:val="20"/>
        </w:rPr>
        <w:t xml:space="preserve"> formulirao 45 pravnih poslovica na narodnom jeziku na temelju latinskih pravnih izreka koje sadrže temeljna pravna načela. Kako su rimskopravni temelji Bogišićevih „zakonjačkih izreka“ ili „zakonjača“ kao finalnog segmenta OIZ-a već u više navrata tematizirani u pravnoj znanosti</w:t>
      </w:r>
      <w:r w:rsidRPr="003D101F">
        <w:rPr>
          <w:rStyle w:val="FootnoteReference"/>
          <w:rFonts w:ascii="Adobe Garamond Pro" w:hAnsi="Adobe Garamond Pro"/>
          <w:sz w:val="20"/>
          <w:szCs w:val="20"/>
        </w:rPr>
        <w:footnoteReference w:id="38"/>
      </w:r>
      <w:r w:rsidRPr="003D101F">
        <w:rPr>
          <w:rFonts w:ascii="Adobe Garamond Pro" w:hAnsi="Adobe Garamond Pro" w:cs="Times New Roman"/>
          <w:sz w:val="20"/>
          <w:szCs w:val="20"/>
        </w:rPr>
        <w:t xml:space="preserve">, ovdje nećemo ulaziti u detalje navedene problematike. Navest ćemo samo </w:t>
      </w:r>
      <w:r w:rsidRPr="003D101F">
        <w:rPr>
          <w:rFonts w:ascii="Adobe Garamond Pro" w:hAnsi="Adobe Garamond Pro" w:cs="Times New Roman"/>
          <w:sz w:val="20"/>
          <w:szCs w:val="20"/>
        </w:rPr>
        <w:lastRenderedPageBreak/>
        <w:t xml:space="preserve">nekoliko aktualnih primjera uporabe Bogišićevih „preobrazbi“ latinskih pravnih izreka u narodne pravne poslovice. Primjerice, u jednom od najznačajnijih sistemskih pregleda građanskog prava nastalih posljednjih desetljeća na južnoslavenskim prostorima, pri analizi važećih obveznopravnih odredbi o konvalidaciji, izričito je navedena već spomenuta rimska regula </w:t>
      </w:r>
      <w:r w:rsidRPr="003D101F">
        <w:rPr>
          <w:rFonts w:ascii="Adobe Garamond Pro" w:hAnsi="Adobe Garamond Pro" w:cs="Times New Roman"/>
          <w:i/>
          <w:sz w:val="20"/>
          <w:szCs w:val="20"/>
        </w:rPr>
        <w:t>quod ab initio vitiosum est non potest tractu temporis convalescere</w:t>
      </w:r>
      <w:r w:rsidRPr="003D101F">
        <w:rPr>
          <w:rFonts w:ascii="Adobe Garamond Pro" w:hAnsi="Adobe Garamond Pro" w:cs="Times New Roman"/>
          <w:sz w:val="20"/>
          <w:szCs w:val="20"/>
        </w:rPr>
        <w:t xml:space="preserve"> uz istovremenu poredbu sa istoznačnom Bogišićevom izrekom </w:t>
      </w:r>
      <w:r w:rsidRPr="003D101F">
        <w:rPr>
          <w:rFonts w:ascii="Adobe Garamond Pro" w:hAnsi="Adobe Garamond Pro" w:cs="Times New Roman"/>
          <w:i/>
          <w:sz w:val="20"/>
          <w:szCs w:val="20"/>
          <w:lang w:val="it-IT"/>
        </w:rPr>
        <w:t>što se grbo rodi, vrijeme ne ispravi; - što je s početka nezakonito, to samim vremenom zakonito ne postaje</w:t>
      </w:r>
      <w:r w:rsidRPr="003D101F">
        <w:rPr>
          <w:rStyle w:val="FootnoteReference"/>
          <w:rFonts w:ascii="Adobe Garamond Pro" w:hAnsi="Adobe Garamond Pro"/>
          <w:sz w:val="20"/>
          <w:szCs w:val="20"/>
          <w:lang w:val="it-IT"/>
        </w:rPr>
        <w:footnoteReference w:id="39"/>
      </w:r>
      <w:r w:rsidRPr="003D101F">
        <w:rPr>
          <w:rFonts w:ascii="Adobe Garamond Pro" w:hAnsi="Adobe Garamond Pro" w:cs="Times New Roman"/>
          <w:sz w:val="20"/>
          <w:szCs w:val="20"/>
          <w:lang w:val="it-IT"/>
        </w:rPr>
        <w:t xml:space="preserve">. Nadalje, treba spomenuti i da se jedna Bogišićeva izreka </w:t>
      </w:r>
      <w:r w:rsidRPr="003D101F">
        <w:rPr>
          <w:rFonts w:ascii="Adobe Garamond Pro" w:hAnsi="Adobe Garamond Pro" w:cs="Times New Roman"/>
          <w:i/>
          <w:iCs/>
          <w:sz w:val="20"/>
          <w:szCs w:val="20"/>
          <w:lang w:val="it-IT"/>
        </w:rPr>
        <w:t xml:space="preserve">explicite </w:t>
      </w:r>
      <w:r w:rsidRPr="003D101F">
        <w:rPr>
          <w:rFonts w:ascii="Adobe Garamond Pro" w:hAnsi="Adobe Garamond Pro" w:cs="Times New Roman"/>
          <w:sz w:val="20"/>
          <w:szCs w:val="20"/>
          <w:lang w:val="it-IT"/>
        </w:rPr>
        <w:t xml:space="preserve">koristi kao relevantan normativni sadržaj u možda najutjecajnijem djelu doktrine građanskog procesnog prava na našim prostorima: “Kad se određena pravna sredstva, na način koji je na izgled u skladu sa zakonom, upotrijebe radi ostvarenja nedopuštenih ciljeva, takvo ponašanje, koje je u protivnosti s pravilima morala, je protupravno ponašanje. </w:t>
      </w:r>
      <w:r w:rsidRPr="003D101F">
        <w:rPr>
          <w:rFonts w:ascii="Adobe Garamond Pro" w:hAnsi="Adobe Garamond Pro" w:cs="Times New Roman"/>
          <w:i/>
          <w:iCs/>
          <w:sz w:val="20"/>
          <w:szCs w:val="20"/>
          <w:lang w:val="it-IT"/>
        </w:rPr>
        <w:t>Ni svojim se pravom služiti nemoš',  tek drugome na štetu il' dosadu</w:t>
      </w:r>
      <w:r w:rsidRPr="003D101F">
        <w:rPr>
          <w:rFonts w:ascii="Adobe Garamond Pro" w:hAnsi="Adobe Garamond Pro" w:cs="Times New Roman"/>
          <w:sz w:val="20"/>
          <w:szCs w:val="20"/>
          <w:lang w:val="it-IT"/>
        </w:rPr>
        <w:t>, bilo je napisano još u čl. 1000. Opšteg imovinskog zakonika za Crnu Goru”</w:t>
      </w:r>
      <w:r w:rsidRPr="003D101F">
        <w:rPr>
          <w:rStyle w:val="FootnoteReference"/>
          <w:rFonts w:ascii="Adobe Garamond Pro" w:hAnsi="Adobe Garamond Pro"/>
          <w:sz w:val="20"/>
          <w:szCs w:val="20"/>
          <w:lang w:val="it-IT"/>
        </w:rPr>
        <w:footnoteReference w:id="40"/>
      </w:r>
      <w:r w:rsidRPr="003D101F">
        <w:rPr>
          <w:rFonts w:ascii="Adobe Garamond Pro" w:hAnsi="Adobe Garamond Pro" w:cs="Times New Roman"/>
          <w:sz w:val="20"/>
          <w:szCs w:val="20"/>
          <w:lang w:val="it-IT"/>
        </w:rPr>
        <w:t>. Polazeći od sadržaja navedenog citata, u kojem možemo vidjeti jedan slučaj izravne primjene Bogišićevih izreka u kontekstu važećeg procesnog prava, treba ustvrditi da i citirana izreka ima svoj precizni klasični rimski predložak, na što je recentno upozoreno u znanosti rimskog prava</w:t>
      </w:r>
      <w:r w:rsidRPr="003D101F">
        <w:rPr>
          <w:rStyle w:val="FootnoteReference"/>
          <w:rFonts w:ascii="Adobe Garamond Pro" w:hAnsi="Adobe Garamond Pro"/>
          <w:sz w:val="20"/>
          <w:szCs w:val="20"/>
        </w:rPr>
        <w:footnoteReference w:id="41"/>
      </w:r>
      <w:r w:rsidRPr="003D101F">
        <w:rPr>
          <w:rFonts w:ascii="Adobe Garamond Pro" w:hAnsi="Adobe Garamond Pro" w:cs="Times New Roman"/>
          <w:sz w:val="20"/>
          <w:szCs w:val="20"/>
          <w:lang w:val="it-IT"/>
        </w:rPr>
        <w:t>. Radi se o jednoj postavci klasičnog pravnika Gaja (</w:t>
      </w:r>
      <w:r w:rsidRPr="003D101F">
        <w:rPr>
          <w:rFonts w:ascii="Adobe Garamond Pro" w:hAnsi="Adobe Garamond Pro" w:cs="Times New Roman"/>
          <w:i/>
          <w:iCs/>
          <w:sz w:val="20"/>
          <w:szCs w:val="20"/>
          <w:lang w:val="it-IT"/>
        </w:rPr>
        <w:t>Gaius</w:t>
      </w:r>
      <w:r w:rsidRPr="003D101F">
        <w:rPr>
          <w:rFonts w:ascii="Adobe Garamond Pro" w:hAnsi="Adobe Garamond Pro" w:cs="Times New Roman"/>
          <w:sz w:val="20"/>
          <w:szCs w:val="20"/>
          <w:lang w:val="it-IT"/>
        </w:rPr>
        <w:t xml:space="preserve">) koja glasi: </w:t>
      </w:r>
      <w:r w:rsidRPr="003D101F">
        <w:rPr>
          <w:rFonts w:ascii="Adobe Garamond Pro" w:hAnsi="Adobe Garamond Pro" w:cs="Times New Roman"/>
          <w:i/>
          <w:sz w:val="20"/>
          <w:szCs w:val="20"/>
          <w:lang w:val="it-IT"/>
        </w:rPr>
        <w:t>Male enim iure nostro uti non debemus</w:t>
      </w:r>
      <w:r w:rsidRPr="003D101F">
        <w:rPr>
          <w:rFonts w:ascii="Adobe Garamond Pro" w:hAnsi="Adobe Garamond Pro" w:cs="Times New Roman"/>
          <w:sz w:val="20"/>
          <w:szCs w:val="20"/>
          <w:lang w:val="it-IT"/>
        </w:rPr>
        <w:t xml:space="preserve"> (“Ne smijemo zlouporabiti svoje pravo”)</w:t>
      </w:r>
      <w:r w:rsidRPr="003D101F">
        <w:rPr>
          <w:rStyle w:val="FootnoteReference"/>
          <w:rFonts w:ascii="Adobe Garamond Pro" w:hAnsi="Adobe Garamond Pro"/>
          <w:sz w:val="20"/>
          <w:szCs w:val="20"/>
        </w:rPr>
        <w:footnoteReference w:id="42"/>
      </w:r>
      <w:r w:rsidRPr="003D101F">
        <w:rPr>
          <w:rFonts w:ascii="Adobe Garamond Pro" w:hAnsi="Adobe Garamond Pro" w:cs="Times New Roman"/>
          <w:sz w:val="20"/>
          <w:szCs w:val="20"/>
          <w:lang w:val="it-IT"/>
        </w:rPr>
        <w:t xml:space="preserve">. </w:t>
      </w:r>
    </w:p>
    <w:p w:rsidR="00620829" w:rsidRPr="003D101F" w:rsidRDefault="00620829" w:rsidP="004B6972">
      <w:pPr>
        <w:spacing w:after="0" w:line="240" w:lineRule="auto"/>
        <w:ind w:firstLine="708"/>
        <w:jc w:val="both"/>
        <w:rPr>
          <w:rFonts w:ascii="Adobe Garamond Pro" w:hAnsi="Adobe Garamond Pro" w:cs="Times New Roman"/>
          <w:sz w:val="20"/>
          <w:szCs w:val="20"/>
          <w:lang w:val="it-IT"/>
        </w:rPr>
      </w:pPr>
    </w:p>
    <w:p w:rsidR="004B6972" w:rsidRPr="003D101F" w:rsidRDefault="004B6972" w:rsidP="004B6972">
      <w:pPr>
        <w:spacing w:after="0" w:line="240" w:lineRule="auto"/>
        <w:ind w:right="74" w:firstLine="708"/>
        <w:jc w:val="both"/>
        <w:rPr>
          <w:rFonts w:ascii="Adobe Garamond Pro" w:hAnsi="Adobe Garamond Pro" w:cs="Times New Roman"/>
          <w:sz w:val="20"/>
          <w:szCs w:val="20"/>
        </w:rPr>
      </w:pPr>
      <w:r w:rsidRPr="003D101F">
        <w:rPr>
          <w:rFonts w:ascii="Adobe Garamond Pro" w:hAnsi="Adobe Garamond Pro" w:cs="Times New Roman"/>
          <w:sz w:val="20"/>
          <w:szCs w:val="20"/>
          <w:lang w:val="it-IT"/>
        </w:rPr>
        <w:t xml:space="preserve">Kao posljednji primjer, obratit ćemo pozornost na Bogišićevu “zakonjaču” iz čl. 1017 OIZ-a koja glasi: </w:t>
      </w:r>
      <w:r w:rsidRPr="003D101F">
        <w:rPr>
          <w:rFonts w:ascii="Adobe Garamond Pro" w:hAnsi="Adobe Garamond Pro" w:cs="Times New Roman"/>
          <w:i/>
          <w:iCs/>
          <w:sz w:val="20"/>
          <w:szCs w:val="20"/>
          <w:lang w:val="sv-SE"/>
        </w:rPr>
        <w:t>Čija zemlja toga i dvori, čija njiva toga i usijev</w:t>
      </w:r>
      <w:r w:rsidRPr="003D101F">
        <w:rPr>
          <w:rFonts w:ascii="Adobe Garamond Pro" w:hAnsi="Adobe Garamond Pro" w:cs="Times New Roman"/>
          <w:sz w:val="20"/>
          <w:szCs w:val="20"/>
          <w:lang w:val="sv-SE"/>
        </w:rPr>
        <w:t xml:space="preserve">. Nije teško prepoznati da navedena poslovica ima svoj rimski temelj u znamenitoj latinskoj izreci </w:t>
      </w:r>
      <w:r w:rsidRPr="003D101F">
        <w:rPr>
          <w:rFonts w:ascii="Adobe Garamond Pro" w:hAnsi="Adobe Garamond Pro" w:cs="Times New Roman"/>
          <w:i/>
          <w:iCs/>
          <w:sz w:val="20"/>
          <w:szCs w:val="20"/>
          <w:lang w:val="sv-SE"/>
        </w:rPr>
        <w:t>superficies solo cedit</w:t>
      </w:r>
      <w:r w:rsidRPr="003D101F">
        <w:rPr>
          <w:rFonts w:ascii="Adobe Garamond Pro" w:hAnsi="Adobe Garamond Pro" w:cs="Times New Roman"/>
          <w:sz w:val="20"/>
          <w:szCs w:val="20"/>
          <w:lang w:val="sv-SE"/>
        </w:rPr>
        <w:t xml:space="preserve"> (”</w:t>
      </w:r>
      <w:r w:rsidRPr="003D101F">
        <w:rPr>
          <w:rFonts w:ascii="Adobe Garamond Pro" w:hAnsi="Adobe Garamond Pro" w:cs="Times New Roman"/>
          <w:sz w:val="20"/>
          <w:szCs w:val="20"/>
        </w:rPr>
        <w:t>površina pripada tlu”)</w:t>
      </w:r>
      <w:r w:rsidRPr="003D101F">
        <w:rPr>
          <w:rStyle w:val="FootnoteReference"/>
          <w:rFonts w:ascii="Adobe Garamond Pro" w:hAnsi="Adobe Garamond Pro"/>
          <w:sz w:val="20"/>
          <w:szCs w:val="20"/>
        </w:rPr>
        <w:footnoteReference w:id="43"/>
      </w:r>
      <w:r w:rsidRPr="003D101F">
        <w:rPr>
          <w:rFonts w:ascii="Adobe Garamond Pro" w:hAnsi="Adobe Garamond Pro" w:cs="Times New Roman"/>
          <w:sz w:val="20"/>
          <w:szCs w:val="20"/>
        </w:rPr>
        <w:t xml:space="preserve">. Kada se promatra odnos navedenih </w:t>
      </w:r>
      <w:r w:rsidRPr="003D101F">
        <w:rPr>
          <w:rFonts w:ascii="Adobe Garamond Pro" w:hAnsi="Adobe Garamond Pro" w:cs="Times New Roman"/>
          <w:snapToGrid w:val="0"/>
          <w:sz w:val="20"/>
          <w:szCs w:val="20"/>
          <w:lang w:val="sv-SE"/>
        </w:rPr>
        <w:t xml:space="preserve">regula </w:t>
      </w:r>
      <w:r w:rsidRPr="003D101F">
        <w:rPr>
          <w:rFonts w:ascii="Adobe Garamond Pro" w:hAnsi="Adobe Garamond Pro" w:cs="Times New Roman"/>
          <w:i/>
          <w:snapToGrid w:val="0"/>
          <w:sz w:val="20"/>
          <w:szCs w:val="20"/>
          <w:lang w:val="sv-SE"/>
        </w:rPr>
        <w:t xml:space="preserve">iuris </w:t>
      </w:r>
      <w:r w:rsidRPr="003D101F">
        <w:rPr>
          <w:rFonts w:ascii="Adobe Garamond Pro" w:hAnsi="Adobe Garamond Pro" w:cs="Times New Roman"/>
          <w:snapToGrid w:val="0"/>
          <w:sz w:val="20"/>
          <w:szCs w:val="20"/>
          <w:lang w:val="sv-SE"/>
        </w:rPr>
        <w:t xml:space="preserve">pripadnih rimskoj pravnoj tradiciji i Bogišićevih zakonjača - ne preostaje nam drugo nego ponoviti nadasve točan uvid Konstantina kneza Vojnovića Užičkog iz prve opširnije domaće rasprave o OIZ-u da su Bogišićeve zakonjače ”u popularne rečenice odjenute izreke rimske mudrosti” </w:t>
      </w:r>
      <w:r w:rsidRPr="003D101F">
        <w:rPr>
          <w:rFonts w:ascii="Adobe Garamond Pro" w:hAnsi="Adobe Garamond Pro" w:cs="Times New Roman"/>
          <w:snapToGrid w:val="0"/>
          <w:sz w:val="20"/>
          <w:szCs w:val="20"/>
          <w:lang w:val="sv-SE"/>
        </w:rPr>
        <w:lastRenderedPageBreak/>
        <w:t>s ciljem postati ”sokom pravne sviesti u narodu”</w:t>
      </w:r>
      <w:r w:rsidRPr="003D101F">
        <w:rPr>
          <w:rStyle w:val="FootnoteReference"/>
          <w:rFonts w:ascii="Adobe Garamond Pro" w:hAnsi="Adobe Garamond Pro"/>
          <w:snapToGrid w:val="0"/>
          <w:sz w:val="20"/>
          <w:szCs w:val="20"/>
          <w:lang w:val="sv-SE"/>
        </w:rPr>
        <w:footnoteReference w:id="44"/>
      </w:r>
      <w:r w:rsidRPr="003D101F">
        <w:rPr>
          <w:rFonts w:ascii="Adobe Garamond Pro" w:hAnsi="Adobe Garamond Pro" w:cs="Times New Roman"/>
          <w:snapToGrid w:val="0"/>
          <w:sz w:val="20"/>
          <w:szCs w:val="20"/>
          <w:lang w:val="sv-SE"/>
        </w:rPr>
        <w:t xml:space="preserve">. Nažalost, valja primjetiti da navedenu sposobnost kratke, jezgrovite i precizne jezične pretvorbe ”rimske mudrosti” u ”popularne rečenice” nije imao suvremeni zakonodavac kada je, primjerice, načelo </w:t>
      </w:r>
      <w:r w:rsidRPr="003D101F">
        <w:rPr>
          <w:rFonts w:ascii="Adobe Garamond Pro" w:hAnsi="Adobe Garamond Pro" w:cs="Times New Roman"/>
          <w:i/>
          <w:iCs/>
          <w:sz w:val="20"/>
          <w:szCs w:val="20"/>
          <w:lang w:val="sv-SE"/>
        </w:rPr>
        <w:t xml:space="preserve">superficies solo cedit </w:t>
      </w:r>
      <w:r w:rsidRPr="003D101F">
        <w:rPr>
          <w:rFonts w:ascii="Adobe Garamond Pro" w:hAnsi="Adobe Garamond Pro" w:cs="Times New Roman"/>
          <w:iCs/>
          <w:sz w:val="20"/>
          <w:szCs w:val="20"/>
          <w:lang w:val="sv-SE"/>
        </w:rPr>
        <w:t xml:space="preserve">izrazio u okviru zakonske definicije sadržane u čl. 7. st. 2. </w:t>
      </w:r>
      <w:r w:rsidRPr="003D101F">
        <w:rPr>
          <w:rFonts w:ascii="Adobe Garamond Pro" w:hAnsi="Adobe Garamond Pro" w:cs="Times New Roman"/>
          <w:i/>
          <w:iCs/>
          <w:sz w:val="20"/>
          <w:szCs w:val="20"/>
        </w:rPr>
        <w:t>Zakona o vlasništvu i drugim stvarnim pravima Brčko Distrikta Bosne i Hercegovine</w:t>
      </w:r>
      <w:r w:rsidRPr="003D101F">
        <w:rPr>
          <w:rFonts w:ascii="Adobe Garamond Pro" w:hAnsi="Adobe Garamond Pro" w:cs="Times New Roman"/>
          <w:iCs/>
          <w:sz w:val="20"/>
          <w:szCs w:val="20"/>
        </w:rPr>
        <w:t xml:space="preserve"> na sljedeći način: „</w:t>
      </w:r>
      <w:r w:rsidRPr="003D101F">
        <w:rPr>
          <w:rFonts w:ascii="Adobe Garamond Pro" w:hAnsi="Adobe Garamond Pro" w:cs="Times New Roman"/>
          <w:sz w:val="20"/>
          <w:szCs w:val="20"/>
        </w:rPr>
        <w:t>Nepokretne stvari (nekretnine) su čestice zemljine površine, zajedno sa svim onim što je na zemljištu trajno spojeno na površini ili ispod nje, ako zakonom nije drugačije određeno, te pripatci nekretnina dok, po zakonu ili po volji vlasnika, služe iskorištavanju glavne stvari (nektetnine po namjeni)“.</w:t>
      </w:r>
      <w:r w:rsidRPr="003D101F">
        <w:rPr>
          <w:rFonts w:ascii="Adobe Garamond Pro" w:hAnsi="Adobe Garamond Pro" w:cs="Times New Roman"/>
          <w:iCs/>
          <w:sz w:val="20"/>
          <w:szCs w:val="20"/>
        </w:rPr>
        <w:t xml:space="preserve"> </w:t>
      </w:r>
      <w:r w:rsidRPr="003D101F">
        <w:rPr>
          <w:rFonts w:ascii="Adobe Garamond Pro" w:hAnsi="Adobe Garamond Pro" w:cs="Times New Roman"/>
          <w:color w:val="000000"/>
          <w:sz w:val="20"/>
          <w:szCs w:val="20"/>
        </w:rPr>
        <w:t xml:space="preserve">Imajući u vidu da jezična pregnantnost i elegantnost navedene zakonske definicije, kao i drugih sličnih takvih definicija, često nije na razini odgovarajuće latinske pravne izreke (ili Bogišićeve „zakonjače“), ne začuđuje činjenica da se Ustavni sud Bosne i Hercegovine višekratno izravno na latinskom jeziku referirao na izreku </w:t>
      </w:r>
      <w:r w:rsidRPr="003D101F">
        <w:rPr>
          <w:rFonts w:ascii="Adobe Garamond Pro" w:hAnsi="Adobe Garamond Pro" w:cs="Times New Roman"/>
          <w:i/>
          <w:color w:val="000000"/>
          <w:sz w:val="20"/>
          <w:szCs w:val="20"/>
        </w:rPr>
        <w:t>superficies solo cedit</w:t>
      </w:r>
      <w:r w:rsidRPr="003D101F">
        <w:rPr>
          <w:rStyle w:val="FootnoteReference"/>
          <w:rFonts w:ascii="Adobe Garamond Pro" w:hAnsi="Adobe Garamond Pro"/>
          <w:sz w:val="20"/>
          <w:szCs w:val="20"/>
        </w:rPr>
        <w:footnoteReference w:id="45"/>
      </w:r>
      <w:r w:rsidRPr="003D101F">
        <w:rPr>
          <w:rFonts w:ascii="Adobe Garamond Pro" w:hAnsi="Adobe Garamond Pro" w:cs="Times New Roman"/>
          <w:sz w:val="20"/>
          <w:szCs w:val="20"/>
        </w:rPr>
        <w:t>. Na temelju posljednjeg navedenog primjera nije teško uvidjeti zašto je u određenim slučajevima i danas razborito dati prednost uporabi latinskih pravnih izreka</w:t>
      </w:r>
      <w:r w:rsidRPr="003D101F">
        <w:rPr>
          <w:rFonts w:ascii="Adobe Garamond Pro" w:hAnsi="Adobe Garamond Pro" w:cs="Times New Roman"/>
          <w:i/>
          <w:sz w:val="20"/>
          <w:szCs w:val="20"/>
        </w:rPr>
        <w:t xml:space="preserve"> </w:t>
      </w:r>
      <w:r w:rsidRPr="003D101F">
        <w:rPr>
          <w:rFonts w:ascii="Adobe Garamond Pro" w:hAnsi="Adobe Garamond Pro" w:cs="Times New Roman"/>
          <w:sz w:val="20"/>
          <w:szCs w:val="20"/>
        </w:rPr>
        <w:t>kao oblika tradicionalne europske pravne kulture naspram istoznačnih suvremenih zakonskih iskaza.</w:t>
      </w:r>
    </w:p>
    <w:p w:rsidR="004B6972" w:rsidRPr="003D101F" w:rsidRDefault="004B6972" w:rsidP="004B6972">
      <w:pPr>
        <w:spacing w:after="0" w:line="240" w:lineRule="auto"/>
        <w:ind w:right="74" w:firstLine="708"/>
        <w:jc w:val="both"/>
        <w:rPr>
          <w:rFonts w:ascii="Adobe Garamond Pro" w:hAnsi="Adobe Garamond Pro" w:cs="Times New Roman"/>
          <w:sz w:val="20"/>
          <w:szCs w:val="20"/>
        </w:rPr>
      </w:pPr>
    </w:p>
    <w:p w:rsidR="004B6972" w:rsidRPr="003D101F" w:rsidRDefault="00620829" w:rsidP="004B6972">
      <w:pPr>
        <w:spacing w:after="0" w:line="240" w:lineRule="auto"/>
        <w:ind w:right="74"/>
        <w:jc w:val="both"/>
        <w:rPr>
          <w:rFonts w:ascii="Adobe Garamond Pro" w:hAnsi="Adobe Garamond Pro" w:cs="Times New Roman"/>
          <w:b/>
        </w:rPr>
      </w:pPr>
      <w:r w:rsidRPr="003D101F">
        <w:rPr>
          <w:rFonts w:ascii="Adobe Garamond Pro" w:hAnsi="Adobe Garamond Pro" w:cs="Times New Roman"/>
          <w:b/>
        </w:rPr>
        <w:t>ZAKLJUČAK</w:t>
      </w:r>
    </w:p>
    <w:p w:rsidR="004B6972" w:rsidRPr="003D101F" w:rsidRDefault="004B6972" w:rsidP="004B6972">
      <w:pPr>
        <w:spacing w:after="0" w:line="240" w:lineRule="auto"/>
        <w:ind w:right="74"/>
        <w:jc w:val="both"/>
        <w:rPr>
          <w:rFonts w:ascii="Adobe Garamond Pro" w:hAnsi="Adobe Garamond Pro" w:cs="Times New Roman"/>
          <w:b/>
          <w:sz w:val="20"/>
          <w:szCs w:val="20"/>
        </w:rPr>
      </w:pPr>
    </w:p>
    <w:p w:rsidR="004B6972" w:rsidRPr="003D101F" w:rsidRDefault="004B6972" w:rsidP="004B6972">
      <w:pPr>
        <w:spacing w:after="0" w:line="240" w:lineRule="auto"/>
        <w:ind w:firstLine="709"/>
        <w:jc w:val="both"/>
        <w:rPr>
          <w:rFonts w:ascii="Adobe Garamond Pro" w:hAnsi="Adobe Garamond Pro" w:cs="Times New Roman"/>
          <w:sz w:val="20"/>
          <w:szCs w:val="20"/>
        </w:rPr>
      </w:pPr>
      <w:r w:rsidRPr="003D101F">
        <w:rPr>
          <w:rFonts w:ascii="Adobe Garamond Pro" w:hAnsi="Adobe Garamond Pro" w:cs="Times New Roman"/>
          <w:bCs/>
          <w:sz w:val="20"/>
          <w:szCs w:val="20"/>
        </w:rPr>
        <w:t xml:space="preserve">Primjena </w:t>
      </w:r>
      <w:r w:rsidRPr="003D101F">
        <w:rPr>
          <w:rFonts w:ascii="Adobe Garamond Pro" w:hAnsi="Adobe Garamond Pro" w:cs="Times New Roman"/>
          <w:sz w:val="20"/>
          <w:szCs w:val="20"/>
        </w:rPr>
        <w:t>načela općeg prava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w:t>
      </w:r>
      <w:r w:rsidRPr="003D101F">
        <w:rPr>
          <w:rFonts w:ascii="Adobe Garamond Pro" w:hAnsi="Adobe Garamond Pro" w:cs="Times New Roman"/>
          <w:bCs/>
          <w:sz w:val="20"/>
          <w:szCs w:val="20"/>
        </w:rPr>
        <w:t xml:space="preserve">u obliku latinskih pravnih izreka ima – kako na nacionalnoj, tako i na europskoj razini - sljedeće neposredne svrhe: </w:t>
      </w:r>
      <w:r w:rsidRPr="003D101F">
        <w:rPr>
          <w:rFonts w:ascii="Adobe Garamond Pro" w:hAnsi="Adobe Garamond Pro" w:cs="Times New Roman"/>
          <w:sz w:val="20"/>
          <w:szCs w:val="20"/>
        </w:rPr>
        <w:t>popuna pravnih praznina te preciznija interpretacija postojećih pravnih normi koje se temelje na odnosnim načelima. Još je češća primjena latinskih pravnih izreka u pravnoj doktrini u istovjetne svrhe. Pored toga, posljednjih se godina u znanstvenoj literaturi o europskom privatnom pravu posebice ističe da sustavna primjena u praksi probranih latinskih sentencija koje izražavaju opća pravna načela zajednička svim nacionalnim europskim pravnim sustavima pripadnima rimskoj pravnoj tradiciji može predstavljati, uz različite vrste legislativnih akata, jedan od načina daljnje harmonizacije i/ili unifikacije europskog pravnog prostora</w:t>
      </w:r>
      <w:r w:rsidRPr="003D101F">
        <w:rPr>
          <w:rStyle w:val="FootnoteReference"/>
          <w:rFonts w:ascii="Adobe Garamond Pro" w:hAnsi="Adobe Garamond Pro"/>
          <w:sz w:val="20"/>
          <w:szCs w:val="20"/>
        </w:rPr>
        <w:footnoteReference w:id="46"/>
      </w:r>
      <w:r w:rsidRPr="003D101F">
        <w:rPr>
          <w:rFonts w:ascii="Adobe Garamond Pro" w:hAnsi="Adobe Garamond Pro" w:cs="Times New Roman"/>
          <w:sz w:val="20"/>
          <w:szCs w:val="20"/>
        </w:rPr>
        <w:t xml:space="preserve">. </w:t>
      </w:r>
    </w:p>
    <w:p w:rsidR="004B6972" w:rsidRPr="003D101F" w:rsidRDefault="004B6972" w:rsidP="004B6972">
      <w:pPr>
        <w:spacing w:after="0" w:line="240" w:lineRule="auto"/>
        <w:ind w:firstLine="709"/>
        <w:jc w:val="both"/>
        <w:rPr>
          <w:rFonts w:ascii="Adobe Garamond Pro" w:hAnsi="Adobe Garamond Pro" w:cs="Times New Roman"/>
          <w:sz w:val="20"/>
          <w:szCs w:val="20"/>
        </w:rPr>
      </w:pPr>
      <w:r w:rsidRPr="003D101F">
        <w:rPr>
          <w:rFonts w:ascii="Adobe Garamond Pro" w:hAnsi="Adobe Garamond Pro" w:cs="Times New Roman"/>
          <w:sz w:val="20"/>
          <w:szCs w:val="20"/>
        </w:rPr>
        <w:lastRenderedPageBreak/>
        <w:t xml:space="preserve">Drugim riječima, pored primjene </w:t>
      </w:r>
      <w:r w:rsidRPr="003D101F">
        <w:rPr>
          <w:rFonts w:ascii="Adobe Garamond Pro" w:hAnsi="Adobe Garamond Pro" w:cs="Times New Roman"/>
          <w:i/>
          <w:sz w:val="20"/>
          <w:szCs w:val="20"/>
        </w:rPr>
        <w:t>acquis communautaire</w:t>
      </w:r>
      <w:r w:rsidRPr="003D101F">
        <w:rPr>
          <w:rFonts w:ascii="Adobe Garamond Pro" w:hAnsi="Adobe Garamond Pro" w:cs="Times New Roman"/>
          <w:sz w:val="20"/>
          <w:szCs w:val="20"/>
        </w:rPr>
        <w:t xml:space="preserve">, tj. pravne stečevine Europske unije kao jednog oblika europeizacije nacionalnih pravnih sustava, kontinuirana i sustavna primjena </w:t>
      </w:r>
      <w:r w:rsidRPr="003D101F">
        <w:rPr>
          <w:rFonts w:ascii="Adobe Garamond Pro" w:hAnsi="Adobe Garamond Pro" w:cs="Times New Roman"/>
          <w:i/>
          <w:sz w:val="20"/>
          <w:szCs w:val="20"/>
        </w:rPr>
        <w:t>acquis commune</w:t>
      </w:r>
      <w:r w:rsidRPr="003D101F">
        <w:rPr>
          <w:rFonts w:ascii="Adobe Garamond Pro" w:hAnsi="Adobe Garamond Pro" w:cs="Times New Roman"/>
          <w:sz w:val="20"/>
          <w:szCs w:val="20"/>
        </w:rPr>
        <w:t xml:space="preserve"> - tj. općih pravnih načela pripadnih tradicionalnom europskom općem pravu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xml:space="preserve">), jezgrovito izraženim u latinskim pravnim izrekama kao obliku nadnacionalnog europskog pravnog idioma - također bi nedvojbeno mogla predstavljati jedan daljnji oblik pravne europeizacije. </w:t>
      </w:r>
    </w:p>
    <w:p w:rsidR="00620829" w:rsidRPr="003D101F" w:rsidRDefault="00620829" w:rsidP="004B6972">
      <w:pPr>
        <w:spacing w:after="0" w:line="240" w:lineRule="auto"/>
        <w:ind w:firstLine="709"/>
        <w:jc w:val="both"/>
        <w:rPr>
          <w:rFonts w:ascii="Adobe Garamond Pro" w:hAnsi="Adobe Garamond Pro" w:cs="Times New Roman"/>
          <w:sz w:val="20"/>
          <w:szCs w:val="20"/>
        </w:rPr>
      </w:pPr>
    </w:p>
    <w:p w:rsidR="004B6972" w:rsidRPr="003D101F" w:rsidRDefault="004B6972" w:rsidP="004B6972">
      <w:pPr>
        <w:spacing w:after="0" w:line="240" w:lineRule="auto"/>
        <w:ind w:firstLine="709"/>
        <w:jc w:val="both"/>
        <w:rPr>
          <w:rFonts w:ascii="Adobe Garamond Pro" w:hAnsi="Adobe Garamond Pro" w:cs="Times New Roman"/>
          <w:sz w:val="20"/>
          <w:szCs w:val="20"/>
        </w:rPr>
      </w:pPr>
      <w:r w:rsidRPr="003D101F">
        <w:rPr>
          <w:rFonts w:ascii="Adobe Garamond Pro" w:hAnsi="Adobe Garamond Pro" w:cs="Times New Roman"/>
          <w:sz w:val="20"/>
          <w:szCs w:val="20"/>
        </w:rPr>
        <w:t>U navedenom kontekstu treba posebice istaknuti i sljedeću činjenicu: budući da se latinski pravni jezik u sudskim odlukama - za razliku od sadržaja odluka pisanih na nacionalnim jezicima - ne prevodi na dvadesetak službenih jezika Europske unije, suci ponekad pribjegavaju uporabi latinskih pravnih izreka kao pravnih načela da bi osigurali jedinstveno pravno i/ili jezično značenje dijela sadržaja pojedine odluke pri prijevodu na to mnoštvo službenih jezika. U takvim situacijama posebice dolazi do izražaja činjenica da latinski jezik i danas predstavlja jedan izraz europskog pravnog i/ili jezičnog jedinstva</w:t>
      </w:r>
      <w:r w:rsidRPr="003D101F">
        <w:rPr>
          <w:rStyle w:val="FootnoteReference"/>
          <w:rFonts w:ascii="Adobe Garamond Pro" w:hAnsi="Adobe Garamond Pro"/>
          <w:sz w:val="20"/>
          <w:szCs w:val="20"/>
        </w:rPr>
        <w:footnoteReference w:id="47"/>
      </w:r>
      <w:r w:rsidRPr="003D101F">
        <w:rPr>
          <w:rFonts w:ascii="Adobe Garamond Pro" w:hAnsi="Adobe Garamond Pro" w:cs="Times New Roman"/>
          <w:sz w:val="20"/>
          <w:szCs w:val="20"/>
        </w:rPr>
        <w:t>.</w:t>
      </w:r>
    </w:p>
    <w:p w:rsidR="00620829" w:rsidRPr="003D101F" w:rsidRDefault="00620829" w:rsidP="004B6972">
      <w:pPr>
        <w:spacing w:after="0" w:line="240" w:lineRule="auto"/>
        <w:ind w:firstLine="709"/>
        <w:jc w:val="both"/>
        <w:rPr>
          <w:rFonts w:ascii="Adobe Garamond Pro" w:hAnsi="Adobe Garamond Pro" w:cs="Times New Roman"/>
          <w:sz w:val="20"/>
          <w:szCs w:val="20"/>
        </w:rPr>
      </w:pPr>
    </w:p>
    <w:p w:rsidR="004B6972" w:rsidRPr="003D101F" w:rsidRDefault="004B6972" w:rsidP="00620829">
      <w:pPr>
        <w:autoSpaceDE w:val="0"/>
        <w:autoSpaceDN w:val="0"/>
        <w:adjustRightInd w:val="0"/>
        <w:spacing w:after="0" w:line="240" w:lineRule="auto"/>
        <w:ind w:firstLine="720"/>
        <w:jc w:val="both"/>
        <w:rPr>
          <w:rFonts w:ascii="Adobe Garamond Pro" w:hAnsi="Adobe Garamond Pro" w:cs="Times New Roman"/>
          <w:iCs/>
          <w:sz w:val="20"/>
          <w:szCs w:val="20"/>
        </w:rPr>
      </w:pPr>
      <w:r w:rsidRPr="003D101F">
        <w:rPr>
          <w:rFonts w:ascii="Adobe Garamond Pro" w:hAnsi="Adobe Garamond Pro" w:cs="Times New Roman"/>
          <w:sz w:val="20"/>
          <w:szCs w:val="20"/>
        </w:rPr>
        <w:t>Ako se imaju u vidu sve navedene činjenice, treba zaključno istaknuti da mogući širi razmjeri primjene latinskih pravnih izreka kao načela općeg prava (</w:t>
      </w:r>
      <w:r w:rsidRPr="003D101F">
        <w:rPr>
          <w:rFonts w:ascii="Adobe Garamond Pro" w:hAnsi="Adobe Garamond Pro" w:cs="Times New Roman"/>
          <w:i/>
          <w:sz w:val="20"/>
          <w:szCs w:val="20"/>
        </w:rPr>
        <w:t>ius commune</w:t>
      </w:r>
      <w:r w:rsidRPr="003D101F">
        <w:rPr>
          <w:rFonts w:ascii="Adobe Garamond Pro" w:hAnsi="Adobe Garamond Pro" w:cs="Times New Roman"/>
          <w:sz w:val="20"/>
          <w:szCs w:val="20"/>
        </w:rPr>
        <w:t>) u bosanskohercegovačkoj sudskoj praksi ne bi predstavljali tek nostalgično traganje za skrivenim blagom europske pravne tradicije, već jedan dio dugotrajnog kreativnog napora za „organskom“ i „nebirokratskom“ europeizacijom suvremenih pravnih poredaka na čvrstim temeljima zajedničke pravne kulture.</w:t>
      </w:r>
      <w:r w:rsidR="00620829" w:rsidRPr="003D101F">
        <w:rPr>
          <w:rFonts w:ascii="Adobe Garamond Pro" w:hAnsi="Adobe Garamond Pro" w:cs="Times New Roman"/>
          <w:sz w:val="20"/>
          <w:szCs w:val="20"/>
        </w:rPr>
        <w:t xml:space="preserve"> </w:t>
      </w:r>
      <w:r w:rsidRPr="003D101F">
        <w:rPr>
          <w:rFonts w:ascii="Adobe Garamond Pro" w:hAnsi="Adobe Garamond Pro" w:cs="Times New Roman"/>
          <w:sz w:val="20"/>
          <w:szCs w:val="20"/>
        </w:rPr>
        <w:t>Pored potrebe navedene europeizacije, a imajući u vidu da prostor Bosne i Hercegovine već dugi niz stoljeća predstavlja prostor dodira između rimske pravne tradicije, slavenske običajnopravne tradicije i islamske pravne tradicije, smatramo da bi posebnu pozornost trebalo u bosanskohercegovačkom kontekstu ubuduće posvetiti i sustavnoj međusobnoj usporedbi pravnih izreka pripadnih tim različitim tradicijama</w:t>
      </w:r>
      <w:r w:rsidRPr="003D101F">
        <w:rPr>
          <w:rStyle w:val="FootnoteReference"/>
          <w:rFonts w:ascii="Adobe Garamond Pro" w:hAnsi="Adobe Garamond Pro"/>
          <w:sz w:val="20"/>
          <w:szCs w:val="20"/>
        </w:rPr>
        <w:footnoteReference w:id="48"/>
      </w:r>
      <w:r w:rsidRPr="003D101F">
        <w:rPr>
          <w:rFonts w:ascii="Adobe Garamond Pro" w:hAnsi="Adobe Garamond Pro" w:cs="Times New Roman"/>
          <w:sz w:val="20"/>
          <w:szCs w:val="20"/>
        </w:rPr>
        <w:t xml:space="preserve">. Otkrivanje njihove zajedničke jezgre i utvrđivanje razlika moglo bi predstavljati nadasve </w:t>
      </w:r>
      <w:r w:rsidRPr="003D101F">
        <w:rPr>
          <w:rFonts w:ascii="Adobe Garamond Pro" w:hAnsi="Adobe Garamond Pro" w:cs="Times New Roman"/>
          <w:sz w:val="20"/>
          <w:szCs w:val="20"/>
        </w:rPr>
        <w:lastRenderedPageBreak/>
        <w:t>relevantan „lokalni“ prilog raspravi o određivanju univerzalnih pravnih načela u euroazijskom prostoru</w:t>
      </w:r>
      <w:r w:rsidRPr="003D101F">
        <w:rPr>
          <w:rStyle w:val="FootnoteReference"/>
          <w:rFonts w:ascii="Adobe Garamond Pro" w:hAnsi="Adobe Garamond Pro"/>
          <w:sz w:val="20"/>
          <w:szCs w:val="20"/>
        </w:rPr>
        <w:footnoteReference w:id="49"/>
      </w:r>
      <w:r w:rsidRPr="003D101F">
        <w:rPr>
          <w:rFonts w:ascii="Adobe Garamond Pro" w:hAnsi="Adobe Garamond Pro" w:cs="Times New Roman"/>
          <w:sz w:val="20"/>
          <w:szCs w:val="20"/>
        </w:rPr>
        <w:t>.</w:t>
      </w:r>
    </w:p>
    <w:p w:rsidR="004B6972" w:rsidRPr="003D101F" w:rsidRDefault="004B6972" w:rsidP="004B6972">
      <w:pPr>
        <w:autoSpaceDE w:val="0"/>
        <w:autoSpaceDN w:val="0"/>
        <w:adjustRightInd w:val="0"/>
        <w:spacing w:after="0" w:line="240" w:lineRule="auto"/>
        <w:ind w:firstLine="720"/>
        <w:jc w:val="both"/>
        <w:rPr>
          <w:rFonts w:ascii="Adobe Garamond Pro" w:hAnsi="Adobe Garamond Pro" w:cs="Times New Roman"/>
          <w:sz w:val="20"/>
          <w:szCs w:val="20"/>
        </w:rPr>
      </w:pPr>
    </w:p>
    <w:p w:rsidR="004B6972" w:rsidRPr="003D101F" w:rsidRDefault="00620829" w:rsidP="004B6972">
      <w:pPr>
        <w:pStyle w:val="FootnoteText"/>
        <w:rPr>
          <w:rFonts w:ascii="Adobe Garamond Pro" w:hAnsi="Adobe Garamond Pro"/>
          <w:b/>
          <w:bCs/>
          <w:sz w:val="22"/>
          <w:szCs w:val="22"/>
          <w:lang w:val="fr-FR"/>
        </w:rPr>
      </w:pPr>
      <w:r w:rsidRPr="003D101F">
        <w:rPr>
          <w:rFonts w:ascii="Adobe Garamond Pro" w:hAnsi="Adobe Garamond Pro"/>
          <w:b/>
          <w:bCs/>
          <w:sz w:val="22"/>
          <w:szCs w:val="22"/>
          <w:lang w:val="fr-FR"/>
        </w:rPr>
        <w:t>LITERATURA</w:t>
      </w:r>
    </w:p>
    <w:p w:rsidR="004B6972" w:rsidRPr="003D101F" w:rsidRDefault="004B6972" w:rsidP="004B6972">
      <w:pPr>
        <w:pStyle w:val="FootnoteText"/>
        <w:rPr>
          <w:rFonts w:ascii="Adobe Garamond Pro" w:hAnsi="Adobe Garamond Pro"/>
          <w:lang w:val="fr-FR"/>
        </w:rPr>
      </w:pP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Andrés Santos, Epistemological Value of Roman Legal Rules in European and Comparative Law, in: European Review of Private Law 3 (2004).</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Astorino, Roman Law in American Law: Twentieth Century Cases of the Supreme Court, in: Duquesne Law Review 40 (2001-2002). </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Baldus, Regelhafte Vertragsauslegung nach Parteirollen im klassischen römischen Recht und in der modernen Völkerrechtswissenschaft: zur Rezeptionsfähigkeit römischen Denkens, Frankfurt a. M., 2000.</w:t>
      </w:r>
    </w:p>
    <w:p w:rsidR="004B6972" w:rsidRPr="003D101F" w:rsidRDefault="004B6972" w:rsidP="00620829">
      <w:pPr>
        <w:pStyle w:val="FootnoteText"/>
        <w:numPr>
          <w:ilvl w:val="0"/>
          <w:numId w:val="33"/>
        </w:numPr>
        <w:ind w:left="284" w:hanging="284"/>
        <w:jc w:val="both"/>
        <w:rPr>
          <w:rStyle w:val="Emphasis"/>
          <w:rFonts w:ascii="Adobe Garamond Pro" w:hAnsi="Adobe Garamond Pro"/>
          <w:b w:val="0"/>
          <w:color w:val="000000"/>
          <w:lang w:val="bs-Latn-BA"/>
        </w:rPr>
      </w:pPr>
      <w:r w:rsidRPr="003D101F">
        <w:rPr>
          <w:rFonts w:ascii="Adobe Garamond Pro" w:hAnsi="Adobe Garamond Pro"/>
          <w:lang w:val="bs-Latn-BA"/>
        </w:rPr>
        <w:t xml:space="preserve">Basedow, </w:t>
      </w:r>
      <w:r w:rsidRPr="003D101F">
        <w:rPr>
          <w:rStyle w:val="Emphasis"/>
          <w:rFonts w:ascii="Adobe Garamond Pro" w:hAnsi="Adobe Garamond Pro"/>
          <w:b w:val="0"/>
          <w:color w:val="000000"/>
          <w:lang w:val="bs-Latn-BA"/>
        </w:rPr>
        <w:t>Latein, die heimliche Amtssprache, Zeitschrift für Europäisches Privatrecht, 15 (2007).</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eastAsia="MinionPro-Regular" w:hAnsi="Adobe Garamond Pro"/>
          <w:lang w:val="bs-Latn-BA"/>
        </w:rPr>
        <w:t>Begović, Sličnosti između Medžele i Opšteg imovinskog zakonika za Crnu</w:t>
      </w:r>
      <w:r w:rsidRPr="003D101F">
        <w:rPr>
          <w:rFonts w:ascii="Adobe Garamond Pro" w:hAnsi="Adobe Garamond Pro"/>
          <w:lang w:val="bs-Latn-BA"/>
        </w:rPr>
        <w:t xml:space="preserve"> </w:t>
      </w:r>
      <w:r w:rsidRPr="003D101F">
        <w:rPr>
          <w:rFonts w:ascii="Adobe Garamond Pro" w:eastAsia="MinionPro-Regular" w:hAnsi="Adobe Garamond Pro"/>
          <w:lang w:val="bs-Latn-BA"/>
        </w:rPr>
        <w:t>Goru, Prilozi za orijentalnu filologiju 5 (1954-1955).</w:t>
      </w:r>
    </w:p>
    <w:p w:rsidR="004B6972" w:rsidRPr="003D101F" w:rsidRDefault="004B6972" w:rsidP="00620829">
      <w:pPr>
        <w:pStyle w:val="FootnoteText"/>
        <w:numPr>
          <w:ilvl w:val="0"/>
          <w:numId w:val="33"/>
        </w:numPr>
        <w:ind w:left="284" w:hanging="284"/>
        <w:jc w:val="both"/>
        <w:rPr>
          <w:rFonts w:ascii="Adobe Garamond Pro" w:hAnsi="Adobe Garamond Pro"/>
          <w:color w:val="000000"/>
          <w:lang w:val="bs-Latn-BA"/>
        </w:rPr>
      </w:pPr>
      <w:r w:rsidRPr="003D101F">
        <w:rPr>
          <w:rFonts w:ascii="Adobe Garamond Pro" w:hAnsi="Adobe Garamond Pro"/>
          <w:lang w:val="bs-Latn-BA"/>
        </w:rPr>
        <w:t xml:space="preserve">Bellomo, </w:t>
      </w:r>
      <w:r w:rsidRPr="003D101F">
        <w:rPr>
          <w:rFonts w:ascii="Adobe Garamond Pro" w:hAnsi="Adobe Garamond Pro"/>
          <w:color w:val="000000"/>
          <w:lang w:val="bs-Latn-BA"/>
        </w:rPr>
        <w:t>L'Europa del diritto comune, Roma, 1998.</w:t>
      </w:r>
    </w:p>
    <w:p w:rsidR="004B6972" w:rsidRPr="003D101F" w:rsidRDefault="004B6972" w:rsidP="00620829">
      <w:pPr>
        <w:pStyle w:val="FootnoteText"/>
        <w:numPr>
          <w:ilvl w:val="0"/>
          <w:numId w:val="33"/>
        </w:numPr>
        <w:ind w:left="284" w:hanging="284"/>
        <w:jc w:val="both"/>
        <w:rPr>
          <w:rFonts w:ascii="Adobe Garamond Pro" w:hAnsi="Adobe Garamond Pro"/>
          <w:color w:val="000000"/>
          <w:lang w:val="bs-Latn-BA"/>
        </w:rPr>
      </w:pPr>
      <w:r w:rsidRPr="003D101F">
        <w:rPr>
          <w:rFonts w:ascii="Adobe Garamond Pro" w:hAnsi="Adobe Garamond Pro"/>
          <w:lang w:val="bs-Latn-BA"/>
        </w:rPr>
        <w:t>Blagojević, Kratka paralela između uvodnog dela Medžela i završnog dela Bogišićevog crnogorskog imovinskog zakonika, Arhiv za pravne i društvene nauke  36/53 (1938).</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Bogišić, Pravni običaji u Slovena. Privatno pravo, Zagreb, 1867.</w:t>
      </w:r>
    </w:p>
    <w:p w:rsidR="004B6972" w:rsidRPr="003D101F" w:rsidRDefault="004B6972" w:rsidP="00620829">
      <w:pPr>
        <w:pStyle w:val="FootnoteText"/>
        <w:numPr>
          <w:ilvl w:val="0"/>
          <w:numId w:val="33"/>
        </w:numPr>
        <w:ind w:left="284" w:hanging="284"/>
        <w:jc w:val="both"/>
        <w:rPr>
          <w:rFonts w:ascii="Adobe Garamond Pro" w:hAnsi="Adobe Garamond Pro"/>
          <w:color w:val="000000"/>
          <w:lang w:val="bs-Latn-BA"/>
        </w:rPr>
      </w:pPr>
      <w:r w:rsidRPr="003D101F">
        <w:rPr>
          <w:rFonts w:ascii="Adobe Garamond Pro" w:hAnsi="Adobe Garamond Pro"/>
          <w:lang w:val="bs-Latn-BA"/>
        </w:rPr>
        <w:t>Bogojević-Gluščević, Rimska pravna pravila u zakonjačama Opšteg imovinskog zakonika za Knjaževinu Crnu Goru, Istorijski zapisi (78) 1-4/2005.</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Calasso, </w:t>
      </w:r>
      <w:r w:rsidRPr="003D101F">
        <w:rPr>
          <w:rFonts w:ascii="Adobe Garamond Pro" w:hAnsi="Adobe Garamond Pro"/>
          <w:color w:val="000000"/>
          <w:lang w:val="bs-Latn-BA"/>
        </w:rPr>
        <w:t>Introduzione al diritto commune, Milano, 1970.</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Carbonnier, </w:t>
      </w:r>
      <w:r w:rsidRPr="003D101F">
        <w:rPr>
          <w:rFonts w:ascii="Adobe Garamond Pro" w:hAnsi="Adobe Garamond Pro"/>
          <w:i/>
          <w:lang w:val="bs-Latn-BA"/>
        </w:rPr>
        <w:t>Usus hodiernus Pandectarum</w:t>
      </w:r>
      <w:r w:rsidRPr="003D101F">
        <w:rPr>
          <w:rFonts w:ascii="Adobe Garamond Pro" w:hAnsi="Adobe Garamond Pro"/>
          <w:lang w:val="bs-Latn-BA"/>
        </w:rPr>
        <w:t>, in: Festschrift für I. Zajtay, Tübingen, 1982.</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Catalano, Eurasia e diritto romano, Roma e America. Diritto romano commune. </w:t>
      </w:r>
      <w:r w:rsidRPr="003D101F">
        <w:rPr>
          <w:rFonts w:ascii="Adobe Garamond Pro" w:hAnsi="Adobe Garamond Pro"/>
          <w:bCs/>
          <w:color w:val="000000"/>
          <w:lang w:val="bs-Latn-BA" w:eastAsia="hr-HR"/>
        </w:rPr>
        <w:t>Rivista di diritto dell'integrazione e unificazione del diritto in Eurasia e in America Latina 33 (2012).</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Chorus, Römisches Recht auf dem Südpol und anderswo, in: Spruit (ed.), </w:t>
      </w:r>
      <w:r w:rsidRPr="003D101F">
        <w:rPr>
          <w:rFonts w:ascii="Adobe Garamond Pro" w:hAnsi="Adobe Garamond Pro"/>
          <w:i/>
          <w:lang w:val="bs-Latn-BA"/>
        </w:rPr>
        <w:t>Coniectanea Neerlandica Iuris Romani</w:t>
      </w:r>
      <w:r w:rsidRPr="003D101F">
        <w:rPr>
          <w:rFonts w:ascii="Adobe Garamond Pro" w:hAnsi="Adobe Garamond Pro"/>
          <w:lang w:val="bs-Latn-BA"/>
        </w:rPr>
        <w:t>. Inleidende Opstellen over Romeins Recht, Zwolle, 1974.</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Coing, Die ursprüngliche Einheit der europäischen Rechtswissenschaft, Wiesbaden, 1968.</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Coing, Europäische Grundlagen des modernen Privatrechts, Opladen, 1986. </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shd w:val="clear" w:color="auto" w:fill="FFFFFF"/>
          <w:lang w:val="bs-Latn-BA"/>
        </w:rPr>
        <w:t>Čelić, Tokovi pisane riječi u Bosni i Hercegovini, in: Isaković/Popadić (eds.),</w:t>
      </w:r>
      <w:r w:rsidRPr="003D101F">
        <w:rPr>
          <w:rFonts w:ascii="Adobe Garamond Pro" w:hAnsi="Adobe Garamond Pro"/>
          <w:lang w:val="bs-Latn-BA"/>
        </w:rPr>
        <w:t> </w:t>
      </w:r>
      <w:r w:rsidRPr="003D101F">
        <w:rPr>
          <w:rFonts w:ascii="Adobe Garamond Pro" w:hAnsi="Adobe Garamond Pro"/>
          <w:iCs/>
          <w:lang w:val="bs-Latn-BA"/>
        </w:rPr>
        <w:t>Pisana riječ u Bosni i Hercegovini – od najstarijih vremena do 1918. godine</w:t>
      </w:r>
      <w:r w:rsidRPr="003D101F">
        <w:rPr>
          <w:rFonts w:ascii="Adobe Garamond Pro" w:hAnsi="Adobe Garamond Pro"/>
          <w:shd w:val="clear" w:color="auto" w:fill="FFFFFF"/>
          <w:lang w:val="bs-Latn-BA"/>
        </w:rPr>
        <w:t>, Sarajevo, 1982.</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Domingo et al., Principios se derecho global. 1000 reglas y aforismos juridicos comentados, Navarra, 2006.</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lastRenderedPageBreak/>
        <w:t>Evans-Jones (ed.), The Civil Law Tradition in Scotland, Edinburgh, 1995.</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eastAsia="MinionPro-Regular" w:hAnsi="Adobe Garamond Pro"/>
          <w:lang w:val="bs-Latn-BA"/>
        </w:rPr>
        <w:t>Karčić, Studije o šerijatskom pravu i institucijama, Sarajevo, 2011.</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Kaser/Knütel, Römisches Privatrecht, München, 2003.</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Klarić/Vedriš, </w:t>
      </w:r>
      <w:r w:rsidRPr="003D101F">
        <w:rPr>
          <w:rFonts w:ascii="Adobe Garamond Pro" w:hAnsi="Adobe Garamond Pro"/>
          <w:color w:val="000000"/>
          <w:lang w:val="bs-Latn-BA"/>
        </w:rPr>
        <w:t>Građansko pravo, Zagreb, 2006.</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Knütel, </w:t>
      </w:r>
      <w:r w:rsidRPr="003D101F">
        <w:rPr>
          <w:rFonts w:ascii="Adobe Garamond Pro" w:hAnsi="Adobe Garamond Pro"/>
          <w:i/>
          <w:lang w:val="bs-Latn-BA"/>
        </w:rPr>
        <w:t>Ius commune</w:t>
      </w:r>
      <w:r w:rsidRPr="003D101F">
        <w:rPr>
          <w:rFonts w:ascii="Adobe Garamond Pro" w:hAnsi="Adobe Garamond Pro"/>
          <w:lang w:val="bs-Latn-BA"/>
        </w:rPr>
        <w:t xml:space="preserve"> und Römisches Recht vor Gerichten der Europäischen Union, in: Juristische Schulung, Heft 9, 1996. </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Knütel, Römisches Recht und Europa, in: Droit romain et identité européene, RIDA. Supplément au tome XLI (1994).</w:t>
      </w:r>
    </w:p>
    <w:p w:rsidR="004B6972" w:rsidRPr="003D101F" w:rsidRDefault="004B6972" w:rsidP="00620829">
      <w:pPr>
        <w:pStyle w:val="FootnoteText"/>
        <w:numPr>
          <w:ilvl w:val="0"/>
          <w:numId w:val="33"/>
        </w:numPr>
        <w:ind w:left="284" w:hanging="284"/>
        <w:rPr>
          <w:rFonts w:ascii="Adobe Garamond Pro" w:hAnsi="Adobe Garamond Pro"/>
          <w:lang w:val="bs-Latn-BA"/>
        </w:rPr>
      </w:pPr>
      <w:r w:rsidRPr="003D101F">
        <w:rPr>
          <w:rFonts w:ascii="Adobe Garamond Pro" w:hAnsi="Adobe Garamond Pro"/>
          <w:lang w:val="bs-Latn-BA"/>
        </w:rPr>
        <w:t>Kranjc, Latinski pravni reki, Ljubljana, 1998.</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Lesaffer, Argument from Roman Law in Current International Law: Occupation and Acquisitive Prescription, in: European Journal of International Law 16 (2005).</w:t>
      </w:r>
    </w:p>
    <w:p w:rsidR="004B6972" w:rsidRPr="003D101F" w:rsidRDefault="004B6972" w:rsidP="00620829">
      <w:pPr>
        <w:pStyle w:val="FootnoteText"/>
        <w:numPr>
          <w:ilvl w:val="0"/>
          <w:numId w:val="33"/>
        </w:numPr>
        <w:ind w:left="284" w:hanging="284"/>
        <w:rPr>
          <w:rFonts w:ascii="Adobe Garamond Pro" w:hAnsi="Adobe Garamond Pro"/>
          <w:lang w:val="bs-Latn-BA"/>
        </w:rPr>
      </w:pPr>
      <w:r w:rsidRPr="003D101F">
        <w:rPr>
          <w:rFonts w:ascii="Adobe Garamond Pro" w:hAnsi="Adobe Garamond Pro"/>
          <w:lang w:val="bs-Latn-BA"/>
        </w:rPr>
        <w:t xml:space="preserve">Liebs, Lateinische Rechtsregeln und Rechtssprichwörter, München, 1991. </w:t>
      </w:r>
    </w:p>
    <w:p w:rsidR="004B6972" w:rsidRPr="003D101F" w:rsidRDefault="004B6972" w:rsidP="00620829">
      <w:pPr>
        <w:pStyle w:val="FootnoteText"/>
        <w:numPr>
          <w:ilvl w:val="0"/>
          <w:numId w:val="33"/>
        </w:numPr>
        <w:ind w:left="284" w:hanging="284"/>
        <w:rPr>
          <w:rFonts w:ascii="Adobe Garamond Pro" w:hAnsi="Adobe Garamond Pro"/>
          <w:lang w:val="bs-Latn-BA"/>
        </w:rPr>
      </w:pPr>
      <w:r w:rsidRPr="003D101F">
        <w:rPr>
          <w:rFonts w:ascii="Adobe Garamond Pro" w:hAnsi="Adobe Garamond Pro"/>
          <w:lang w:val="bs-Latn-BA"/>
        </w:rPr>
        <w:t>Loknar, Latinske i hrvatske medicinske izreke, Zagreb, 2007.</w:t>
      </w:r>
    </w:p>
    <w:p w:rsidR="004B6972" w:rsidRPr="003D101F" w:rsidRDefault="004B6972" w:rsidP="00620829">
      <w:pPr>
        <w:pStyle w:val="FootnoteText"/>
        <w:numPr>
          <w:ilvl w:val="0"/>
          <w:numId w:val="33"/>
        </w:numPr>
        <w:ind w:left="284" w:hanging="284"/>
        <w:rPr>
          <w:rFonts w:ascii="Adobe Garamond Pro" w:hAnsi="Adobe Garamond Pro"/>
          <w:lang w:val="bs-Latn-BA"/>
        </w:rPr>
      </w:pPr>
      <w:r w:rsidRPr="003D101F">
        <w:rPr>
          <w:rFonts w:ascii="Adobe Garamond Pro" w:hAnsi="Adobe Garamond Pro"/>
          <w:lang w:val="bs-Latn-BA"/>
        </w:rPr>
        <w:t>Masson/Duparc-Portier, Usages et réflectivité du latin à la Cour de justice des Communautés européennes, Revue trimestrielle de droit europeen, 43 (2007).</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Micali, Il diritto romano nella giurisprudenza della Corte Suprema di Cassazione, in: Giurisprudenza it. 145, Parte IV (1993).</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Perić, Struktura prava, Zagreb, 1988.</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Petrak, </w:t>
      </w:r>
      <w:hyperlink r:id="rId10" w:tgtFrame="_blank" w:history="1">
        <w:r w:rsidRPr="003D101F">
          <w:rPr>
            <w:rStyle w:val="Hyperlink"/>
            <w:rFonts w:ascii="Adobe Garamond Pro" w:hAnsi="Adobe Garamond Pro"/>
            <w:bCs/>
            <w:color w:val="000000"/>
            <w:u w:val="none"/>
            <w:lang w:val="bs-Latn-BA"/>
          </w:rPr>
          <w:t>Imovinskopravne</w:t>
        </w:r>
        <w:r w:rsidRPr="003D101F">
          <w:rPr>
            <w:rStyle w:val="Hyperlink"/>
            <w:rFonts w:ascii="Adobe Garamond Pro" w:hAnsi="Adobe Garamond Pro"/>
            <w:bCs/>
            <w:i/>
            <w:color w:val="000000"/>
            <w:u w:val="none"/>
            <w:lang w:val="bs-Latn-BA"/>
          </w:rPr>
          <w:t xml:space="preserve"> regulae iuris</w:t>
        </w:r>
        <w:r w:rsidRPr="003D101F">
          <w:rPr>
            <w:rStyle w:val="Hyperlink"/>
            <w:rFonts w:ascii="Adobe Garamond Pro" w:hAnsi="Adobe Garamond Pro"/>
            <w:bCs/>
            <w:color w:val="000000"/>
            <w:u w:val="none"/>
            <w:lang w:val="bs-Latn-BA"/>
          </w:rPr>
          <w:t xml:space="preserve"> u Bogišićevu zakoniku i njihovo aktualno značenje</w:t>
        </w:r>
      </w:hyperlink>
      <w:r w:rsidRPr="003D101F">
        <w:rPr>
          <w:rFonts w:ascii="Adobe Garamond Pro" w:hAnsi="Adobe Garamond Pro"/>
          <w:color w:val="000000"/>
          <w:lang w:val="bs-Latn-BA"/>
        </w:rPr>
        <w:t xml:space="preserve">, u: Bogišić i kultura sjećanja. </w:t>
      </w:r>
      <w:r w:rsidRPr="003D101F">
        <w:rPr>
          <w:rStyle w:val="Strong"/>
          <w:rFonts w:ascii="Adobe Garamond Pro" w:hAnsi="Adobe Garamond Pro"/>
          <w:b w:val="0"/>
          <w:lang w:val="bs-Latn-BA"/>
        </w:rPr>
        <w:t>Zbornik radova znanstvenog skupa s međunarodnim sudjelovanjem održanog u prigodi stote godišnjice smrti Balda Bogišića,</w:t>
      </w:r>
      <w:r w:rsidRPr="003D101F">
        <w:rPr>
          <w:rFonts w:ascii="Adobe Garamond Pro" w:hAnsi="Adobe Garamond Pro"/>
          <w:color w:val="000000"/>
          <w:lang w:val="bs-Latn-BA"/>
        </w:rPr>
        <w:t xml:space="preserve"> Zagreb, 2011.</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Petrak, Rimsko pravo kao pozitivno pravo u Republici Hrvatskoj. Prilog tumačenju Zakona o načinu primjene pravnih propisa donesenih prije 6. travnja 1941. godine, Hrvatska pravna revija 10 (2006).</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Petrak, </w:t>
      </w:r>
      <w:r w:rsidRPr="003D101F">
        <w:rPr>
          <w:rFonts w:ascii="Adobe Garamond Pro" w:hAnsi="Adobe Garamond Pro"/>
          <w:i/>
          <w:lang w:val="bs-Latn-BA"/>
        </w:rPr>
        <w:t>Traditio iuridica</w:t>
      </w:r>
      <w:r w:rsidRPr="003D101F">
        <w:rPr>
          <w:rFonts w:ascii="Adobe Garamond Pro" w:hAnsi="Adobe Garamond Pro"/>
          <w:lang w:val="bs-Latn-BA"/>
        </w:rPr>
        <w:t xml:space="preserve">, vol. I. </w:t>
      </w:r>
      <w:r w:rsidRPr="003D101F">
        <w:rPr>
          <w:rFonts w:ascii="Adobe Garamond Pro" w:hAnsi="Adobe Garamond Pro"/>
          <w:i/>
          <w:lang w:val="bs-Latn-BA"/>
        </w:rPr>
        <w:t>Regulae iuris</w:t>
      </w:r>
      <w:r w:rsidRPr="003D101F">
        <w:rPr>
          <w:rFonts w:ascii="Adobe Garamond Pro" w:hAnsi="Adobe Garamond Pro"/>
          <w:lang w:val="bs-Latn-BA"/>
        </w:rPr>
        <w:t>, Zagreb, 2010.</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Petriček, </w:t>
      </w:r>
      <w:r w:rsidRPr="003D101F">
        <w:rPr>
          <w:rStyle w:val="txt"/>
          <w:rFonts w:ascii="Adobe Garamond Pro" w:hAnsi="Adobe Garamond Pro"/>
          <w:sz w:val="20"/>
          <w:szCs w:val="20"/>
          <w:lang w:val="bs-Latn-BA"/>
        </w:rPr>
        <w:t>Dijagnoze na hrvatskom ili latinskom?, Liječničke novine 50 (2006).</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Rainer, Il Diritto romano nelle sentenze delle Corti europee, in: Castellano (ed.), L'anima europea dell'Europa, Napoli, 2002.</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Reinkenhof, Die Anwendung von </w:t>
      </w:r>
      <w:r w:rsidRPr="003D101F">
        <w:rPr>
          <w:rFonts w:ascii="Adobe Garamond Pro" w:hAnsi="Adobe Garamond Pro"/>
          <w:i/>
          <w:lang w:val="bs-Latn-BA"/>
        </w:rPr>
        <w:t>ius commune</w:t>
      </w:r>
      <w:r w:rsidRPr="003D101F">
        <w:rPr>
          <w:rFonts w:ascii="Adobe Garamond Pro" w:hAnsi="Adobe Garamond Pro"/>
          <w:lang w:val="bs-Latn-BA"/>
        </w:rPr>
        <w:t xml:space="preserve"> in der Republik San Marino. Einführung in die Grundlagen und Erbrecht, Berlin, 1997.</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Reinoso Barbero, El derecho romano como </w:t>
      </w:r>
      <w:r w:rsidRPr="003D101F">
        <w:rPr>
          <w:rFonts w:ascii="Adobe Garamond Pro" w:hAnsi="Adobe Garamond Pro"/>
          <w:i/>
          <w:lang w:val="bs-Latn-BA"/>
        </w:rPr>
        <w:t>desideratum</w:t>
      </w:r>
      <w:r w:rsidRPr="003D101F">
        <w:rPr>
          <w:rFonts w:ascii="Adobe Garamond Pro" w:hAnsi="Adobe Garamond Pro"/>
          <w:lang w:val="bs-Latn-BA"/>
        </w:rPr>
        <w:t xml:space="preserve"> del derecho del tercer milenio: los principos generales del derecho, in: Roma e America. Diritto romano comune. Rivista di diritto dell’integrazione e unificazione del diritto in Europa e in America Latina 3 (1997).</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Reinoso Barbero, España y el derecho romano actual, in: Labeo. Rassegna di diritto romano, (32) 1986.</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Schipani, La codificazione del diritto romano comune, Torino, 1999.</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Smits, The Making of European Private Law. Towards a </w:t>
      </w:r>
      <w:r w:rsidRPr="003D101F">
        <w:rPr>
          <w:rFonts w:ascii="Adobe Garamond Pro" w:hAnsi="Adobe Garamond Pro"/>
          <w:i/>
          <w:lang w:val="bs-Latn-BA"/>
        </w:rPr>
        <w:t>Ius Commune Europaeum</w:t>
      </w:r>
      <w:r w:rsidRPr="003D101F">
        <w:rPr>
          <w:rFonts w:ascii="Adobe Garamond Pro" w:hAnsi="Adobe Garamond Pro"/>
          <w:lang w:val="bs-Latn-BA"/>
        </w:rPr>
        <w:t xml:space="preserve"> as a Mixed Legal System, Antwerp/Oxford/New York, 2002.</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Stein, Roman Law in European History, Cambridge, 1999.</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Stoječević/Romac, </w:t>
      </w:r>
      <w:r w:rsidRPr="003D101F">
        <w:rPr>
          <w:rFonts w:ascii="Adobe Garamond Pro" w:hAnsi="Adobe Garamond Pro"/>
          <w:i/>
          <w:lang w:val="bs-Latn-BA"/>
        </w:rPr>
        <w:t>Dicta et regulae iuris</w:t>
      </w:r>
      <w:r w:rsidRPr="003D101F">
        <w:rPr>
          <w:rFonts w:ascii="Adobe Garamond Pro" w:hAnsi="Adobe Garamond Pro"/>
          <w:lang w:val="bs-Latn-BA"/>
        </w:rPr>
        <w:t>. Latinska pravna pravila, izreke i definicije sa prevodom i objašnjenjima, Beograd, 1971.</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lastRenderedPageBreak/>
        <w:t>Sturm, Droit romain et identité européenne, in: Droit romain et identité européene, RIDA. Supplément au tome XLI (1994).</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Triva/Dika, Građansko parnično procesno pravo, Zagreb, 2004.</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Van Caenegem, European Law in the Past and the Future, Cambridge, 2002.</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Van den Horst, The Roman-Dutch Law in Sri Lanka, Amsterdam, 1985.</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Vojnović, Crnogorski zakonik, Mjesečnik pravničkog društva u Zagrebu, br.7/1888.</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Vojnović, Opći imovinski zakonik za Crnu Goru obzirom na ostalo crnogorsko zakonarstvo, Rad JAZU, Knjiga XCVI, Zagreb, 1889.</w:t>
      </w:r>
    </w:p>
    <w:p w:rsidR="004B6972" w:rsidRPr="003D101F" w:rsidRDefault="004B6972" w:rsidP="00620829">
      <w:pPr>
        <w:pStyle w:val="FootnoteText"/>
        <w:numPr>
          <w:ilvl w:val="0"/>
          <w:numId w:val="33"/>
        </w:numPr>
        <w:ind w:left="284" w:hanging="284"/>
        <w:rPr>
          <w:rFonts w:ascii="Adobe Garamond Pro" w:hAnsi="Adobe Garamond Pro"/>
          <w:lang w:val="bs-Latn-BA"/>
        </w:rPr>
      </w:pPr>
      <w:r w:rsidRPr="003D101F">
        <w:rPr>
          <w:rFonts w:ascii="Adobe Garamond Pro" w:hAnsi="Adobe Garamond Pro"/>
          <w:lang w:val="bs-Latn-BA"/>
        </w:rPr>
        <w:t>Wacke, Sprichwörtliche Prinzipien und europäische Rechtsangleichung, in: Orbis iuris romani, 5 (1999).</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Wieacker, Privatrechtsgeschichte der Neuzeit, Göttingen, 1996.</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Wolodkiewicz,  </w:t>
      </w:r>
      <w:r w:rsidRPr="003D101F">
        <w:rPr>
          <w:rStyle w:val="Strong"/>
          <w:rFonts w:ascii="Adobe Garamond Pro" w:hAnsi="Adobe Garamond Pro"/>
          <w:b w:val="0"/>
          <w:lang w:val="bs-Latn-BA"/>
        </w:rPr>
        <w:t>Czy prawo rzymskie przestało istnieć?</w:t>
      </w:r>
      <w:r w:rsidRPr="003D101F">
        <w:rPr>
          <w:rFonts w:ascii="Adobe Garamond Pro" w:hAnsi="Adobe Garamond Pro"/>
          <w:lang w:val="bs-Latn-BA"/>
        </w:rPr>
        <w:t>, Kraków, 2003.</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Zimmermann, Das römisch-holländische Recht in Südafrika. Einführung in die Grundlagen und </w:t>
      </w:r>
      <w:r w:rsidRPr="003D101F">
        <w:rPr>
          <w:rFonts w:ascii="Adobe Garamond Pro" w:hAnsi="Adobe Garamond Pro"/>
          <w:i/>
          <w:lang w:val="bs-Latn-BA"/>
        </w:rPr>
        <w:t>usus hodiernus</w:t>
      </w:r>
      <w:r w:rsidRPr="003D101F">
        <w:rPr>
          <w:rFonts w:ascii="Adobe Garamond Pro" w:hAnsi="Adobe Garamond Pro"/>
          <w:lang w:val="bs-Latn-BA"/>
        </w:rPr>
        <w:t>, Darmstadt, 1983.</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Zimmermann, Roman Law, Contemporary Law, European Law. The Civilian Tradition Today, Oxford, 2001.</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Zimmermann, The Civil Law in European Codes, in: Carey Miller/ Zimmermann (eds.), The Civilian Tradition and Scots Law: Aberdeen Quincentenary Essays, 1997.</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Zocco-Rosa, Influssi di diritto romano sur una legislazione Slavo-serba, in: Mélanges G. Cornil, Vol. II, Paris, 1926.</w:t>
      </w:r>
    </w:p>
    <w:p w:rsidR="004B6972" w:rsidRPr="003D101F" w:rsidRDefault="004B6972" w:rsidP="00620829">
      <w:pPr>
        <w:pStyle w:val="FootnoteText"/>
        <w:numPr>
          <w:ilvl w:val="0"/>
          <w:numId w:val="33"/>
        </w:numPr>
        <w:ind w:left="284" w:hanging="284"/>
        <w:jc w:val="both"/>
        <w:rPr>
          <w:rFonts w:ascii="Adobe Garamond Pro" w:hAnsi="Adobe Garamond Pro"/>
          <w:lang w:val="bs-Latn-BA"/>
        </w:rPr>
      </w:pPr>
      <w:r w:rsidRPr="003D101F">
        <w:rPr>
          <w:rFonts w:ascii="Adobe Garamond Pro" w:hAnsi="Adobe Garamond Pro"/>
          <w:lang w:val="bs-Latn-BA"/>
        </w:rPr>
        <w:t xml:space="preserve">Zwalve, </w:t>
      </w:r>
      <w:r w:rsidRPr="003D101F">
        <w:rPr>
          <w:rFonts w:ascii="Adobe Garamond Pro" w:hAnsi="Adobe Garamond Pro"/>
          <w:i/>
          <w:lang w:val="bs-Latn-BA"/>
        </w:rPr>
        <w:t>Snell v. Beadle</w:t>
      </w:r>
      <w:r w:rsidRPr="003D101F">
        <w:rPr>
          <w:rFonts w:ascii="Adobe Garamond Pro" w:hAnsi="Adobe Garamond Pro"/>
          <w:lang w:val="bs-Latn-BA"/>
        </w:rPr>
        <w:t xml:space="preserve">. The Privy Council on Roman law, Norman customary law and the </w:t>
      </w:r>
      <w:r w:rsidRPr="003D101F">
        <w:rPr>
          <w:rFonts w:ascii="Adobe Garamond Pro" w:hAnsi="Adobe Garamond Pro"/>
          <w:i/>
          <w:lang w:val="bs-Latn-BA"/>
        </w:rPr>
        <w:t>ius commune</w:t>
      </w:r>
      <w:r w:rsidRPr="003D101F">
        <w:rPr>
          <w:rFonts w:ascii="Adobe Garamond Pro" w:hAnsi="Adobe Garamond Pro"/>
          <w:lang w:val="bs-Latn-BA"/>
        </w:rPr>
        <w:t xml:space="preserve">;  in: Ligt, L. de (ed.), </w:t>
      </w:r>
      <w:r w:rsidRPr="003D101F">
        <w:rPr>
          <w:rFonts w:ascii="Adobe Garamond Pro" w:hAnsi="Adobe Garamond Pro"/>
          <w:i/>
          <w:lang w:val="bs-Latn-BA"/>
        </w:rPr>
        <w:t xml:space="preserve">Viva vox iuris romani. </w:t>
      </w:r>
      <w:r w:rsidRPr="003D101F">
        <w:rPr>
          <w:rFonts w:ascii="Adobe Garamond Pro" w:hAnsi="Adobe Garamond Pro"/>
          <w:lang w:val="bs-Latn-BA"/>
        </w:rPr>
        <w:t>Essays in honour of J.E. Spruit, Amsterdam, 2002.</w:t>
      </w:r>
    </w:p>
    <w:p w:rsidR="00A1095F" w:rsidRPr="003D101F" w:rsidRDefault="004B6972" w:rsidP="00620829">
      <w:pPr>
        <w:pStyle w:val="ListParagraph"/>
        <w:numPr>
          <w:ilvl w:val="0"/>
          <w:numId w:val="33"/>
        </w:numPr>
        <w:spacing w:after="0" w:line="240" w:lineRule="auto"/>
        <w:ind w:left="284" w:hanging="284"/>
        <w:jc w:val="both"/>
        <w:rPr>
          <w:rFonts w:ascii="Adobe Garamond Pro" w:hAnsi="Adobe Garamond Pro" w:cs="Times New Roman"/>
          <w:sz w:val="20"/>
          <w:szCs w:val="20"/>
          <w:lang w:val="bs-Latn-BA"/>
        </w:rPr>
      </w:pPr>
      <w:r w:rsidRPr="003D101F">
        <w:rPr>
          <w:rFonts w:ascii="Adobe Garamond Pro" w:hAnsi="Adobe Garamond Pro" w:cs="Times New Roman"/>
          <w:sz w:val="20"/>
          <w:szCs w:val="20"/>
          <w:lang w:val="bs-Latn-BA"/>
        </w:rPr>
        <w:t>Žuvela, Vlasničkopravni odnosi, Zagreb, 2009.</w:t>
      </w:r>
    </w:p>
    <w:p w:rsidR="002D2430" w:rsidRPr="00A1095F" w:rsidRDefault="002D2430" w:rsidP="00A1095F">
      <w:pPr>
        <w:rPr>
          <w:rFonts w:ascii="Adobe Garamond Pro" w:hAnsi="Adobe Garamond Pro" w:cs="Times New Roman"/>
          <w:lang w:val="bs-Latn-BA"/>
        </w:rPr>
      </w:pPr>
    </w:p>
    <w:sectPr w:rsidR="002D2430" w:rsidRPr="00A1095F" w:rsidSect="00A3642B">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1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8BB" w:rsidRDefault="008118BB" w:rsidP="000C691C">
      <w:pPr>
        <w:spacing w:after="0" w:line="240" w:lineRule="auto"/>
      </w:pPr>
      <w:r>
        <w:separator/>
      </w:r>
    </w:p>
  </w:endnote>
  <w:endnote w:type="continuationSeparator" w:id="1">
    <w:p w:rsidR="008118BB" w:rsidRDefault="008118BB"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E1F8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A3642B">
      <w:rPr>
        <w:rFonts w:ascii="Adobe Garamond Pro" w:hAnsi="Adobe Garamond Pro" w:cs="Times New Roman"/>
        <w:noProof/>
        <w:sz w:val="20"/>
        <w:szCs w:val="20"/>
      </w:rPr>
      <w:t>116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DE1F8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DE1F81" w:rsidRPr="00FE57C1">
      <w:rPr>
        <w:rFonts w:ascii="Adobe Garamond Pro" w:hAnsi="Adobe Garamond Pro" w:cs="Times New Roman"/>
        <w:sz w:val="20"/>
        <w:szCs w:val="20"/>
      </w:rPr>
      <w:fldChar w:fldCharType="separate"/>
    </w:r>
    <w:r w:rsidR="00A3642B">
      <w:rPr>
        <w:rFonts w:ascii="Adobe Garamond Pro" w:hAnsi="Adobe Garamond Pro" w:cs="Times New Roman"/>
        <w:noProof/>
        <w:sz w:val="20"/>
        <w:szCs w:val="20"/>
      </w:rPr>
      <w:t>115</w:t>
    </w:r>
    <w:r w:rsidR="00DE1F8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DE1F8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3642B">
      <w:rPr>
        <w:rFonts w:ascii="Adobe Garamond Pro" w:hAnsi="Adobe Garamond Pro" w:cs="Times New Roman"/>
        <w:noProof/>
        <w:sz w:val="20"/>
        <w:szCs w:val="20"/>
      </w:rPr>
      <w:t>103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8BB" w:rsidRDefault="008118BB" w:rsidP="000C691C">
      <w:pPr>
        <w:spacing w:after="0" w:line="240" w:lineRule="auto"/>
      </w:pPr>
      <w:r>
        <w:separator/>
      </w:r>
    </w:p>
  </w:footnote>
  <w:footnote w:type="continuationSeparator" w:id="1">
    <w:p w:rsidR="008118BB" w:rsidRDefault="008118BB" w:rsidP="000C691C">
      <w:pPr>
        <w:spacing w:after="0" w:line="240" w:lineRule="auto"/>
      </w:pPr>
      <w:r>
        <w:continuationSeparator/>
      </w:r>
    </w:p>
  </w:footnote>
  <w:footnote w:id="2">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Općenito o ius commune kao pravnom sustavu v. e.g.  Calasso, </w:t>
      </w:r>
      <w:r w:rsidRPr="003D101F">
        <w:rPr>
          <w:rFonts w:ascii="Adobe Garamond Pro" w:hAnsi="Adobe Garamond Pro"/>
          <w:color w:val="000000"/>
          <w:sz w:val="18"/>
          <w:szCs w:val="18"/>
          <w:lang w:val="bs-Latn-BA"/>
        </w:rPr>
        <w:t xml:space="preserve">Introduzione al diritto commune, Milano, 1970; </w:t>
      </w:r>
      <w:r w:rsidRPr="003D101F">
        <w:rPr>
          <w:rFonts w:ascii="Adobe Garamond Pro" w:hAnsi="Adobe Garamond Pro"/>
          <w:sz w:val="18"/>
          <w:szCs w:val="18"/>
          <w:lang w:val="bs-Latn-BA"/>
        </w:rPr>
        <w:t xml:space="preserve">Coing, Die ursprüngliche Einheit der europäischen Rechtswissenschaft, Wiesbaden, 1968; idem, Europäische Grundlagen des modernen Privatrechts, Opladen, 1986; Bellomo, </w:t>
      </w:r>
      <w:r w:rsidRPr="003D101F">
        <w:rPr>
          <w:rFonts w:ascii="Adobe Garamond Pro" w:hAnsi="Adobe Garamond Pro"/>
          <w:color w:val="000000"/>
          <w:sz w:val="18"/>
          <w:szCs w:val="18"/>
          <w:lang w:val="bs-Latn-BA"/>
        </w:rPr>
        <w:t xml:space="preserve">L'Europa del diritto comune, Roma, 1998; </w:t>
      </w:r>
      <w:r w:rsidRPr="003D101F">
        <w:rPr>
          <w:rFonts w:ascii="Adobe Garamond Pro" w:hAnsi="Adobe Garamond Pro"/>
          <w:sz w:val="18"/>
          <w:szCs w:val="18"/>
          <w:lang w:val="bs-Latn-BA"/>
        </w:rPr>
        <w:t>Van Caenegem, European Law in the Past and the Future, Cambridge, 2002, 13 sqq.</w:t>
      </w:r>
    </w:p>
  </w:footnote>
  <w:footnote w:id="3">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e.g. Stein, Roman Law in European History, Cambridge, 1999, 104 sqq.; Zimmermann, The Civil Law in European Codes, in: Carey Miller/ Zimmermann (eds.), The Civilian Tradition and Scots Law: Aberdeen Quincentenary Essays, 1997, 259 sqq. </w:t>
      </w:r>
    </w:p>
  </w:footnote>
  <w:footnote w:id="4">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Općenito o njemačkoj pandektističkoj doktrini u drugoj polovici 19 st. i stvaranju sustava pandektnog prava v. e.g. Wieacker, Privatrechtsgeschichte der Neuzeit, Göttingen, 1996, 430 sqq., s uputama na brojnu daljnju literaturu.</w:t>
      </w:r>
    </w:p>
  </w:footnote>
  <w:footnote w:id="5">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Općenito o rimskoj pravnoj tradiciji kao «zajedničkom nazivniku» europskih (privatno)pravnih sustava u kontekstu stvaranja jedinstvenog europskog građanskog zakonodavstva v. e.g. Sturm, Droit romain et identité européenne, in: Droit romain et identité européene, Revue internationale des droit de l'antiquité. Supplément au tome XLI (1994), 147 sqq.; Knütel, Römisches Recht und Europa, in: Droit romain et identité européene, op. cit., 185 sqq.; Zimmermann, Roman Law, Contemporary Law, European Law. The Civilian Tradition Today, Oxford, 2001.</w:t>
      </w:r>
    </w:p>
  </w:footnote>
  <w:footnote w:id="6">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 značenju latinskih pravnih izreka kao jednog od temeljnih elemenata europske pravne tradicije, kulture i jezika v. amplius Wacke, Sprichwörtliche Prinzipien und europäische Rechtsangleichung, Orbis iuris romani, 5 (1999) 174 sqq.; cf. i Liebs, Lateinische Rechtsregeln und Rechtssprichwörter, München, 1991, 9 sqq.; Kranjc, Latinski pravni reki, Ljubljana, 1998, 5 sqq.; Domingo et al., Principios se derecho global. 1000 reglas y aforismos juridicos comentados, Navarra, 2006, 23 sqq.; Petrak, Traditio iuridica, vol. I. Regulae iuris, Zagreb, 2010, 9 sqq.</w:t>
      </w:r>
    </w:p>
  </w:footnote>
  <w:footnote w:id="7">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Uporaba latinskih pravnih izreka u pravnoj teoriji i doktrini u kontekstu hrvatskog pravnog sustava istražena je u određenoj mjeri u našoj upravo navedenoj knjizi pod naslovom Traditio iuridica. Slično istraživanje nedvojbeno bi bilo potrebno provesti i u pogledu bosanskohercegovačke pravne teorije i doktrine.    </w:t>
      </w:r>
    </w:p>
  </w:footnote>
  <w:footnote w:id="8">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Amandman XXIX Ustava Federacije Bosne i Hercegovine.</w:t>
      </w:r>
    </w:p>
  </w:footnote>
  <w:footnote w:id="9">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Amandman XXIX Ustava Republike Srpske.</w:t>
      </w:r>
    </w:p>
  </w:footnote>
  <w:footnote w:id="10">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 uporabi latinskog jezika u Bosni i Hercegovini u prošlosti v. ukratko </w:t>
      </w:r>
      <w:r w:rsidRPr="003D101F">
        <w:rPr>
          <w:rFonts w:ascii="Adobe Garamond Pro" w:hAnsi="Adobe Garamond Pro"/>
          <w:sz w:val="18"/>
          <w:szCs w:val="18"/>
          <w:shd w:val="clear" w:color="auto" w:fill="FFFFFF"/>
          <w:lang w:val="bs-Latn-BA"/>
        </w:rPr>
        <w:t>Čelić, Tokovi pisane riječi u Bosni i Hercegovini, in: Isaković/Popadić (eds.),</w:t>
      </w:r>
      <w:r w:rsidRPr="003D101F">
        <w:rPr>
          <w:rFonts w:ascii="Adobe Garamond Pro" w:hAnsi="Adobe Garamond Pro"/>
          <w:sz w:val="18"/>
          <w:szCs w:val="18"/>
          <w:lang w:val="bs-Latn-BA"/>
        </w:rPr>
        <w:t> </w:t>
      </w:r>
      <w:r w:rsidRPr="003D101F">
        <w:rPr>
          <w:rFonts w:ascii="Adobe Garamond Pro" w:hAnsi="Adobe Garamond Pro"/>
          <w:iCs/>
          <w:sz w:val="18"/>
          <w:szCs w:val="18"/>
          <w:lang w:val="bs-Latn-BA"/>
        </w:rPr>
        <w:t>Pisana riječ u Bosni i Hercegovini – od najstarijih vremena do 1918. godine</w:t>
      </w:r>
      <w:r w:rsidRPr="003D101F">
        <w:rPr>
          <w:rFonts w:ascii="Adobe Garamond Pro" w:hAnsi="Adobe Garamond Pro"/>
          <w:sz w:val="18"/>
          <w:szCs w:val="18"/>
          <w:shd w:val="clear" w:color="auto" w:fill="FFFFFF"/>
          <w:lang w:val="bs-Latn-BA"/>
        </w:rPr>
        <w:t>, Sarajevo, 1982, 7 sqq.</w:t>
      </w:r>
    </w:p>
  </w:footnote>
  <w:footnote w:id="11">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npr. prilog Igora Petričeka „</w:t>
      </w:r>
      <w:r w:rsidRPr="003D101F">
        <w:rPr>
          <w:rStyle w:val="txt"/>
          <w:rFonts w:ascii="Adobe Garamond Pro" w:hAnsi="Adobe Garamond Pro"/>
          <w:lang w:val="bs-Latn-BA"/>
        </w:rPr>
        <w:t>Dijagnoze na hrvatskom ili latinskom?“, Liječničke novine 50 (2006), 75 sqq.;</w:t>
      </w:r>
      <w:r w:rsidRPr="003D101F">
        <w:rPr>
          <w:rFonts w:ascii="Adobe Garamond Pro" w:hAnsi="Adobe Garamond Pro"/>
          <w:sz w:val="18"/>
          <w:szCs w:val="18"/>
          <w:lang w:val="bs-Latn-BA"/>
        </w:rPr>
        <w:t xml:space="preserve"> cf. i Lončarek, Latinski s izgovorom, Feral Tribune od 30. studenoga 2006. g., u kojem tekstu autorica, osim ponavljanja tvrdnje da je pisanje dijagnoza na latinskom protuustavno, ističe i da je medicinski latinski „ritualni jezik koji liječnika razlikuje i odvaja od laika“, iznoseći začudnu tezu da se latinski jezik u navedenom kontekstu koristi prije svega zato da bi dijagnoze ostale nerazumljive pacijentima. Ne ulazeći dublje u razloge navedenog kvazi-prosvjetiteljskog nastojanja, ipak se mora istaknuti kako je tvrdnja da se latinski jezik koristi u pisanju dijagnoza uglavnom u „okultirajuće“ svrhe sasvim apsurdna u 21. stoljeću, u kojem se značenje svakog takvog latinskog izraza može u najkraćem roku doznati ili provjeriti putem interneta. </w:t>
      </w:r>
    </w:p>
  </w:footnote>
  <w:footnote w:id="12">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npr. interview sa prof. dr. sc. Emirom Solakovićem „</w:t>
      </w:r>
      <w:r w:rsidRPr="003D101F">
        <w:rPr>
          <w:rFonts w:ascii="Adobe Garamond Pro" w:hAnsi="Adobe Garamond Pro"/>
          <w:color w:val="000000"/>
          <w:sz w:val="18"/>
          <w:szCs w:val="18"/>
          <w:shd w:val="clear" w:color="auto" w:fill="FFFFFF"/>
          <w:lang w:val="bs-Latn-BA"/>
        </w:rPr>
        <w:t>Medicina je biznis, ali građani ne smiju biti ničiji bankomati“, Dnevni avaz, 24.08.2013. (online izdanje), koji u navedenom kontekstu razlikuje znanstveni i popularni diskurs: „Moj cilj je bio da knjige napišem jezikom koji narod razumije, a kada dođem na kongres ljekara, onda ću govoriti latinske izraze. Moja je ideja bila da svi naši doktori pišu dijagnoze na bosanskom, da pacijent zna šta mu je. To je trajalo vrlo kratko. Kako će jedan pacijent koji izađe iz bolnice razumjeti šta mu je kada vidi dijagnozu na latinskom?</w:t>
      </w:r>
      <w:r w:rsidRPr="003D101F">
        <w:rPr>
          <w:rStyle w:val="apple-converted-space"/>
          <w:rFonts w:ascii="Adobe Garamond Pro" w:hAnsi="Adobe Garamond Pro"/>
          <w:color w:val="000000"/>
          <w:sz w:val="18"/>
          <w:szCs w:val="18"/>
          <w:shd w:val="clear" w:color="auto" w:fill="FFFFFF"/>
          <w:lang w:val="bs-Latn-BA"/>
        </w:rPr>
        <w:t xml:space="preserve">“. </w:t>
      </w:r>
    </w:p>
  </w:footnote>
  <w:footnote w:id="13">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 temeljnim obilježjima latinske medicinske terminologije te svrsi njene uporabe u suvremenom svijetu v. npr. Loknar, Latinske i hrvatske medicinske izreke, Zagreb, 2007, koji u navedenom kontekstu posebice ističe neprolaznu aktualnost izreke Non est medicina sine lingua Latina!.  </w:t>
      </w:r>
    </w:p>
  </w:footnote>
  <w:footnote w:id="14">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 formulama, grafikonima i znakovima kao temeljnim oblicima pisanog normativnog izražavanja, na koji nailazimo u gotovo svakom broju Narodnih Novina; v. npr. Perić, Struktura prava, Zagreb, 1988, 29 sq.   </w:t>
      </w:r>
    </w:p>
  </w:footnote>
  <w:footnote w:id="15">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AP-2204/08; o pravilu </w:t>
      </w:r>
      <w:r w:rsidRPr="003D101F">
        <w:rPr>
          <w:rFonts w:ascii="Adobe Garamond Pro" w:hAnsi="Adobe Garamond Pro"/>
          <w:iCs/>
          <w:sz w:val="18"/>
          <w:szCs w:val="18"/>
          <w:lang w:val="bs-Latn-BA"/>
        </w:rPr>
        <w:t>actori incumbit probatio</w:t>
      </w:r>
      <w:r w:rsidRPr="003D101F">
        <w:rPr>
          <w:rFonts w:ascii="Adobe Garamond Pro" w:hAnsi="Adobe Garamond Pro"/>
          <w:sz w:val="18"/>
          <w:szCs w:val="18"/>
          <w:lang w:val="bs-Latn-BA"/>
        </w:rPr>
        <w:t>, nastalom na temelju C. 4, 30, 10, v.  Liebs (n. 5)  23; Petrak (n. 5) 20.</w:t>
      </w:r>
    </w:p>
  </w:footnote>
  <w:footnote w:id="16">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bCs/>
          <w:sz w:val="18"/>
          <w:szCs w:val="18"/>
          <w:lang w:val="bs-Latn-BA"/>
        </w:rPr>
        <w:footnoteRef/>
      </w:r>
      <w:r w:rsidRPr="003D101F">
        <w:rPr>
          <w:rFonts w:ascii="Adobe Garamond Pro" w:hAnsi="Adobe Garamond Pro"/>
          <w:bCs/>
          <w:sz w:val="18"/>
          <w:szCs w:val="18"/>
          <w:lang w:val="bs-Latn-BA"/>
        </w:rPr>
        <w:t xml:space="preserve"> AP-225/04; o pravilu </w:t>
      </w:r>
      <w:r w:rsidRPr="003D101F">
        <w:rPr>
          <w:rFonts w:ascii="Adobe Garamond Pro" w:hAnsi="Adobe Garamond Pro"/>
          <w:bCs/>
          <w:iCs/>
          <w:sz w:val="18"/>
          <w:szCs w:val="18"/>
          <w:lang w:val="bs-Latn-BA"/>
        </w:rPr>
        <w:t>falsa nominatio non nocet</w:t>
      </w:r>
      <w:r w:rsidRPr="003D101F">
        <w:rPr>
          <w:rFonts w:ascii="Adobe Garamond Pro" w:hAnsi="Adobe Garamond Pro"/>
          <w:sz w:val="18"/>
          <w:szCs w:val="18"/>
          <w:lang w:val="bs-Latn-BA"/>
        </w:rPr>
        <w:t xml:space="preserve">, nastalom na temelju Marc. D. 35,1,33, pr.  i Scaev. D. 32,102,1., </w:t>
      </w:r>
      <w:r w:rsidRPr="003D101F">
        <w:rPr>
          <w:rFonts w:ascii="Adobe Garamond Pro" w:hAnsi="Adobe Garamond Pro"/>
          <w:bCs/>
          <w:iCs/>
          <w:sz w:val="18"/>
          <w:szCs w:val="18"/>
          <w:lang w:val="bs-Latn-BA"/>
        </w:rPr>
        <w:t>v. Liebs</w:t>
      </w:r>
      <w:r w:rsidRPr="003D101F">
        <w:rPr>
          <w:rFonts w:ascii="Adobe Garamond Pro" w:hAnsi="Adobe Garamond Pro"/>
          <w:sz w:val="18"/>
          <w:szCs w:val="18"/>
          <w:lang w:val="bs-Latn-BA"/>
        </w:rPr>
        <w:t xml:space="preserve"> (n. 5) 72 sq.</w:t>
      </w:r>
      <w:r w:rsidRPr="003D101F">
        <w:rPr>
          <w:rFonts w:ascii="Adobe Garamond Pro" w:hAnsi="Adobe Garamond Pro"/>
          <w:color w:val="000000"/>
          <w:sz w:val="18"/>
          <w:szCs w:val="18"/>
          <w:lang w:val="bs-Latn-BA"/>
        </w:rPr>
        <w:t xml:space="preserve">; Kranjc (n. 5) </w:t>
      </w:r>
      <w:r w:rsidRPr="003D101F">
        <w:rPr>
          <w:rFonts w:ascii="Adobe Garamond Pro" w:hAnsi="Adobe Garamond Pro"/>
          <w:sz w:val="18"/>
          <w:szCs w:val="18"/>
          <w:lang w:val="bs-Latn-BA"/>
        </w:rPr>
        <w:t>95.</w:t>
      </w:r>
    </w:p>
  </w:footnote>
  <w:footnote w:id="17">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w:t>
      </w:r>
      <w:r w:rsidRPr="003D101F">
        <w:rPr>
          <w:rFonts w:ascii="Adobe Garamond Pro" w:hAnsi="Adobe Garamond Pro"/>
          <w:bCs/>
          <w:sz w:val="18"/>
          <w:szCs w:val="18"/>
          <w:shd w:val="clear" w:color="auto" w:fill="FFFFFF"/>
          <w:lang w:val="bs-Latn-BA"/>
        </w:rPr>
        <w:t xml:space="preserve">AP-1405/08; AP-45/02; </w:t>
      </w:r>
      <w:r w:rsidRPr="003D101F">
        <w:rPr>
          <w:rFonts w:ascii="Adobe Garamond Pro" w:hAnsi="Adobe Garamond Pro"/>
          <w:bCs/>
          <w:sz w:val="18"/>
          <w:szCs w:val="18"/>
          <w:lang w:val="bs-Latn-BA"/>
        </w:rPr>
        <w:t xml:space="preserve">o pravilu ignorantia iuris nocet, nastalom na temelju Paul. 22,6,9, pr., </w:t>
      </w:r>
      <w:r w:rsidRPr="003D101F">
        <w:rPr>
          <w:rFonts w:ascii="Adobe Garamond Pro" w:hAnsi="Adobe Garamond Pro"/>
          <w:sz w:val="18"/>
          <w:szCs w:val="18"/>
          <w:lang w:val="bs-Latn-BA"/>
        </w:rPr>
        <w:t>v. Petrak (n. 5) 65 sq.</w:t>
      </w:r>
    </w:p>
  </w:footnote>
  <w:footnote w:id="18">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AP-3574/13; AP-3431/13; AP-1713/12; AP-4006/11; AP- 1452/11 i dr; o pravilu </w:t>
      </w:r>
      <w:r w:rsidRPr="003D101F">
        <w:rPr>
          <w:rFonts w:ascii="Adobe Garamond Pro" w:hAnsi="Adobe Garamond Pro"/>
          <w:iCs/>
          <w:sz w:val="18"/>
          <w:szCs w:val="18"/>
          <w:lang w:val="bs-Latn-BA"/>
        </w:rPr>
        <w:t>in dubio pro reo</w:t>
      </w:r>
      <w:r w:rsidRPr="003D101F">
        <w:rPr>
          <w:rFonts w:ascii="Adobe Garamond Pro" w:hAnsi="Adobe Garamond Pro"/>
          <w:sz w:val="18"/>
          <w:szCs w:val="18"/>
          <w:lang w:val="bs-Latn-BA"/>
        </w:rPr>
        <w:t>, nastalom na temelju Paul. D. 42, 1, 38 pr. i Gai. 50, 17, 125, v. Liebs (n. 5) 91 sq.</w:t>
      </w:r>
    </w:p>
  </w:footnote>
  <w:footnote w:id="19">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AP-1592/08; AP-1300/06; AP-2248/05; AP-200/05; AP-863/04; o pravilu iura novit curia, nastalom na temelju Ulp. D. 44, 1, 1 i  Ulp. 22, 3, 19 pr.; v. Liebs (n. 5)  103; Petrak (n. 5) 70 sq.</w:t>
      </w:r>
    </w:p>
  </w:footnote>
  <w:footnote w:id="20">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cs="Times New Roman"/>
          <w:sz w:val="18"/>
          <w:szCs w:val="18"/>
          <w:lang w:val="bs-Latn-BA"/>
        </w:rPr>
        <w:t xml:space="preserve"> AP-2134/11; AP-1016/09; AP-3417/08; AP-1209/08; U-10/04 i dr.; o pravilu </w:t>
      </w:r>
      <w:r w:rsidRPr="003D101F">
        <w:rPr>
          <w:rFonts w:ascii="Adobe Garamond Pro" w:hAnsi="Adobe Garamond Pro" w:cs="Times New Roman"/>
          <w:bCs/>
          <w:iCs/>
          <w:sz w:val="18"/>
          <w:szCs w:val="18"/>
          <w:lang w:val="bs-Latn-BA"/>
        </w:rPr>
        <w:t>lex posterior derogat legi priori,</w:t>
      </w:r>
      <w:r w:rsidRPr="003D101F">
        <w:rPr>
          <w:rFonts w:ascii="Adobe Garamond Pro" w:hAnsi="Adobe Garamond Pro" w:cs="Times New Roman"/>
          <w:color w:val="000000"/>
          <w:sz w:val="18"/>
          <w:szCs w:val="18"/>
          <w:lang w:val="bs-Latn-BA"/>
        </w:rPr>
        <w:t xml:space="preserve"> </w:t>
      </w:r>
      <w:r w:rsidRPr="003D101F">
        <w:rPr>
          <w:rFonts w:ascii="Adobe Garamond Pro" w:hAnsi="Adobe Garamond Pro" w:cs="Times New Roman"/>
          <w:sz w:val="18"/>
          <w:szCs w:val="18"/>
          <w:lang w:val="bs-Latn-BA"/>
        </w:rPr>
        <w:t>v. Liebs (n. 5) 111</w:t>
      </w:r>
      <w:r w:rsidRPr="003D101F">
        <w:rPr>
          <w:rFonts w:ascii="Adobe Garamond Pro" w:hAnsi="Adobe Garamond Pro" w:cs="Times New Roman"/>
          <w:color w:val="000000"/>
          <w:sz w:val="18"/>
          <w:szCs w:val="18"/>
          <w:lang w:val="bs-Latn-BA"/>
        </w:rPr>
        <w:t xml:space="preserve">; Kranjc (n. 5) 140 sq.; </w:t>
      </w:r>
      <w:r w:rsidRPr="003D101F">
        <w:rPr>
          <w:rFonts w:ascii="Adobe Garamond Pro" w:hAnsi="Adobe Garamond Pro" w:cs="Times New Roman"/>
          <w:sz w:val="18"/>
          <w:szCs w:val="18"/>
          <w:lang w:val="bs-Latn-BA"/>
        </w:rPr>
        <w:t>Petrak (n. 5) 77 sq.</w:t>
      </w:r>
    </w:p>
  </w:footnote>
  <w:footnote w:id="21">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cs="Times New Roman"/>
          <w:sz w:val="18"/>
          <w:szCs w:val="18"/>
          <w:lang w:val="bs-Latn-BA"/>
        </w:rPr>
        <w:t xml:space="preserve"> AP-2423/10; AP-3893/09; AP-3594/08; AP-3417/08; AP-1209/08 i dr.; o pravilu </w:t>
      </w:r>
      <w:r w:rsidRPr="003D101F">
        <w:rPr>
          <w:rFonts w:ascii="Adobe Garamond Pro" w:hAnsi="Adobe Garamond Pro" w:cs="Times New Roman"/>
          <w:iCs/>
          <w:color w:val="000000"/>
          <w:sz w:val="18"/>
          <w:szCs w:val="18"/>
          <w:lang w:val="bs-Latn-BA"/>
        </w:rPr>
        <w:t>lex specialis derogat legi generali,</w:t>
      </w:r>
      <w:r w:rsidRPr="003D101F">
        <w:rPr>
          <w:rFonts w:ascii="Adobe Garamond Pro" w:hAnsi="Adobe Garamond Pro" w:cs="Times New Roman"/>
          <w:color w:val="000000"/>
          <w:sz w:val="18"/>
          <w:szCs w:val="18"/>
          <w:lang w:val="bs-Latn-BA"/>
        </w:rPr>
        <w:t xml:space="preserve"> </w:t>
      </w:r>
      <w:r w:rsidRPr="003D101F">
        <w:rPr>
          <w:rFonts w:ascii="Adobe Garamond Pro" w:hAnsi="Adobe Garamond Pro" w:cs="Times New Roman"/>
          <w:sz w:val="18"/>
          <w:szCs w:val="18"/>
          <w:lang w:val="bs-Latn-BA"/>
        </w:rPr>
        <w:t>v. Liebs (n. 5) 111</w:t>
      </w:r>
      <w:r w:rsidRPr="003D101F">
        <w:rPr>
          <w:rFonts w:ascii="Adobe Garamond Pro" w:hAnsi="Adobe Garamond Pro" w:cs="Times New Roman"/>
          <w:color w:val="000000"/>
          <w:sz w:val="18"/>
          <w:szCs w:val="18"/>
          <w:lang w:val="bs-Latn-BA"/>
        </w:rPr>
        <w:t xml:space="preserve">; Kranjc (n. 5) 142; </w:t>
      </w:r>
      <w:r w:rsidRPr="003D101F">
        <w:rPr>
          <w:rFonts w:ascii="Adobe Garamond Pro" w:hAnsi="Adobe Garamond Pro" w:cs="Times New Roman"/>
          <w:sz w:val="18"/>
          <w:szCs w:val="18"/>
          <w:lang w:val="bs-Latn-BA"/>
        </w:rPr>
        <w:t>Petrak (n. 5) 79 sq.</w:t>
      </w:r>
    </w:p>
  </w:footnote>
  <w:footnote w:id="22">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w:t>
      </w:r>
      <w:r w:rsidRPr="003D101F">
        <w:rPr>
          <w:rFonts w:ascii="Adobe Garamond Pro" w:hAnsi="Adobe Garamond Pro"/>
          <w:color w:val="000000"/>
          <w:sz w:val="18"/>
          <w:szCs w:val="18"/>
          <w:lang w:val="bs-Latn-BA"/>
        </w:rPr>
        <w:t xml:space="preserve">AP-2821/09;  o pravilu </w:t>
      </w:r>
      <w:r w:rsidRPr="003D101F">
        <w:rPr>
          <w:rFonts w:ascii="Adobe Garamond Pro" w:hAnsi="Adobe Garamond Pro"/>
          <w:iCs/>
          <w:color w:val="000000"/>
          <w:sz w:val="18"/>
          <w:szCs w:val="18"/>
          <w:lang w:val="bs-Latn-BA"/>
        </w:rPr>
        <w:t xml:space="preserve">nemo iudex in causa sua, </w:t>
      </w:r>
      <w:r w:rsidRPr="003D101F">
        <w:rPr>
          <w:rFonts w:ascii="Adobe Garamond Pro" w:hAnsi="Adobe Garamond Pro"/>
          <w:sz w:val="18"/>
          <w:szCs w:val="18"/>
          <w:lang w:val="bs-Latn-BA"/>
        </w:rPr>
        <w:t>izvorno sadržanom u C. 3, 5,1,  v. Liebs (n. 5) 131; Kranjc (n. 5) 165; Petrak (n. 5) 88 sq.</w:t>
      </w:r>
    </w:p>
  </w:footnote>
  <w:footnote w:id="23">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bCs/>
          <w:sz w:val="18"/>
          <w:szCs w:val="18"/>
          <w:lang w:val="bs-Latn-BA"/>
        </w:rPr>
        <w:footnoteRef/>
      </w:r>
      <w:r w:rsidRPr="003D101F">
        <w:rPr>
          <w:rFonts w:ascii="Adobe Garamond Pro" w:hAnsi="Adobe Garamond Pro"/>
          <w:bCs/>
          <w:sz w:val="18"/>
          <w:szCs w:val="18"/>
          <w:lang w:val="bs-Latn-BA"/>
        </w:rPr>
        <w:t xml:space="preserve"> AP-3737/13; AP-1123/11; AP-</w:t>
      </w:r>
      <w:r w:rsidRPr="003D101F">
        <w:rPr>
          <w:rFonts w:ascii="Adobe Garamond Pro" w:hAnsi="Adobe Garamond Pro"/>
          <w:sz w:val="18"/>
          <w:szCs w:val="18"/>
          <w:lang w:val="bs-Latn-BA"/>
        </w:rPr>
        <w:t xml:space="preserve"> </w:t>
      </w:r>
      <w:r w:rsidRPr="003D101F">
        <w:rPr>
          <w:rFonts w:ascii="Adobe Garamond Pro" w:hAnsi="Adobe Garamond Pro"/>
          <w:bCs/>
          <w:sz w:val="18"/>
          <w:szCs w:val="18"/>
          <w:lang w:val="bs-Latn-BA"/>
        </w:rPr>
        <w:t xml:space="preserve">145/11; AP-604/10; AP-2248/09 i dr.; o pravilu </w:t>
      </w:r>
      <w:r w:rsidRPr="003D101F">
        <w:rPr>
          <w:rFonts w:ascii="Adobe Garamond Pro" w:hAnsi="Adobe Garamond Pro"/>
          <w:bCs/>
          <w:iCs/>
          <w:sz w:val="18"/>
          <w:szCs w:val="18"/>
          <w:lang w:val="bs-Latn-BA"/>
        </w:rPr>
        <w:t>ne bis in idem, v. Liebs</w:t>
      </w:r>
      <w:r w:rsidRPr="003D101F">
        <w:rPr>
          <w:rFonts w:ascii="Adobe Garamond Pro" w:hAnsi="Adobe Garamond Pro"/>
          <w:sz w:val="18"/>
          <w:szCs w:val="18"/>
          <w:lang w:val="bs-Latn-BA"/>
        </w:rPr>
        <w:t xml:space="preserve"> (n. 5) 125</w:t>
      </w:r>
      <w:r w:rsidRPr="003D101F">
        <w:rPr>
          <w:rFonts w:ascii="Adobe Garamond Pro" w:hAnsi="Adobe Garamond Pro"/>
          <w:color w:val="000000"/>
          <w:sz w:val="18"/>
          <w:szCs w:val="18"/>
          <w:lang w:val="bs-Latn-BA"/>
        </w:rPr>
        <w:t xml:space="preserve">; Kranjc (n. 5) </w:t>
      </w:r>
      <w:r w:rsidRPr="003D101F">
        <w:rPr>
          <w:rFonts w:ascii="Adobe Garamond Pro" w:hAnsi="Adobe Garamond Pro"/>
          <w:sz w:val="18"/>
          <w:szCs w:val="18"/>
          <w:lang w:val="bs-Latn-BA"/>
        </w:rPr>
        <w:t>158; Petrak (n. 5) 84 sq.</w:t>
      </w:r>
    </w:p>
  </w:footnote>
  <w:footnote w:id="24">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U-1/11; AP-1931/10; ; o pravilu nemo plus iuris ad alium transferre potest, quam ipse habet, izvorno sadržanom u Ulp. D. 50,17,54,  v. Liebs (n. 5) 132; Kranjc (n. 5) 165; Petrak (n. 5) 90.</w:t>
      </w:r>
    </w:p>
  </w:footnote>
  <w:footnote w:id="25">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AP-5161/10; AP-4065/09; AP-3427/09; AP-2947/09; AP- 1232/09 i dr.; </w:t>
      </w:r>
      <w:r w:rsidRPr="003D101F">
        <w:rPr>
          <w:rFonts w:ascii="Adobe Garamond Pro" w:hAnsi="Adobe Garamond Pro"/>
          <w:color w:val="000000"/>
          <w:sz w:val="18"/>
          <w:szCs w:val="18"/>
          <w:lang w:val="bs-Latn-BA"/>
        </w:rPr>
        <w:t>o pravilu</w:t>
      </w:r>
      <w:r w:rsidRPr="003D101F">
        <w:rPr>
          <w:rFonts w:ascii="Adobe Garamond Pro" w:hAnsi="Adobe Garamond Pro"/>
          <w:iCs/>
          <w:color w:val="000000"/>
          <w:sz w:val="18"/>
          <w:szCs w:val="18"/>
          <w:lang w:val="bs-Latn-BA"/>
        </w:rPr>
        <w:t xml:space="preserve"> nullum crimen sine lege, nulla poena sine lege, nastalom na temelju </w:t>
      </w:r>
      <w:r w:rsidRPr="003D101F">
        <w:rPr>
          <w:rFonts w:ascii="Adobe Garamond Pro" w:hAnsi="Adobe Garamond Pro"/>
          <w:sz w:val="18"/>
          <w:szCs w:val="18"/>
          <w:lang w:val="bs-Latn-BA"/>
        </w:rPr>
        <w:t>Ulp. D. 50,16,131,1 te Paul. D. 50,16,244, v. Liebs (n. 5) 145; Kranjc (n. 5) 176; Petrak (n. 5) 99 sq.</w:t>
      </w:r>
    </w:p>
  </w:footnote>
  <w:footnote w:id="26">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bCs/>
          <w:sz w:val="18"/>
          <w:szCs w:val="18"/>
          <w:lang w:val="bs-Latn-BA"/>
        </w:rPr>
        <w:footnoteRef/>
      </w:r>
      <w:r w:rsidRPr="003D101F">
        <w:rPr>
          <w:rFonts w:ascii="Adobe Garamond Pro" w:hAnsi="Adobe Garamond Pro"/>
          <w:bCs/>
          <w:sz w:val="18"/>
          <w:szCs w:val="18"/>
          <w:lang w:val="bs-Latn-BA"/>
        </w:rPr>
        <w:t xml:space="preserve"> U-1/11; AP-476/10; U-5/09; AP-1781/09; AP-1312/08 i dr.;o pravilu </w:t>
      </w:r>
      <w:r w:rsidRPr="003D101F">
        <w:rPr>
          <w:rFonts w:ascii="Adobe Garamond Pro" w:hAnsi="Adobe Garamond Pro"/>
          <w:sz w:val="18"/>
          <w:szCs w:val="18"/>
          <w:lang w:val="bs-Latn-BA"/>
        </w:rPr>
        <w:t>pacta sunt servanda</w:t>
      </w:r>
      <w:r w:rsidRPr="003D101F">
        <w:rPr>
          <w:rFonts w:ascii="Adobe Garamond Pro" w:hAnsi="Adobe Garamond Pro"/>
          <w:iCs/>
          <w:sz w:val="18"/>
          <w:szCs w:val="18"/>
          <w:lang w:val="bs-Latn-BA"/>
        </w:rPr>
        <w:t xml:space="preserve">, </w:t>
      </w:r>
      <w:r w:rsidRPr="003D101F">
        <w:rPr>
          <w:rFonts w:ascii="Adobe Garamond Pro" w:hAnsi="Adobe Garamond Pro"/>
          <w:sz w:val="18"/>
          <w:szCs w:val="18"/>
          <w:lang w:val="bs-Latn-BA"/>
        </w:rPr>
        <w:t xml:space="preserve">čije začetke nalazimo u Ulp. D. 2,14,7,7, v. </w:t>
      </w:r>
      <w:r w:rsidRPr="003D101F">
        <w:rPr>
          <w:rFonts w:ascii="Adobe Garamond Pro" w:hAnsi="Adobe Garamond Pro"/>
          <w:bCs/>
          <w:iCs/>
          <w:sz w:val="18"/>
          <w:szCs w:val="18"/>
          <w:lang w:val="bs-Latn-BA"/>
        </w:rPr>
        <w:t>Liebs</w:t>
      </w:r>
      <w:r w:rsidRPr="003D101F">
        <w:rPr>
          <w:rFonts w:ascii="Adobe Garamond Pro" w:hAnsi="Adobe Garamond Pro"/>
          <w:sz w:val="18"/>
          <w:szCs w:val="18"/>
          <w:lang w:val="bs-Latn-BA"/>
        </w:rPr>
        <w:t xml:space="preserve"> (n. 5) 150; Kranjc (n. 5) 181; Petrak (n. 5) 105 sq.</w:t>
      </w:r>
    </w:p>
  </w:footnote>
  <w:footnote w:id="27">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cs="Times New Roman"/>
          <w:sz w:val="18"/>
          <w:szCs w:val="18"/>
          <w:lang w:val="bs-Latn-BA"/>
        </w:rPr>
        <w:t xml:space="preserve"> AP-2487/09</w:t>
      </w:r>
      <w:r w:rsidRPr="003D101F">
        <w:rPr>
          <w:rFonts w:ascii="Adobe Garamond Pro" w:hAnsi="Adobe Garamond Pro" w:cs="Times New Roman"/>
          <w:color w:val="000000"/>
          <w:sz w:val="18"/>
          <w:szCs w:val="18"/>
          <w:lang w:val="bs-Latn-BA"/>
        </w:rPr>
        <w:t xml:space="preserve">; o pravilu </w:t>
      </w:r>
      <w:r w:rsidRPr="003D101F">
        <w:rPr>
          <w:rFonts w:ascii="Adobe Garamond Pro" w:hAnsi="Adobe Garamond Pro" w:cs="Times New Roman"/>
          <w:bCs/>
          <w:iCs/>
          <w:color w:val="000000"/>
          <w:sz w:val="18"/>
          <w:szCs w:val="18"/>
          <w:lang w:val="bs-Latn-BA"/>
        </w:rPr>
        <w:t xml:space="preserve">petitorium absorbet </w:t>
      </w:r>
      <w:r w:rsidRPr="003D101F">
        <w:rPr>
          <w:rFonts w:ascii="Adobe Garamond Pro" w:hAnsi="Adobe Garamond Pro" w:cs="Times New Roman"/>
          <w:bCs/>
          <w:iCs/>
          <w:sz w:val="18"/>
          <w:szCs w:val="18"/>
          <w:lang w:val="bs-Latn-BA"/>
        </w:rPr>
        <w:t xml:space="preserve">possessorium, </w:t>
      </w:r>
      <w:r w:rsidRPr="003D101F">
        <w:rPr>
          <w:rFonts w:ascii="Adobe Garamond Pro" w:hAnsi="Adobe Garamond Pro" w:cs="Times New Roman"/>
          <w:sz w:val="18"/>
          <w:szCs w:val="18"/>
          <w:lang w:val="bs-Latn-BA"/>
        </w:rPr>
        <w:t>v. Liebs (n. 5) 154; Petrak (n. 5) 111 sq.</w:t>
      </w:r>
    </w:p>
  </w:footnote>
  <w:footnote w:id="28">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AP-942/09</w:t>
      </w:r>
      <w:r w:rsidRPr="003D101F">
        <w:rPr>
          <w:rFonts w:ascii="Adobe Garamond Pro" w:hAnsi="Adobe Garamond Pro"/>
          <w:bCs/>
          <w:color w:val="000000"/>
          <w:sz w:val="18"/>
          <w:szCs w:val="18"/>
          <w:lang w:val="bs-Latn-BA"/>
        </w:rPr>
        <w:t xml:space="preserve">; o pravilu </w:t>
      </w:r>
      <w:r w:rsidRPr="003D101F">
        <w:rPr>
          <w:rFonts w:ascii="Adobe Garamond Pro" w:hAnsi="Adobe Garamond Pro"/>
          <w:sz w:val="18"/>
          <w:szCs w:val="18"/>
          <w:lang w:val="bs-Latn-BA"/>
        </w:rPr>
        <w:t xml:space="preserve">prior tempore potior iure, formuliranom u </w:t>
      </w:r>
      <w:r w:rsidRPr="003D101F">
        <w:rPr>
          <w:rStyle w:val="Strong"/>
          <w:rFonts w:ascii="Adobe Garamond Pro" w:hAnsi="Adobe Garamond Pro"/>
          <w:b w:val="0"/>
          <w:sz w:val="18"/>
          <w:szCs w:val="18"/>
          <w:lang w:val="bs-Latn-BA"/>
        </w:rPr>
        <w:t xml:space="preserve">Liber Sextus, 5,13,54 (cf. već  i  </w:t>
      </w:r>
      <w:r w:rsidRPr="003D101F">
        <w:rPr>
          <w:rFonts w:ascii="Adobe Garamond Pro" w:hAnsi="Adobe Garamond Pro"/>
          <w:sz w:val="18"/>
          <w:szCs w:val="18"/>
          <w:lang w:val="bs-Latn-BA"/>
        </w:rPr>
        <w:t>C. 8, 17, 3), v. Liebs (n. 5) 162; Kranjc (n. 5) 191;  Petrak (n. 5) 113.</w:t>
      </w:r>
    </w:p>
  </w:footnote>
  <w:footnote w:id="29">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bCs/>
          <w:sz w:val="18"/>
          <w:szCs w:val="18"/>
          <w:lang w:val="bs-Latn-BA"/>
        </w:rPr>
        <w:footnoteRef/>
      </w:r>
      <w:r w:rsidRPr="003D101F">
        <w:rPr>
          <w:rFonts w:ascii="Adobe Garamond Pro" w:hAnsi="Adobe Garamond Pro"/>
          <w:bCs/>
          <w:sz w:val="18"/>
          <w:szCs w:val="18"/>
          <w:lang w:val="bs-Latn-BA"/>
        </w:rPr>
        <w:t xml:space="preserve"> AP-219/10; o pravilu </w:t>
      </w:r>
      <w:r w:rsidRPr="003D101F">
        <w:rPr>
          <w:rFonts w:ascii="Adobe Garamond Pro" w:hAnsi="Adobe Garamond Pro"/>
          <w:bCs/>
          <w:iCs/>
          <w:sz w:val="18"/>
          <w:szCs w:val="18"/>
          <w:lang w:val="bs-Latn-BA"/>
        </w:rPr>
        <w:t xml:space="preserve">quod ab initio vitiosum est, non potest tractu temporis convalescere (“regula Catoniana”), sadržanom u </w:t>
      </w:r>
      <w:r w:rsidRPr="003D101F">
        <w:rPr>
          <w:rFonts w:ascii="Adobe Garamond Pro" w:hAnsi="Adobe Garamond Pro"/>
          <w:sz w:val="18"/>
          <w:szCs w:val="18"/>
          <w:lang w:val="bs-Latn-BA"/>
        </w:rPr>
        <w:t>Paul. D. 50,17,29, v. Liebs (n. 5) 177</w:t>
      </w:r>
      <w:r w:rsidRPr="003D101F">
        <w:rPr>
          <w:rFonts w:ascii="Adobe Garamond Pro" w:hAnsi="Adobe Garamond Pro"/>
          <w:color w:val="000000"/>
          <w:sz w:val="18"/>
          <w:szCs w:val="18"/>
          <w:lang w:val="bs-Latn-BA"/>
        </w:rPr>
        <w:t xml:space="preserve">; Kranjc (n. 5) 208; </w:t>
      </w:r>
      <w:r w:rsidRPr="003D101F">
        <w:rPr>
          <w:rFonts w:ascii="Adobe Garamond Pro" w:hAnsi="Adobe Garamond Pro"/>
          <w:sz w:val="18"/>
          <w:szCs w:val="18"/>
          <w:lang w:val="bs-Latn-BA"/>
        </w:rPr>
        <w:t>Petrak (n. 5) 116.</w:t>
      </w:r>
    </w:p>
  </w:footnote>
  <w:footnote w:id="30">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bCs/>
          <w:sz w:val="18"/>
          <w:szCs w:val="18"/>
          <w:lang w:val="bs-Latn-BA"/>
        </w:rPr>
        <w:footnoteRef/>
      </w:r>
      <w:r w:rsidRPr="003D101F">
        <w:rPr>
          <w:rFonts w:ascii="Adobe Garamond Pro" w:hAnsi="Adobe Garamond Pro"/>
          <w:bCs/>
          <w:sz w:val="18"/>
          <w:szCs w:val="18"/>
          <w:lang w:val="bs-Latn-BA"/>
        </w:rPr>
        <w:t xml:space="preserve"> AP-1010/08; AP-2248/05; o pravilu </w:t>
      </w:r>
      <w:r w:rsidRPr="003D101F">
        <w:rPr>
          <w:rFonts w:ascii="Adobe Garamond Pro" w:hAnsi="Adobe Garamond Pro"/>
          <w:sz w:val="18"/>
          <w:szCs w:val="18"/>
          <w:lang w:val="bs-Latn-BA"/>
        </w:rPr>
        <w:t xml:space="preserve">res iudicata pro veritate habetur, </w:t>
      </w:r>
      <w:r w:rsidRPr="003D101F">
        <w:rPr>
          <w:rFonts w:ascii="Adobe Garamond Pro" w:hAnsi="Adobe Garamond Pro"/>
          <w:bCs/>
          <w:iCs/>
          <w:sz w:val="18"/>
          <w:szCs w:val="18"/>
          <w:lang w:val="bs-Latn-BA"/>
        </w:rPr>
        <w:t>v. Liebs</w:t>
      </w:r>
      <w:r w:rsidRPr="003D101F">
        <w:rPr>
          <w:rFonts w:ascii="Adobe Garamond Pro" w:hAnsi="Adobe Garamond Pro"/>
          <w:sz w:val="18"/>
          <w:szCs w:val="18"/>
          <w:lang w:val="bs-Latn-BA"/>
        </w:rPr>
        <w:t xml:space="preserve"> (n. 5) 190</w:t>
      </w:r>
      <w:r w:rsidRPr="003D101F">
        <w:rPr>
          <w:rFonts w:ascii="Adobe Garamond Pro" w:hAnsi="Adobe Garamond Pro"/>
          <w:color w:val="000000"/>
          <w:sz w:val="18"/>
          <w:szCs w:val="18"/>
          <w:lang w:val="bs-Latn-BA"/>
        </w:rPr>
        <w:t xml:space="preserve">; Kranjc (n. 5) </w:t>
      </w:r>
      <w:r w:rsidRPr="003D101F">
        <w:rPr>
          <w:rFonts w:ascii="Adobe Garamond Pro" w:hAnsi="Adobe Garamond Pro"/>
          <w:sz w:val="18"/>
          <w:szCs w:val="18"/>
          <w:lang w:val="bs-Latn-BA"/>
        </w:rPr>
        <w:t>220; Petrak (n. 5) 120.</w:t>
      </w:r>
    </w:p>
  </w:footnote>
  <w:footnote w:id="31">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bCs/>
          <w:sz w:val="18"/>
          <w:szCs w:val="18"/>
          <w:lang w:val="bs-Latn-BA"/>
        </w:rPr>
        <w:footnoteRef/>
      </w:r>
      <w:r w:rsidRPr="003D101F">
        <w:rPr>
          <w:rFonts w:ascii="Adobe Garamond Pro" w:hAnsi="Adobe Garamond Pro" w:cs="Times New Roman"/>
          <w:bCs/>
          <w:sz w:val="18"/>
          <w:szCs w:val="18"/>
          <w:lang w:val="bs-Latn-BA"/>
        </w:rPr>
        <w:t xml:space="preserve"> </w:t>
      </w:r>
      <w:r w:rsidRPr="003D101F">
        <w:rPr>
          <w:rFonts w:ascii="Adobe Garamond Pro" w:hAnsi="Adobe Garamond Pro" w:cs="Times New Roman"/>
          <w:sz w:val="18"/>
          <w:szCs w:val="18"/>
          <w:lang w:val="bs-Latn-BA"/>
        </w:rPr>
        <w:t>AP-264/11; AP-5490/10; AP-564/10; AP-3292/06; AP-1593/05</w:t>
      </w:r>
      <w:r w:rsidRPr="003D101F">
        <w:rPr>
          <w:rFonts w:ascii="Adobe Garamond Pro" w:hAnsi="Adobe Garamond Pro" w:cs="Times New Roman"/>
          <w:bCs/>
          <w:sz w:val="18"/>
          <w:szCs w:val="18"/>
          <w:lang w:val="bs-Latn-BA"/>
        </w:rPr>
        <w:t xml:space="preserve">; </w:t>
      </w:r>
      <w:r w:rsidRPr="003D101F">
        <w:rPr>
          <w:rFonts w:ascii="Adobe Garamond Pro" w:hAnsi="Adobe Garamond Pro" w:cs="Times New Roman"/>
          <w:sz w:val="18"/>
          <w:szCs w:val="18"/>
          <w:lang w:val="bs-Latn-BA"/>
        </w:rPr>
        <w:t xml:space="preserve">o pravilu </w:t>
      </w:r>
      <w:r w:rsidRPr="003D101F">
        <w:rPr>
          <w:rFonts w:ascii="Adobe Garamond Pro" w:hAnsi="Adobe Garamond Pro" w:cs="Times New Roman"/>
          <w:iCs/>
          <w:sz w:val="18"/>
          <w:szCs w:val="18"/>
          <w:lang w:val="bs-Latn-BA"/>
        </w:rPr>
        <w:t>superficies solo cedit,</w:t>
      </w:r>
      <w:r w:rsidRPr="003D101F">
        <w:rPr>
          <w:rFonts w:ascii="Adobe Garamond Pro" w:hAnsi="Adobe Garamond Pro" w:cs="Times New Roman"/>
          <w:sz w:val="18"/>
          <w:szCs w:val="18"/>
          <w:lang w:val="bs-Latn-BA"/>
        </w:rPr>
        <w:t xml:space="preserve"> v. Liebs (n. 5) 204; Kranjc (n. 5) 236; Petrak (n. 5) 129 sq.</w:t>
      </w:r>
    </w:p>
  </w:footnote>
  <w:footnote w:id="32">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AP- 4100/09; AP-2131/09; o pravilu tempus regit actum v. Liebs (n. 5) 207.</w:t>
      </w:r>
    </w:p>
  </w:footnote>
  <w:footnote w:id="33">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Usporedbe radi, treba istaknuti da se u posljednje vrijeme sve više prihvaća shvaćanje da i rimska pravna pravila u obliku latinskih pravnih izreka predstavljaju izvor prava u hrvatskom pravnom sustavu; v. npr. Žuvela, Vlasničkopravni odnosi, Zagreb, 2009, 6; cf. i Petrak, Rimsko pravo kao pozitivno pravo u Republici Hrvatskoj. Prilog tumačenju Zakona o načinu primjene pravnih propisa donesenih prije 6. travnja 1941. godine, Hrvatska pravna revija 10 (2006), 1 sqq.</w:t>
      </w:r>
    </w:p>
  </w:footnote>
  <w:footnote w:id="34">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cs="Times New Roman"/>
          <w:sz w:val="18"/>
          <w:szCs w:val="18"/>
          <w:lang w:val="bs-Latn-BA"/>
        </w:rPr>
        <w:t xml:space="preserve"> Tako je od europskih zemalja ius commune supsidijarni izvor pozitivnog privatnog prava u pojedinim dijelovima Ujedinjenog Kraljevstva (Škotska, Channel Islands), Malti, San Marinu, Andori, a u striktno ograničenom opsegu i u Španjolskoj i Njemačkoj. Od izvaneuropskih zemalja, ius commune se in subsidio primjenjuje na čitavom području Južne Afrike (Južnoafrička Republika, Zimbabve, Bocvana, Lesoto, Svaziland, Namibija) te Šri Lanki i Gvajani; o ius commune kao suvremenom pozitivnom pravu u vidu pregleda po pojedinim zemljama svijeta v. Chorus, Römisches Recht auf dem Südpol und anderswo, in: Spruit (ed.), Coniectanea Neerlandica Iuris Romani. Inleidende Opstellen over Romeins Recht, Zwolle, 1974, 139 sqq.; v. i Evans-Jones (ed.), The Civil Law Tradition in Scotland, Edinburgh, 1995 (za Škotsku); Zwalve, Snell v. Beadle. The Privy Council on Roman law, Norman customary law and the ius commune;  in: Ligt, L. de (ed.), Viva vox iuris romani. Essays in honour of J.E. Spruit, Amsterdam, 2002, 379 sqq. (za Channel Islands); Reinkenhof, Die Anwendung von ius commune in der Republik San Marino. Einführung in die Grundlagen und Erbrecht, Berlin, 1997 (za San Marino); Reinoso Barbero, España y el derecho romano actual, in: Labeo. Rassegna di diritto romano, (32) 1986, 310 sqq. (za Španjolsku); Kaser/Knütel, Römisches Privatrecht, München, 2003, 14 sqq. (za Njemačku); Zimmermann, Das römisch-holländische Recht in Südafrika. Einführung in die Grundlagen und usus hodiernus, Darmstadt, 1983 (za Južnu Afriku); Van den Horst, The Roman-Dutch Law in Sri Lanka, Amsterdam, 1985 (za Šri Lanku); Smits, The Making of European Private Law. Towards a Ius Commune Europaeum as a Mixed Legal System, Antwerp/Oxford/New York, 2002, 139 (za Gvajanu). </w:t>
      </w:r>
    </w:p>
  </w:footnote>
  <w:footnote w:id="35">
    <w:p w:rsidR="004B6972" w:rsidRPr="003D101F" w:rsidRDefault="004B6972" w:rsidP="00620829">
      <w:pPr>
        <w:pStyle w:val="BodyText"/>
        <w:spacing w:after="0"/>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e.g. Carbonnier, Usus hodiernus Pandectarum, in: Festschrift für I. Zajtay, Tübingen, 1982, str. 107 sqq. (za Francusku); Micali, Il diritto romano nella giurisprudenza della Corte Suprema di Cassazione, in: Giurisprudenza it. 145, Parte IV (1993) 489 sqq. (za Italiju); Wolodkiewicz,  </w:t>
      </w:r>
      <w:r w:rsidRPr="003D101F">
        <w:rPr>
          <w:rStyle w:val="Strong"/>
          <w:rFonts w:ascii="Adobe Garamond Pro" w:hAnsi="Adobe Garamond Pro"/>
          <w:b w:val="0"/>
          <w:sz w:val="18"/>
          <w:szCs w:val="18"/>
          <w:lang w:val="bs-Latn-BA"/>
        </w:rPr>
        <w:t>Czy prawo rzymskie przestało istnieć?</w:t>
      </w:r>
      <w:r w:rsidRPr="003D101F">
        <w:rPr>
          <w:rFonts w:ascii="Adobe Garamond Pro" w:hAnsi="Adobe Garamond Pro"/>
          <w:sz w:val="18"/>
          <w:szCs w:val="18"/>
          <w:lang w:val="bs-Latn-BA"/>
        </w:rPr>
        <w:t>, Kraków, 2003 (za Poljsku); cf. i Astorino, Roman Law in American Law: Twentieth Century Cases of the Supreme Court, Duquesne Law Review 40 (2001-2002) 627 sqq. (za SAD).</w:t>
      </w:r>
    </w:p>
  </w:footnote>
  <w:footnote w:id="36">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 primjeni rimskih pravnih pravila i pravila općeg prava te u njima sadržanih pravnih načela od strane sudskih tijela EU, v. amplius Knütel, Ius commune und Römisches Recht vor Gerichten der Europäischen Union, in: Juristische Schulung, Heft 9, 1996, 768 sqq.; Rainer, Il Diritto romano nelle sentenze delle Corti europee, in: Castellano, L'anima europea dell'Europa, Napoli, 2002.; Andrés Santos, Epistemological Value of Roman Legal Rules in European and Comparative Law, European Review of Private Law 3 (2004) 347 sqq.; o njihovoj primjeni od strane međunarodnih sudova v. e.g. Lesaffer, Argument from Roman Law in Current International Law: Occupation and Acquisitive Prescription, European Journal of International Law 16 (2005) 25 sqq.; cf. i Baldus, Regelhafte Vertragsauslegung nach Parteirollen im klassischen römischen Recht und in der modernen Völkerrechtswissenschaft: zur Rezeptionsfähigkeit römischen Denkens, Frankfurt a. M., 2000.</w:t>
      </w:r>
    </w:p>
  </w:footnote>
  <w:footnote w:id="37">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npr. Bogišić, Pravni običaji u Slovena. Privatno pravo, Zagreb, 1867. </w:t>
      </w:r>
    </w:p>
  </w:footnote>
  <w:footnote w:id="38">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Analizu regula iuris pripadnih rimskoj pravnoj tradiciji kao temelja zakonjačkih (pravničkih) izreka u posljednjem razdjelu Bogišićeva OIZ-a izvršilu su, inter alia, do sada Vojnović, Crnogorski zakonik, Mjesečnik pravničkog društva u Zagrebu, br.7/1888, 329 i sqq.; Vojnović, Opći imovinski zakonik za Crnu Goru obzirom na ostalo crnogorsko zakonarstvo, Rad JAZU, Knjiga XCVI, Zagreb, 1889, 57 sqq.; Zocco-Rosa, Influssi di diritto romano sur una legislazione Slavo-serba, in: Mélanges G. Cornil, Vol. II, Paris, 1926, 634 sqq.; Bogojević-Gluščević, Rimska pravna pravila u zakonjačama Opšteg imovinskog zakonika za Knjaževinu Crnu Goru, Istorijski zapisi (78) 1-4/2005, 7 sqq. Mjestimične upute na odgovarajuće članke OIZ-a pružili su svojedobno i Stoječević/Romac u svojoj knjizi Dicta et regulae iuris. Latinska pravna pravila, izreke i definicije sa prevodom i objašnjenjima, Beograd, 1971. Nedavno smo i sami izvršili detaljnije istraživanje o navedenoj problematici; v. Petrak, </w:t>
      </w:r>
      <w:hyperlink r:id="rId1" w:tgtFrame="_blank" w:history="1">
        <w:r w:rsidRPr="003D101F">
          <w:rPr>
            <w:rStyle w:val="Hyperlink"/>
            <w:rFonts w:ascii="Adobe Garamond Pro" w:hAnsi="Adobe Garamond Pro"/>
            <w:bCs/>
            <w:color w:val="000000"/>
            <w:sz w:val="18"/>
            <w:szCs w:val="18"/>
            <w:u w:val="none"/>
            <w:lang w:val="bs-Latn-BA"/>
          </w:rPr>
          <w:t>Imovinskopravne regulae iuris u Bogišićevu zakoniku i njihovo aktualno značenje</w:t>
        </w:r>
      </w:hyperlink>
      <w:r w:rsidRPr="003D101F">
        <w:rPr>
          <w:rFonts w:ascii="Adobe Garamond Pro" w:hAnsi="Adobe Garamond Pro"/>
          <w:color w:val="000000"/>
          <w:sz w:val="18"/>
          <w:szCs w:val="18"/>
          <w:lang w:val="bs-Latn-BA"/>
        </w:rPr>
        <w:t xml:space="preserve">, u: Bogišić i kultura sjećanja. </w:t>
      </w:r>
      <w:r w:rsidRPr="003D101F">
        <w:rPr>
          <w:rStyle w:val="Strong"/>
          <w:rFonts w:ascii="Adobe Garamond Pro" w:hAnsi="Adobe Garamond Pro"/>
          <w:b w:val="0"/>
          <w:sz w:val="18"/>
          <w:szCs w:val="18"/>
          <w:lang w:val="bs-Latn-BA"/>
        </w:rPr>
        <w:t>Zbornik radova znanstvenog skupa s međunarodnim sudjelovanjem održanog u prigodi stote godišnjice smrti Balda Bogišića,</w:t>
      </w:r>
      <w:r w:rsidRPr="003D101F">
        <w:rPr>
          <w:rFonts w:ascii="Adobe Garamond Pro" w:hAnsi="Adobe Garamond Pro"/>
          <w:color w:val="000000"/>
          <w:sz w:val="18"/>
          <w:szCs w:val="18"/>
          <w:lang w:val="bs-Latn-BA"/>
        </w:rPr>
        <w:t xml:space="preserve"> Zagreb, 2011, 98 sqq.</w:t>
      </w:r>
    </w:p>
  </w:footnote>
  <w:footnote w:id="39">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Klarić/Vedriš, </w:t>
      </w:r>
      <w:r w:rsidRPr="003D101F">
        <w:rPr>
          <w:rFonts w:ascii="Adobe Garamond Pro" w:hAnsi="Adobe Garamond Pro"/>
          <w:color w:val="000000"/>
          <w:sz w:val="18"/>
          <w:szCs w:val="18"/>
          <w:lang w:val="bs-Latn-BA"/>
        </w:rPr>
        <w:t>Građansko pravo, Zagreb, 2006</w:t>
      </w:r>
      <w:r w:rsidRPr="003D101F">
        <w:rPr>
          <w:rFonts w:ascii="Adobe Garamond Pro" w:hAnsi="Adobe Garamond Pro"/>
          <w:sz w:val="18"/>
          <w:szCs w:val="18"/>
          <w:lang w:val="bs-Latn-BA"/>
        </w:rPr>
        <w:t>, 178.</w:t>
      </w:r>
    </w:p>
  </w:footnote>
  <w:footnote w:id="40">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Cit. Triva/Dika, Građansko parnično procesno pravo, Zagreb, 2004, 201.</w:t>
      </w:r>
    </w:p>
  </w:footnote>
  <w:footnote w:id="41">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cs="Times New Roman"/>
          <w:sz w:val="18"/>
          <w:szCs w:val="18"/>
          <w:lang w:val="bs-Latn-BA"/>
        </w:rPr>
        <w:t xml:space="preserve"> Bogojević-Gluščević (n. 37) 17 sq.</w:t>
      </w:r>
    </w:p>
  </w:footnote>
  <w:footnote w:id="42">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cs="Times New Roman"/>
          <w:sz w:val="18"/>
          <w:szCs w:val="18"/>
          <w:lang w:val="bs-Latn-BA"/>
        </w:rPr>
        <w:t xml:space="preserve"> Općenito o reguli male enim iure nostro uti non debemus, sadržanoj u Gai. Inst. 1, 53, v. Liebs (n. 5) 116; Kranjc (n. 5) 148.; Domingo et al., (n. 5) 263 sq.</w:t>
      </w:r>
    </w:p>
  </w:footnote>
  <w:footnote w:id="43">
    <w:p w:rsidR="004B6972" w:rsidRPr="003D101F" w:rsidRDefault="004B6972" w:rsidP="00620829">
      <w:pPr>
        <w:spacing w:after="0" w:line="240" w:lineRule="auto"/>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cs="Times New Roman"/>
          <w:sz w:val="18"/>
          <w:szCs w:val="18"/>
          <w:lang w:val="bs-Latn-BA"/>
        </w:rPr>
        <w:t xml:space="preserve"> Cf. Bogojević-Gluščević (n. 37) 25; o pravilu </w:t>
      </w:r>
      <w:r w:rsidRPr="003D101F">
        <w:rPr>
          <w:rFonts w:ascii="Adobe Garamond Pro" w:hAnsi="Adobe Garamond Pro" w:cs="Times New Roman"/>
          <w:iCs/>
          <w:sz w:val="18"/>
          <w:szCs w:val="18"/>
          <w:lang w:val="bs-Latn-BA"/>
        </w:rPr>
        <w:t>superficies solo cedit,</w:t>
      </w:r>
      <w:r w:rsidRPr="003D101F">
        <w:rPr>
          <w:rFonts w:ascii="Adobe Garamond Pro" w:hAnsi="Adobe Garamond Pro" w:cs="Times New Roman"/>
          <w:sz w:val="18"/>
          <w:szCs w:val="18"/>
          <w:lang w:val="bs-Latn-BA"/>
        </w:rPr>
        <w:t xml:space="preserve"> v. Liebs (n. 5) 204; Kranjc (n. 5) 236; Petrak (n. 5) 129 sq.</w:t>
      </w:r>
    </w:p>
  </w:footnote>
  <w:footnote w:id="44">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Cit. Vojnović, Crnogorski zakonik (n. 37) 330.</w:t>
      </w:r>
    </w:p>
  </w:footnote>
  <w:footnote w:id="45">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V. npr. AP 264/11; AP 5490/10; AP 564/10; AP 3292/06; AP 1593/05.</w:t>
      </w:r>
    </w:p>
  </w:footnote>
  <w:footnote w:id="46">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Primjerice, sudska tijela Europske unije su se u svojoj praksi explicite referirala na sljedeće latinske pravne izreke: </w:t>
      </w:r>
      <w:r w:rsidRPr="003D101F">
        <w:rPr>
          <w:rStyle w:val="cursiefLatijnChar"/>
          <w:rFonts w:ascii="Adobe Garamond Pro" w:hAnsi="Adobe Garamond Pro"/>
          <w:i w:val="0"/>
          <w:sz w:val="18"/>
          <w:szCs w:val="18"/>
          <w:lang w:val="bs-Latn-BA"/>
        </w:rPr>
        <w:t>actore non probante, reus absolvitur</w:t>
      </w:r>
      <w:r w:rsidRPr="003D101F">
        <w:rPr>
          <w:rFonts w:ascii="Adobe Garamond Pro" w:hAnsi="Adobe Garamond Pro"/>
          <w:iCs/>
          <w:sz w:val="18"/>
          <w:szCs w:val="18"/>
          <w:lang w:val="bs-Latn-BA"/>
        </w:rPr>
        <w:t xml:space="preserve">; </w:t>
      </w:r>
      <w:r w:rsidRPr="003D101F">
        <w:rPr>
          <w:rStyle w:val="cursiefLatijnChar"/>
          <w:rFonts w:ascii="Adobe Garamond Pro" w:hAnsi="Adobe Garamond Pro"/>
          <w:i w:val="0"/>
          <w:sz w:val="18"/>
          <w:szCs w:val="18"/>
          <w:lang w:val="bs-Latn-BA"/>
        </w:rPr>
        <w:t>actor sequitur forum rei</w:t>
      </w:r>
      <w:r w:rsidRPr="003D101F">
        <w:rPr>
          <w:rFonts w:ascii="Adobe Garamond Pro" w:hAnsi="Adobe Garamond Pro"/>
          <w:iCs/>
          <w:sz w:val="18"/>
          <w:szCs w:val="18"/>
          <w:lang w:val="bs-Latn-BA"/>
        </w:rPr>
        <w:t>; alterum non laedere</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audiatur et altera pars</w:t>
      </w:r>
      <w:r w:rsidRPr="003D101F">
        <w:rPr>
          <w:rFonts w:ascii="Adobe Garamond Pro" w:hAnsi="Adobe Garamond Pro"/>
          <w:sz w:val="18"/>
          <w:szCs w:val="18"/>
          <w:lang w:val="bs-Latn-BA"/>
        </w:rPr>
        <w:t xml:space="preserve">; </w:t>
      </w:r>
      <w:r w:rsidRPr="003D101F">
        <w:rPr>
          <w:rStyle w:val="cursiefLatijnChar"/>
          <w:rFonts w:ascii="Adobe Garamond Pro" w:hAnsi="Adobe Garamond Pro"/>
          <w:i w:val="0"/>
          <w:sz w:val="18"/>
          <w:szCs w:val="18"/>
          <w:lang w:val="bs-Latn-BA"/>
        </w:rPr>
        <w:t>da mihi factum, dabo tibi ius; de minimis non curat praetor;</w:t>
      </w:r>
      <w:r w:rsidRPr="003D101F">
        <w:rPr>
          <w:rFonts w:ascii="Adobe Garamond Pro" w:hAnsi="Adobe Garamond Pro"/>
          <w:iCs/>
          <w:sz w:val="18"/>
          <w:szCs w:val="18"/>
          <w:lang w:val="bs-Latn-BA"/>
        </w:rPr>
        <w:t xml:space="preserve"> dolo petit qui petit quod statim redditurum est</w:t>
      </w:r>
      <w:r w:rsidRPr="003D101F">
        <w:rPr>
          <w:rFonts w:ascii="Adobe Garamond Pro" w:hAnsi="Adobe Garamond Pro"/>
          <w:sz w:val="18"/>
          <w:szCs w:val="18"/>
          <w:lang w:val="bs-Latn-BA"/>
        </w:rPr>
        <w:t>;</w:t>
      </w:r>
      <w:r w:rsidRPr="003D101F">
        <w:rPr>
          <w:rFonts w:ascii="Adobe Garamond Pro" w:hAnsi="Adobe Garamond Pro"/>
          <w:iCs/>
          <w:sz w:val="18"/>
          <w:szCs w:val="18"/>
          <w:lang w:val="bs-Latn-BA"/>
        </w:rPr>
        <w:t xml:space="preserve"> </w:t>
      </w:r>
      <w:r w:rsidRPr="003D101F">
        <w:rPr>
          <w:rStyle w:val="cursiefLatijnChar"/>
          <w:rFonts w:ascii="Adobe Garamond Pro" w:hAnsi="Adobe Garamond Pro"/>
          <w:i w:val="0"/>
          <w:sz w:val="18"/>
          <w:szCs w:val="18"/>
          <w:lang w:val="bs-Latn-BA"/>
        </w:rPr>
        <w:t xml:space="preserve">ei incumbit probatio qui dicit, non qui negat; in dubio pro reo; iudex iudicare debet secundum allegata et probata partium; iura novit curia; </w:t>
      </w:r>
      <w:r w:rsidRPr="003D101F">
        <w:rPr>
          <w:rFonts w:ascii="Adobe Garamond Pro" w:hAnsi="Adobe Garamond Pro"/>
          <w:iCs/>
          <w:sz w:val="18"/>
          <w:szCs w:val="18"/>
          <w:lang w:val="bs-Latn-BA"/>
        </w:rPr>
        <w:t>ne bis</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in idem</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nemo auditur propriam turpitudinem allegans</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nemo censetur ignorare legem</w:t>
      </w:r>
      <w:r w:rsidRPr="003D101F">
        <w:rPr>
          <w:rFonts w:ascii="Adobe Garamond Pro" w:hAnsi="Adobe Garamond Pro"/>
          <w:sz w:val="18"/>
          <w:szCs w:val="18"/>
          <w:lang w:val="bs-Latn-BA"/>
        </w:rPr>
        <w:t xml:space="preserve">; </w:t>
      </w:r>
      <w:r w:rsidRPr="003D101F">
        <w:rPr>
          <w:rStyle w:val="cursiefLatijnChar"/>
          <w:rFonts w:ascii="Adobe Garamond Pro" w:hAnsi="Adobe Garamond Pro"/>
          <w:i w:val="0"/>
          <w:sz w:val="18"/>
          <w:szCs w:val="18"/>
          <w:lang w:val="bs-Latn-BA"/>
        </w:rPr>
        <w:t>nemo iudex in causa sua</w:t>
      </w:r>
      <w:r w:rsidRPr="003D101F">
        <w:rPr>
          <w:rFonts w:ascii="Adobe Garamond Pro" w:hAnsi="Adobe Garamond Pro"/>
          <w:iCs/>
          <w:sz w:val="18"/>
          <w:szCs w:val="18"/>
          <w:lang w:val="bs-Latn-BA"/>
        </w:rPr>
        <w:t>;</w:t>
      </w:r>
      <w:r w:rsidRPr="003D101F">
        <w:rPr>
          <w:rStyle w:val="cursiefLatijnChar"/>
          <w:rFonts w:ascii="Adobe Garamond Pro" w:hAnsi="Adobe Garamond Pro"/>
          <w:i w:val="0"/>
          <w:sz w:val="18"/>
          <w:szCs w:val="18"/>
          <w:lang w:val="bs-Latn-BA"/>
        </w:rPr>
        <w:t xml:space="preserve"> ne procedat iudex ex officio;</w:t>
      </w:r>
      <w:r w:rsidRPr="003D101F">
        <w:rPr>
          <w:rFonts w:ascii="Adobe Garamond Pro" w:hAnsi="Adobe Garamond Pro"/>
          <w:iCs/>
          <w:sz w:val="18"/>
          <w:szCs w:val="18"/>
          <w:lang w:val="bs-Latn-BA"/>
        </w:rPr>
        <w:t xml:space="preserve"> non venire contra factum proprium</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nulla poena sine culpa</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nulla poena sine lege</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nullum crimen sine lege</w:t>
      </w:r>
      <w:r w:rsidRPr="003D101F">
        <w:rPr>
          <w:rFonts w:ascii="Adobe Garamond Pro" w:hAnsi="Adobe Garamond Pro"/>
          <w:sz w:val="18"/>
          <w:szCs w:val="18"/>
          <w:lang w:val="bs-Latn-BA"/>
        </w:rPr>
        <w:t xml:space="preserve">; </w:t>
      </w:r>
      <w:r w:rsidRPr="003D101F">
        <w:rPr>
          <w:rStyle w:val="cursiefLatijnChar"/>
          <w:rFonts w:ascii="Adobe Garamond Pro" w:hAnsi="Adobe Garamond Pro"/>
          <w:i w:val="0"/>
          <w:sz w:val="18"/>
          <w:szCs w:val="18"/>
          <w:lang w:val="bs-Latn-BA"/>
        </w:rPr>
        <w:t>onus probandi incumbit ei qui dicit</w:t>
      </w:r>
      <w:r w:rsidRPr="003D101F">
        <w:rPr>
          <w:rFonts w:ascii="Adobe Garamond Pro" w:hAnsi="Adobe Garamond Pro"/>
          <w:iCs/>
          <w:sz w:val="18"/>
          <w:szCs w:val="18"/>
          <w:lang w:val="bs-Latn-BA"/>
        </w:rPr>
        <w:t>; pacta sunt</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servanda</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patere legem quam</w:t>
      </w:r>
      <w:r w:rsidRPr="003D101F">
        <w:rPr>
          <w:rFonts w:ascii="Adobe Garamond Pro" w:hAnsi="Adobe Garamond Pro"/>
          <w:sz w:val="18"/>
          <w:szCs w:val="18"/>
          <w:lang w:val="bs-Latn-BA"/>
        </w:rPr>
        <w:t xml:space="preserve"> </w:t>
      </w:r>
      <w:r w:rsidRPr="003D101F">
        <w:rPr>
          <w:rFonts w:ascii="Adobe Garamond Pro" w:hAnsi="Adobe Garamond Pro"/>
          <w:iCs/>
          <w:sz w:val="18"/>
          <w:szCs w:val="18"/>
          <w:lang w:val="bs-Latn-BA"/>
        </w:rPr>
        <w:t>fecisti</w:t>
      </w:r>
      <w:r w:rsidRPr="003D101F">
        <w:rPr>
          <w:rFonts w:ascii="Adobe Garamond Pro" w:hAnsi="Adobe Garamond Pro"/>
          <w:sz w:val="18"/>
          <w:szCs w:val="18"/>
          <w:lang w:val="bs-Latn-BA"/>
        </w:rPr>
        <w:t xml:space="preserve">; </w:t>
      </w:r>
      <w:r w:rsidRPr="003D101F">
        <w:rPr>
          <w:rStyle w:val="cursiefLatijnChar"/>
          <w:rFonts w:ascii="Adobe Garamond Pro" w:hAnsi="Adobe Garamond Pro"/>
          <w:i w:val="0"/>
          <w:sz w:val="18"/>
          <w:szCs w:val="18"/>
          <w:lang w:val="bs-Latn-BA"/>
        </w:rPr>
        <w:t>probatio incumbit actori</w:t>
      </w:r>
      <w:r w:rsidRPr="003D101F">
        <w:rPr>
          <w:rFonts w:ascii="Adobe Garamond Pro" w:hAnsi="Adobe Garamond Pro"/>
          <w:iCs/>
          <w:sz w:val="18"/>
          <w:szCs w:val="18"/>
          <w:lang w:val="bs-Latn-BA"/>
        </w:rPr>
        <w:t>;</w:t>
      </w:r>
      <w:r w:rsidRPr="003D101F">
        <w:rPr>
          <w:rStyle w:val="cursiefLatijnChar"/>
          <w:rFonts w:ascii="Adobe Garamond Pro" w:hAnsi="Adobe Garamond Pro"/>
          <w:i w:val="0"/>
          <w:sz w:val="18"/>
          <w:szCs w:val="18"/>
          <w:lang w:val="bs-Latn-BA"/>
        </w:rPr>
        <w:t xml:space="preserve"> res iudicata pro veritate habetur; reus in excipiendo fit actor; tempus regit actum</w:t>
      </w:r>
      <w:r w:rsidRPr="003D101F">
        <w:rPr>
          <w:rFonts w:ascii="Adobe Garamond Pro" w:hAnsi="Adobe Garamond Pro"/>
          <w:sz w:val="18"/>
          <w:szCs w:val="18"/>
          <w:lang w:val="bs-Latn-BA"/>
        </w:rPr>
        <w:t>;</w:t>
      </w:r>
      <w:r w:rsidRPr="003D101F">
        <w:rPr>
          <w:rFonts w:ascii="Adobe Garamond Pro" w:hAnsi="Adobe Garamond Pro"/>
          <w:iCs/>
          <w:sz w:val="18"/>
          <w:szCs w:val="18"/>
          <w:lang w:val="bs-Latn-BA"/>
        </w:rPr>
        <w:t xml:space="preserve"> venire contra factum proprium</w:t>
      </w:r>
      <w:r w:rsidRPr="003D101F">
        <w:rPr>
          <w:rFonts w:ascii="Adobe Garamond Pro" w:hAnsi="Adobe Garamond Pro"/>
          <w:sz w:val="18"/>
          <w:szCs w:val="18"/>
          <w:lang w:val="bs-Latn-BA"/>
        </w:rPr>
        <w:t>;</w:t>
      </w:r>
      <w:r w:rsidRPr="003D101F">
        <w:rPr>
          <w:rFonts w:ascii="Adobe Garamond Pro" w:hAnsi="Adobe Garamond Pro"/>
          <w:iCs/>
          <w:sz w:val="18"/>
          <w:szCs w:val="18"/>
          <w:lang w:val="bs-Latn-BA"/>
        </w:rPr>
        <w:t xml:space="preserve"> vim vi repellere licet itd.;</w:t>
      </w:r>
      <w:r w:rsidRPr="003D101F">
        <w:rPr>
          <w:rFonts w:ascii="Adobe Garamond Pro" w:hAnsi="Adobe Garamond Pro"/>
          <w:sz w:val="18"/>
          <w:szCs w:val="18"/>
          <w:lang w:val="bs-Latn-BA"/>
        </w:rPr>
        <w:t xml:space="preserve"> v. Knütel (n. 35) 768 sqq.; Rainer, (n. 35) 45 sqq.; Andrés Santos (n. 35) 347 sqq. u kojim je radovima pružena i detaljna analiza pojedinih slučajeva primjene regula iuris u sudskoj praksi EU; cf. i Wacke (n. 5) 174 sqq., koji posebice naglašava ulogu latinskih pravnih izreka i u njima sadržanih pravnih načela u procesu europeizacije privatnog prava.</w:t>
      </w:r>
    </w:p>
  </w:footnote>
  <w:footnote w:id="47">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 uporabi pravnog latinskog jezika u praksi sudskih tijela Europske unije, v. npr.  Masson/Duparc-Portier, Usages et réflectivité du latin à la Cour de justice des Communautés européennes, Revue trimestrielle de droit europeen, 43 (2007) 609 sqq.; Basedow, </w:t>
      </w:r>
      <w:r w:rsidRPr="003D101F">
        <w:rPr>
          <w:rStyle w:val="Emphasis"/>
          <w:rFonts w:ascii="Adobe Garamond Pro" w:hAnsi="Adobe Garamond Pro"/>
          <w:b w:val="0"/>
          <w:color w:val="000000"/>
          <w:sz w:val="18"/>
          <w:szCs w:val="18"/>
          <w:lang w:val="bs-Latn-BA"/>
        </w:rPr>
        <w:t xml:space="preserve">Latein, die heimliche Amtssprache, Zeitschrift für Europäisches Privatrecht, 15 (2007) 953 sq. </w:t>
      </w:r>
    </w:p>
  </w:footnote>
  <w:footnote w:id="48">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Određene predradnje za navedenu usporedbu već su učinjene. Tako su pojedini autori već ukratko istraživali usporedbe između rimskih pravnih regula, Bogišićevih „zakonjača“ i pravnih maksima sadržanih u uvodnom dijelu Medžela; v. Blagojević, Kratka paralela između uvodnog dela Medžela i završnog dela Bogišićevog crnogorskog imovinskog zakonika, Arhiv za pravne i društvene nauke  36/53 (1938) 81 sqq.; </w:t>
      </w:r>
      <w:r w:rsidRPr="003D101F">
        <w:rPr>
          <w:rFonts w:ascii="Adobe Garamond Pro" w:eastAsia="MinionPro-Regular" w:hAnsi="Adobe Garamond Pro"/>
          <w:sz w:val="18"/>
          <w:szCs w:val="18"/>
          <w:lang w:val="bs-Latn-BA"/>
        </w:rPr>
        <w:t>Begović, Sličnosti između Medžele i Opšteg imovinskog zakonika za Crnu</w:t>
      </w:r>
      <w:r w:rsidRPr="003D101F">
        <w:rPr>
          <w:rFonts w:ascii="Adobe Garamond Pro" w:hAnsi="Adobe Garamond Pro"/>
          <w:sz w:val="18"/>
          <w:szCs w:val="18"/>
          <w:lang w:val="bs-Latn-BA"/>
        </w:rPr>
        <w:t xml:space="preserve"> </w:t>
      </w:r>
      <w:r w:rsidRPr="003D101F">
        <w:rPr>
          <w:rFonts w:ascii="Adobe Garamond Pro" w:eastAsia="MinionPro-Regular" w:hAnsi="Adobe Garamond Pro"/>
          <w:sz w:val="18"/>
          <w:szCs w:val="18"/>
          <w:lang w:val="bs-Latn-BA"/>
        </w:rPr>
        <w:t>Goru, Prilozi za orijentalnu filologiju 5 (1954-1955) 33 sqq.; Karčić, Studije o šerijatskom pravu i institucijama, Sarajevo, 2011, 17 sqq.</w:t>
      </w:r>
    </w:p>
  </w:footnote>
  <w:footnote w:id="49">
    <w:p w:rsidR="004B6972" w:rsidRPr="003D101F" w:rsidRDefault="004B6972" w:rsidP="00620829">
      <w:pPr>
        <w:pStyle w:val="FootnoteText"/>
        <w:jc w:val="both"/>
        <w:rPr>
          <w:rFonts w:ascii="Adobe Garamond Pro" w:hAnsi="Adobe Garamond Pro"/>
          <w:sz w:val="18"/>
          <w:szCs w:val="18"/>
          <w:lang w:val="bs-Latn-BA"/>
        </w:rPr>
      </w:pPr>
      <w:r w:rsidRPr="003D101F">
        <w:rPr>
          <w:rStyle w:val="FootnoteReference"/>
          <w:rFonts w:ascii="Adobe Garamond Pro" w:hAnsi="Adobe Garamond Pro"/>
          <w:sz w:val="18"/>
          <w:szCs w:val="18"/>
          <w:lang w:val="bs-Latn-BA"/>
        </w:rPr>
        <w:footnoteRef/>
      </w:r>
      <w:r w:rsidRPr="003D101F">
        <w:rPr>
          <w:rFonts w:ascii="Adobe Garamond Pro" w:hAnsi="Adobe Garamond Pro"/>
          <w:sz w:val="18"/>
          <w:szCs w:val="18"/>
          <w:lang w:val="bs-Latn-BA"/>
        </w:rPr>
        <w:t xml:space="preserve"> O zajedničkim aspektima rimske pravne tradicije i islamske pravne tradicije u euroazijskom kontekstu, v. npr. Catalano, Eurasia e diritto romano, Roma e America. Diritto romano commune. </w:t>
      </w:r>
      <w:r w:rsidRPr="003D101F">
        <w:rPr>
          <w:rFonts w:ascii="Adobe Garamond Pro" w:hAnsi="Adobe Garamond Pro"/>
          <w:bCs/>
          <w:color w:val="000000"/>
          <w:sz w:val="18"/>
          <w:szCs w:val="18"/>
          <w:lang w:val="bs-Latn-BA" w:eastAsia="hr-HR"/>
        </w:rPr>
        <w:t>Rivista di diritto dell'integrazione e unificazione del diritto in Eurasia e in America Latina 33 (2012) 3 sqq.</w:t>
      </w:r>
    </w:p>
    <w:p w:rsidR="004B6972" w:rsidRPr="003D101F" w:rsidRDefault="004B6972" w:rsidP="00620829">
      <w:pPr>
        <w:pStyle w:val="FootnoteText"/>
        <w:rPr>
          <w:sz w:val="18"/>
          <w:szCs w:val="18"/>
          <w:lang w:val="bs-Latn-BA"/>
        </w:rPr>
      </w:pPr>
      <w:r w:rsidRPr="003D101F">
        <w:rPr>
          <w:rFonts w:ascii="Adobe Garamond Pro" w:hAnsi="Adobe Garamond Pro"/>
          <w:sz w:val="18"/>
          <w:szCs w:val="18"/>
          <w:lang w:val="bs-Latn-B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15616"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Marko Petrak</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16" w:rsidRPr="00415616" w:rsidRDefault="00415616" w:rsidP="00415616">
    <w:pPr>
      <w:pBdr>
        <w:bottom w:val="single" w:sz="4" w:space="1" w:color="auto"/>
      </w:pBdr>
      <w:spacing w:after="0" w:line="240" w:lineRule="auto"/>
      <w:jc w:val="right"/>
      <w:rPr>
        <w:rFonts w:ascii="Adobe Garamond Pro" w:hAnsi="Adobe Garamond Pro" w:cs="Times New Roman"/>
        <w:sz w:val="20"/>
        <w:szCs w:val="20"/>
      </w:rPr>
    </w:pPr>
    <w:r w:rsidRPr="00415616">
      <w:rPr>
        <w:rFonts w:ascii="Adobe Garamond Pro" w:hAnsi="Adobe Garamond Pro" w:cs="Times New Roman"/>
        <w:sz w:val="20"/>
        <w:szCs w:val="20"/>
      </w:rPr>
      <w:t xml:space="preserve">IUS commune i </w:t>
    </w:r>
    <w:r>
      <w:rPr>
        <w:rFonts w:ascii="Adobe Garamond Pro" w:hAnsi="Adobe Garamond Pro" w:cs="Times New Roman"/>
        <w:sz w:val="20"/>
        <w:szCs w:val="20"/>
      </w:rPr>
      <w:t>e</w:t>
    </w:r>
    <w:r w:rsidRPr="00415616">
      <w:rPr>
        <w:rFonts w:ascii="Adobe Garamond Pro" w:hAnsi="Adobe Garamond Pro" w:cs="Times New Roman"/>
        <w:sz w:val="20"/>
        <w:szCs w:val="20"/>
      </w:rPr>
      <w:t>uropeizacija bosanskohercegovačkog prava</w:t>
    </w:r>
  </w:p>
  <w:p w:rsidR="00FF280B" w:rsidRPr="00415616" w:rsidRDefault="00FF280B" w:rsidP="00415616">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DE1F8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415616" w:rsidRPr="00415616" w:rsidRDefault="00415616" w:rsidP="00415616">
    <w:pPr>
      <w:spacing w:after="0" w:line="240" w:lineRule="auto"/>
      <w:jc w:val="right"/>
      <w:rPr>
        <w:rFonts w:ascii="Adobe Garamond Pro" w:hAnsi="Adobe Garamond Pro" w:cs="Times New Roman"/>
        <w:sz w:val="20"/>
        <w:szCs w:val="20"/>
      </w:rPr>
    </w:pPr>
    <w:r w:rsidRPr="00415616">
      <w:rPr>
        <w:rFonts w:ascii="Adobe Garamond Pro" w:hAnsi="Adobe Garamond Pro" w:cs="Times New Roman"/>
        <w:sz w:val="20"/>
        <w:szCs w:val="20"/>
      </w:rPr>
      <w:t>UDK 340.14</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1">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6"/>
  </w:num>
  <w:num w:numId="4">
    <w:abstractNumId w:val="9"/>
  </w:num>
  <w:num w:numId="5">
    <w:abstractNumId w:val="28"/>
  </w:num>
  <w:num w:numId="6">
    <w:abstractNumId w:val="3"/>
  </w:num>
  <w:num w:numId="7">
    <w:abstractNumId w:val="7"/>
  </w:num>
  <w:num w:numId="8">
    <w:abstractNumId w:val="12"/>
  </w:num>
  <w:num w:numId="9">
    <w:abstractNumId w:val="15"/>
  </w:num>
  <w:num w:numId="10">
    <w:abstractNumId w:val="10"/>
  </w:num>
  <w:num w:numId="11">
    <w:abstractNumId w:val="5"/>
  </w:num>
  <w:num w:numId="12">
    <w:abstractNumId w:val="11"/>
  </w:num>
  <w:num w:numId="13">
    <w:abstractNumId w:val="29"/>
  </w:num>
  <w:num w:numId="14">
    <w:abstractNumId w:val="4"/>
  </w:num>
  <w:num w:numId="15">
    <w:abstractNumId w:val="1"/>
  </w:num>
  <w:num w:numId="16">
    <w:abstractNumId w:val="6"/>
  </w:num>
  <w:num w:numId="17">
    <w:abstractNumId w:val="8"/>
  </w:num>
  <w:num w:numId="18">
    <w:abstractNumId w:val="19"/>
  </w:num>
  <w:num w:numId="19">
    <w:abstractNumId w:val="14"/>
  </w:num>
  <w:num w:numId="20">
    <w:abstractNumId w:val="13"/>
  </w:num>
  <w:num w:numId="21">
    <w:abstractNumId w:val="25"/>
  </w:num>
  <w:num w:numId="22">
    <w:abstractNumId w:val="0"/>
  </w:num>
  <w:num w:numId="23">
    <w:abstractNumId w:val="31"/>
  </w:num>
  <w:num w:numId="24">
    <w:abstractNumId w:val="18"/>
  </w:num>
  <w:num w:numId="25">
    <w:abstractNumId w:val="17"/>
  </w:num>
  <w:num w:numId="26">
    <w:abstractNumId w:val="27"/>
  </w:num>
  <w:num w:numId="27">
    <w:abstractNumId w:val="30"/>
  </w:num>
  <w:num w:numId="28">
    <w:abstractNumId w:val="24"/>
  </w:num>
  <w:num w:numId="29">
    <w:abstractNumId w:val="32"/>
  </w:num>
  <w:num w:numId="30">
    <w:abstractNumId w:val="20"/>
  </w:num>
  <w:num w:numId="31">
    <w:abstractNumId w:val="21"/>
  </w:num>
  <w:num w:numId="32">
    <w:abstractNumId w:val="23"/>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4745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47D13"/>
    <w:rsid w:val="000530A5"/>
    <w:rsid w:val="00053AA9"/>
    <w:rsid w:val="0005550E"/>
    <w:rsid w:val="000672FF"/>
    <w:rsid w:val="000733F7"/>
    <w:rsid w:val="00077FF9"/>
    <w:rsid w:val="000A61F6"/>
    <w:rsid w:val="000B01A3"/>
    <w:rsid w:val="000B11A8"/>
    <w:rsid w:val="000C0BA7"/>
    <w:rsid w:val="000C691C"/>
    <w:rsid w:val="000D0406"/>
    <w:rsid w:val="000E1571"/>
    <w:rsid w:val="000F0373"/>
    <w:rsid w:val="000F1949"/>
    <w:rsid w:val="00101543"/>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C3A"/>
    <w:rsid w:val="00266546"/>
    <w:rsid w:val="002675B4"/>
    <w:rsid w:val="002715B8"/>
    <w:rsid w:val="00295E18"/>
    <w:rsid w:val="002A04A4"/>
    <w:rsid w:val="002A4A58"/>
    <w:rsid w:val="002D2430"/>
    <w:rsid w:val="002D5F3F"/>
    <w:rsid w:val="00306F6C"/>
    <w:rsid w:val="00323B9C"/>
    <w:rsid w:val="003328EE"/>
    <w:rsid w:val="00346C37"/>
    <w:rsid w:val="00351FA0"/>
    <w:rsid w:val="003619F7"/>
    <w:rsid w:val="00373213"/>
    <w:rsid w:val="003811A8"/>
    <w:rsid w:val="003866F8"/>
    <w:rsid w:val="00391C9A"/>
    <w:rsid w:val="00394B5C"/>
    <w:rsid w:val="003B1F07"/>
    <w:rsid w:val="003B4EB9"/>
    <w:rsid w:val="003D101F"/>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346A2"/>
    <w:rsid w:val="00556080"/>
    <w:rsid w:val="00560AF8"/>
    <w:rsid w:val="005706BE"/>
    <w:rsid w:val="00571462"/>
    <w:rsid w:val="0057627F"/>
    <w:rsid w:val="00592DA0"/>
    <w:rsid w:val="00596A8C"/>
    <w:rsid w:val="005B3CF2"/>
    <w:rsid w:val="005B43FA"/>
    <w:rsid w:val="005C0F1F"/>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81074D"/>
    <w:rsid w:val="008118BB"/>
    <w:rsid w:val="00815E51"/>
    <w:rsid w:val="00821579"/>
    <w:rsid w:val="008225F3"/>
    <w:rsid w:val="008358CA"/>
    <w:rsid w:val="00850431"/>
    <w:rsid w:val="00860F7D"/>
    <w:rsid w:val="00866181"/>
    <w:rsid w:val="008945B7"/>
    <w:rsid w:val="008A1803"/>
    <w:rsid w:val="008B1D50"/>
    <w:rsid w:val="008C4302"/>
    <w:rsid w:val="009063AF"/>
    <w:rsid w:val="00932021"/>
    <w:rsid w:val="00942EF2"/>
    <w:rsid w:val="009469F4"/>
    <w:rsid w:val="00946D5B"/>
    <w:rsid w:val="009548B8"/>
    <w:rsid w:val="00970A7F"/>
    <w:rsid w:val="00977EC3"/>
    <w:rsid w:val="00977F0F"/>
    <w:rsid w:val="009866B4"/>
    <w:rsid w:val="0099111C"/>
    <w:rsid w:val="00994CB2"/>
    <w:rsid w:val="00996510"/>
    <w:rsid w:val="009D12E0"/>
    <w:rsid w:val="009E3956"/>
    <w:rsid w:val="009F6487"/>
    <w:rsid w:val="00A1095F"/>
    <w:rsid w:val="00A14817"/>
    <w:rsid w:val="00A3642B"/>
    <w:rsid w:val="00A40D8E"/>
    <w:rsid w:val="00A458A5"/>
    <w:rsid w:val="00A54D12"/>
    <w:rsid w:val="00A73AFF"/>
    <w:rsid w:val="00A76D41"/>
    <w:rsid w:val="00A83BDB"/>
    <w:rsid w:val="00A933D8"/>
    <w:rsid w:val="00AA3155"/>
    <w:rsid w:val="00AC1B7F"/>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1AFD"/>
    <w:rsid w:val="00CB5B2F"/>
    <w:rsid w:val="00CD34F5"/>
    <w:rsid w:val="00CD4D07"/>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C63E7"/>
    <w:rsid w:val="00DE1F81"/>
    <w:rsid w:val="00DE357D"/>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7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skapraksa.vsrh.hr/supra/OdlukaTekst.asp?docID=3E2637798BEF&amp;Anonimizirano=3D&amp;Title=5A4255079C88BA544673E25A8ECE6B9B4AEA930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ib.irb.hr/prikazi-rad?&amp;rad=548413" TargetMode="External"/><Relationship Id="rId4" Type="http://schemas.openxmlformats.org/officeDocument/2006/relationships/settings" Target="settings.xml"/><Relationship Id="rId9" Type="http://schemas.openxmlformats.org/officeDocument/2006/relationships/hyperlink" Target="http://sudskapraksa.vsrh.hr/supra/OdlukaTekst.asp?docID=3D21307C8BEE&amp;Anonimizirano=3D&amp;Title=5A4255079C93FF69AA73E35A83CE689243EE9309"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bib.irb.hr/prikazi-rad?&amp;rad=548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32</cp:revision>
  <dcterms:created xsi:type="dcterms:W3CDTF">2014-04-10T20:22:00Z</dcterms:created>
  <dcterms:modified xsi:type="dcterms:W3CDTF">2014-04-30T12:34:00Z</dcterms:modified>
</cp:coreProperties>
</file>