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BE0929" w:rsidRPr="00BE0929" w:rsidRDefault="00BE0929" w:rsidP="00BE0929">
      <w:pPr>
        <w:pStyle w:val="NoSpacing"/>
        <w:jc w:val="center"/>
        <w:rPr>
          <w:rFonts w:ascii="Adobe Garamond Pro" w:hAnsi="Adobe Garamond Pro"/>
          <w:b/>
          <w:sz w:val="28"/>
          <w:szCs w:val="28"/>
        </w:rPr>
      </w:pPr>
      <w:r w:rsidRPr="00BE0929">
        <w:rPr>
          <w:rFonts w:ascii="Adobe Garamond Pro" w:hAnsi="Adobe Garamond Pro"/>
          <w:b/>
          <w:sz w:val="28"/>
          <w:szCs w:val="28"/>
        </w:rPr>
        <w:t xml:space="preserve">Hrvatski pogled na euroatlantizam na </w:t>
      </w:r>
      <w:r w:rsidR="00DE62F6">
        <w:rPr>
          <w:rFonts w:ascii="Adobe Garamond Pro" w:hAnsi="Adobe Garamond Pro"/>
          <w:b/>
          <w:sz w:val="28"/>
          <w:szCs w:val="28"/>
        </w:rPr>
        <w:t>Z</w:t>
      </w:r>
      <w:r w:rsidRPr="00BE0929">
        <w:rPr>
          <w:rFonts w:ascii="Adobe Garamond Pro" w:hAnsi="Adobe Garamond Pro"/>
          <w:b/>
          <w:sz w:val="28"/>
          <w:szCs w:val="28"/>
        </w:rPr>
        <w:t xml:space="preserve">apadnom </w:t>
      </w:r>
      <w:r w:rsidR="00DE62F6">
        <w:rPr>
          <w:rFonts w:ascii="Adobe Garamond Pro" w:hAnsi="Adobe Garamond Pro"/>
          <w:b/>
          <w:sz w:val="28"/>
          <w:szCs w:val="28"/>
        </w:rPr>
        <w:t>B</w:t>
      </w:r>
      <w:r w:rsidRPr="00BE0929">
        <w:rPr>
          <w:rFonts w:ascii="Adobe Garamond Pro" w:hAnsi="Adobe Garamond Pro"/>
          <w:b/>
          <w:sz w:val="28"/>
          <w:szCs w:val="28"/>
        </w:rPr>
        <w:t>alkanu</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E0929"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 dr. Lidija Čehulić Vukadinović</w:t>
      </w:r>
    </w:p>
    <w:p w:rsidR="00375E6B" w:rsidRPr="00375E6B" w:rsidRDefault="00BE0929" w:rsidP="002D2430">
      <w:pPr>
        <w:pStyle w:val="NoSpacing"/>
        <w:jc w:val="center"/>
        <w:rPr>
          <w:rFonts w:ascii="Adobe Garamond Pro" w:eastAsia="Times New Roman" w:hAnsi="Adobe Garamond Pro" w:cs="Garamond"/>
          <w:i/>
          <w:color w:val="000000"/>
          <w:lang w:val="bs-Latn-BA"/>
        </w:rPr>
      </w:pPr>
      <w:r>
        <w:rPr>
          <w:rFonts w:ascii="Adobe Garamond Pro" w:hAnsi="Adobe Garamond Pro"/>
          <w:lang w:val="hr-BA"/>
        </w:rPr>
        <w:t>Fakultet političkih znanosti Sveučilišta u Zagrebu</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D12A04" w:rsidP="002D2430">
      <w:pPr>
        <w:pStyle w:val="NoSpacing"/>
        <w:jc w:val="both"/>
        <w:rPr>
          <w:rFonts w:ascii="Adobe Garamond Pro" w:eastAsia="Times New Roman" w:hAnsi="Adobe Garamond Pro" w:cs="Garamond"/>
          <w:b/>
          <w:color w:val="000000"/>
          <w:lang w:val="bs-Latn-BA"/>
        </w:rPr>
      </w:pPr>
      <w:r w:rsidRPr="00D12A04">
        <w:rPr>
          <w:rFonts w:ascii="Adobe Garamond Pro" w:hAnsi="Adobe Garamond Pro"/>
          <w:i/>
          <w:noProof/>
          <w:lang w:val="bs-Latn-BA" w:eastAsia="bs-Latn-BA"/>
        </w:rPr>
        <w:pict>
          <v:rect id="_x0000_s1035" style="position:absolute;left:0;text-align:left;margin-left:-107.2pt;margin-top:4.2pt;width:340.6pt;height:310.05pt;z-index:-251658240" fillcolor="#f2f2f2 [3052]" stroked="f"/>
        </w:pict>
      </w:r>
      <w:r w:rsidRPr="00D12A04">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BE0929" w:rsidRPr="00BE0929" w:rsidRDefault="00BD0D1C" w:rsidP="00BE0929">
                  <w:pPr>
                    <w:pStyle w:val="NoSpacing"/>
                    <w:jc w:val="both"/>
                    <w:rPr>
                      <w:rFonts w:ascii="Adobe Garamond Pro" w:hAnsi="Adobe Garamond Pro"/>
                      <w:i/>
                      <w:sz w:val="20"/>
                      <w:szCs w:val="20"/>
                    </w:rPr>
                  </w:pPr>
                  <w:r w:rsidRPr="00BE0929">
                    <w:rPr>
                      <w:rFonts w:ascii="Adobe Garamond Pro" w:hAnsi="Adobe Garamond Pro"/>
                      <w:b/>
                      <w:i/>
                      <w:sz w:val="20"/>
                      <w:szCs w:val="20"/>
                      <w:lang w:val="hr-BA"/>
                    </w:rPr>
                    <w:t>Sažetak</w:t>
                  </w:r>
                  <w:r w:rsidR="00FF280B" w:rsidRPr="00BE0929">
                    <w:rPr>
                      <w:rFonts w:ascii="Adobe Garamond Pro" w:hAnsi="Adobe Garamond Pro"/>
                      <w:b/>
                      <w:i/>
                      <w:sz w:val="20"/>
                      <w:szCs w:val="20"/>
                      <w:lang w:val="hr-BA"/>
                    </w:rPr>
                    <w:t xml:space="preserve">: </w:t>
                  </w:r>
                  <w:r w:rsidR="00BE0929" w:rsidRPr="00BE0929">
                    <w:rPr>
                      <w:rFonts w:ascii="Adobe Garamond Pro" w:hAnsi="Adobe Garamond Pro"/>
                      <w:i/>
                      <w:sz w:val="20"/>
                      <w:szCs w:val="20"/>
                    </w:rPr>
                    <w:t xml:space="preserve">Usprkos globalnom svjetskom poretku i procesima ubrzane globalizacije regionalni pristup ostaje temelj za funkcioniranje međunarodnih aktera u suvremenim međunarodnim odnosima.Intenzivnijom regionalizacijom, učvrščivanjem sigurnosnih, gospodarskih, političkih, kulturnih, vjerskih i drugih oblika veza i savezništva države određene regije produbljuju postojeće ili definiraju nove oblike regionalne povezanosti temeljem kojih, kao regionalno   prepoznate cjeline,  lakše ostvaruju interese na globalnoj  međunarodnoj sceni. Euroatlantizam, kao skup odnosa zemalja Sjeverne Amerike i Europe danas prolazi svoju novu  do sada  najkompleksniju fazu, a procesi euroatlantske i europske integracije dva su paralelna, međusobno povezana procesa koja obilježavaju suvremena zbivanja tzv. Zapadnog, demokratskog, razvijenog svijeta. Institucionalizirani u organizacijama NATO i Europska unija, euroatlantizam i euroatlantske integracije dio su svakodnevice i zemalja Zapadnog Balkana. Republika Hrvatska kao najmlađa članica NATO-a i Europske unije mora preuzeti ulogu zagovornika daljnjeg širenja tih organizacija na ostatak zemalja Zapadnog Balkana, kako zbog svog vlastititog tako isto i zbog interesa tih zemalja  ali i  jačanja ukupne ideje euroatlantizma u suvremenom svijetu. </w:t>
                  </w:r>
                </w:p>
                <w:p w:rsidR="00FF280B" w:rsidRPr="00BE0929" w:rsidRDefault="00FF280B" w:rsidP="00BE0929">
                  <w:pPr>
                    <w:spacing w:after="0" w:line="240" w:lineRule="auto"/>
                    <w:jc w:val="both"/>
                    <w:rPr>
                      <w:rFonts w:ascii="Adobe Garamond Pro" w:hAnsi="Adobe Garamond Pro"/>
                      <w:i/>
                      <w:sz w:val="20"/>
                      <w:szCs w:val="20"/>
                    </w:rPr>
                  </w:pPr>
                </w:p>
              </w:txbxContent>
            </v:textbox>
          </v:shape>
        </w:pict>
      </w:r>
      <w:r w:rsidRPr="00D12A04">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BE0929" w:rsidRDefault="00BD0D1C" w:rsidP="00BD0D1C">
                  <w:pPr>
                    <w:spacing w:line="240" w:lineRule="auto"/>
                    <w:rPr>
                      <w:rFonts w:ascii="Adobe Garamond Pro" w:hAnsi="Adobe Garamond Pro"/>
                      <w:i/>
                      <w:sz w:val="20"/>
                      <w:szCs w:val="20"/>
                    </w:rPr>
                  </w:pPr>
                  <w:r w:rsidRPr="00BE0929">
                    <w:rPr>
                      <w:rFonts w:ascii="Adobe Garamond Pro" w:hAnsi="Adobe Garamond Pro"/>
                      <w:b/>
                      <w:i/>
                      <w:sz w:val="20"/>
                      <w:szCs w:val="20"/>
                    </w:rPr>
                    <w:t>Ključne riječi:</w:t>
                  </w:r>
                  <w:r w:rsidRPr="00BE0929">
                    <w:rPr>
                      <w:rFonts w:ascii="Adobe Garamond Pro" w:hAnsi="Adobe Garamond Pro"/>
                      <w:i/>
                      <w:sz w:val="20"/>
                      <w:szCs w:val="20"/>
                    </w:rPr>
                    <w:t xml:space="preserve"> </w:t>
                  </w:r>
                  <w:r w:rsidR="00BE0929" w:rsidRPr="00BE0929">
                    <w:rPr>
                      <w:rFonts w:ascii="Adobe Garamond Pro" w:hAnsi="Adobe Garamond Pro"/>
                      <w:i/>
                      <w:sz w:val="20"/>
                      <w:szCs w:val="20"/>
                    </w:rPr>
                    <w:t xml:space="preserve">Euroatlantizam, Zapadni Balkan, Sjevernoatlantski savez, Europska unija, funkcionalna regionalna suradnja, demokratizacija, integracija  </w:t>
                  </w:r>
                </w:p>
                <w:p w:rsidR="00FF280B" w:rsidRPr="00BE0929" w:rsidRDefault="00FF280B" w:rsidP="00BD0D1C">
                  <w:pPr>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BE0929" w:rsidRDefault="00BE0929" w:rsidP="00BE0929">
      <w:pPr>
        <w:pStyle w:val="NoSpacing"/>
        <w:jc w:val="both"/>
        <w:rPr>
          <w:rFonts w:ascii="Adobe Garamond Pro" w:hAnsi="Adobe Garamond Pro"/>
          <w:b/>
        </w:rPr>
      </w:pPr>
      <w:r w:rsidRPr="00BE0929">
        <w:rPr>
          <w:rFonts w:ascii="Adobe Garamond Pro" w:hAnsi="Adobe Garamond Pro"/>
          <w:lang w:val="bs-Latn-BA"/>
        </w:rPr>
        <w:br w:type="page"/>
      </w:r>
      <w:r w:rsidRPr="00BE0929">
        <w:rPr>
          <w:rFonts w:ascii="Adobe Garamond Pro" w:hAnsi="Adobe Garamond Pro"/>
          <w:b/>
        </w:rPr>
        <w:lastRenderedPageBreak/>
        <w:t>UVOD</w:t>
      </w:r>
    </w:p>
    <w:p w:rsidR="00BE0929" w:rsidRPr="00BE0929" w:rsidRDefault="00BE0929" w:rsidP="00BE0929">
      <w:pPr>
        <w:pStyle w:val="NoSpacing"/>
        <w:jc w:val="both"/>
        <w:rPr>
          <w:rFonts w:ascii="Adobe Garamond Pro" w:hAnsi="Adobe Garamond Pro"/>
          <w:b/>
        </w:rPr>
      </w:pPr>
    </w:p>
    <w:p w:rsid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 xml:space="preserve">Ulaskom Republike Hrvatske u Sjevernoatlantski savez (2009) i Europsku uniju (2013)  RH je postala institucionalni dio  najznačajnije europske i euroatlantske institucije. Republika Hrvatska je prva postsocijalistička i ujedno prva postkonfliktna zemlja kojoj je to uspjelo. Hrvatsko iskustvo dugotrajnog i mukotrpnog pregovaranja, otežano postratnim dodatnim kriterijima koje ostale postsocijalističke europske zemlje nisu morale ispunjavati, dokaz su ostatku zemalja Zapadnog Balkana da se integracijski ciljevi mogu postići akopostoji politička volja, upornost i dosljednost u provođenju postsocijalsitičkih reformi u pravcu demokratizacije cjelokupnog društva. Hrvatska je spremna i dužna pomoći susjednim, ali i svimostalim zemljama jugoistočnog rubnog dijela Europe na njihovom putu u punopravno članstvo Sjevernoatlantskog savezai Europske unije. Republika Hrvatska, osim moralnih i institucionalnih,  za to ima i konkretne nacionalne razloge. Granica EU velikim dijelom granica je i Republike Hrvatske sa njezinim susjednim zemljama, hrvatskom gospodarstvu nedostaje tržište CEFTE i zemalja iz susjedstva, kulturološko-civilizacijska povezanost sa ostatkom zemalja Zapadnog Balkana traži suradnju Zagreba sa tim dijelom Europe bez obzira na članstvo u NATO-u i EU. Mnogo je razloga  zbog kojih bi Republika Hrvatska trebalai morala pronaći saveznike unutar NATO-a i Europske unije i zagovarati daljnje širenje tih organizacija na prostor  ostatka Zapadnog Balkana.  </w:t>
      </w:r>
    </w:p>
    <w:p w:rsidR="00BE0929" w:rsidRPr="00BE0929" w:rsidRDefault="00BE0929" w:rsidP="00BE0929">
      <w:pPr>
        <w:pStyle w:val="NoSpacing"/>
        <w:jc w:val="both"/>
        <w:rPr>
          <w:rFonts w:ascii="Adobe Garamond Pro" w:hAnsi="Adobe Garamond Pro"/>
          <w:sz w:val="20"/>
          <w:szCs w:val="20"/>
        </w:rPr>
      </w:pPr>
    </w:p>
    <w:p w:rsid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S druge pak strane geostrategijski prostor Zapadnog Balkana poslužio je kao lakmus papir kako Sjevernoatlantskom savezu tako i Europskoj uniji za testiranje njihovih internih politika u suvremenim međunarodnim odnosima. Upravo na tom prostoru NATO</w:t>
      </w:r>
      <w:r>
        <w:rPr>
          <w:rFonts w:ascii="Adobe Garamond Pro" w:hAnsi="Adobe Garamond Pro"/>
          <w:sz w:val="20"/>
          <w:szCs w:val="20"/>
        </w:rPr>
        <w:t xml:space="preserve"> </w:t>
      </w:r>
      <w:r w:rsidRPr="00BE0929">
        <w:rPr>
          <w:rFonts w:ascii="Adobe Garamond Pro" w:hAnsi="Adobe Garamond Pro"/>
          <w:sz w:val="20"/>
          <w:szCs w:val="20"/>
        </w:rPr>
        <w:t xml:space="preserve">je izveo svoje prve posthladnoratovkseakcije out-of -area (Goražde, SR Jugoslavija ),  uspostavio peace keeping misije i na taj način dobio konkretan razlog svog opstanka nakon bipolarizma, a primivši  u svoje članstvo i postsocijalističke zemlje te regije dokazao da je sposoban surađivati i sa njima te da je upravo posthladnoratovska politika  proširenja jedna od najuspješnijih NATO-vih  posthladnoratovskih politika.  Europska unija nije u tolikoj mjeri iskoristila mogućnosti Zapadnog Balkana. Diskrepancija između njezine politike širenja i produbljivanja zaustavila je na duže vrijeme širenje EU na taj dio Europe. Pa ipak, u pokušaju da se nametne kao globalni akter upravo prostor Zapadnog Balkana i njegovi brojni još do kraja nerješeni problemi pružaju mogućnost da EU pokaže veću efikasnost svoje Zajedničke vanjske i sigurnosne politike. </w:t>
      </w:r>
    </w:p>
    <w:p w:rsidR="00BE0929" w:rsidRPr="00BE0929" w:rsidRDefault="00BE0929" w:rsidP="00BE0929">
      <w:pPr>
        <w:pStyle w:val="NoSpacing"/>
        <w:jc w:val="both"/>
        <w:rPr>
          <w:rFonts w:ascii="Adobe Garamond Pro" w:hAnsi="Adobe Garamond Pro"/>
          <w:sz w:val="20"/>
          <w:szCs w:val="20"/>
        </w:rPr>
      </w:pPr>
    </w:p>
    <w:p w:rsidR="00BE0929" w:rsidRP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 xml:space="preserve">Sve to ukazuje na nužnost daljnjeg širenja euroatlantizma u toj regiji, a Republika Hrvatska koja najbolje irazumije postojeće probleme i izazove mora pomoći zemljama Zapadnog Balkana na njihovom euroatlantskom i europskom  putu.   </w:t>
      </w:r>
    </w:p>
    <w:p w:rsidR="00BE0929" w:rsidRDefault="00BE0929" w:rsidP="00BE0929">
      <w:pPr>
        <w:pStyle w:val="NoSpacing"/>
        <w:jc w:val="both"/>
        <w:rPr>
          <w:rFonts w:ascii="Adobe Garamond Pro" w:hAnsi="Adobe Garamond Pro"/>
          <w:b/>
          <w:sz w:val="20"/>
          <w:szCs w:val="20"/>
        </w:rPr>
      </w:pPr>
    </w:p>
    <w:p w:rsidR="00BE0929" w:rsidRDefault="00BE0929" w:rsidP="00BE0929">
      <w:pPr>
        <w:pStyle w:val="NoSpacing"/>
        <w:jc w:val="both"/>
        <w:rPr>
          <w:rFonts w:ascii="Adobe Garamond Pro" w:hAnsi="Adobe Garamond Pro"/>
          <w:b/>
          <w:sz w:val="20"/>
          <w:szCs w:val="20"/>
        </w:rPr>
      </w:pPr>
    </w:p>
    <w:p w:rsidR="00BE0929" w:rsidRDefault="00BE0929" w:rsidP="00BE0929">
      <w:pPr>
        <w:pStyle w:val="NoSpacing"/>
        <w:jc w:val="both"/>
        <w:rPr>
          <w:rFonts w:ascii="Adobe Garamond Pro" w:hAnsi="Adobe Garamond Pro"/>
          <w:b/>
          <w:sz w:val="20"/>
          <w:szCs w:val="20"/>
        </w:rPr>
      </w:pPr>
    </w:p>
    <w:p w:rsidR="00BE0929" w:rsidRPr="00BE0929" w:rsidRDefault="00BE0929" w:rsidP="00BE0929">
      <w:pPr>
        <w:pStyle w:val="NoSpacing"/>
        <w:jc w:val="both"/>
        <w:rPr>
          <w:rFonts w:ascii="Adobe Garamond Pro" w:hAnsi="Adobe Garamond Pro"/>
          <w:b/>
          <w:sz w:val="20"/>
          <w:szCs w:val="20"/>
        </w:rPr>
      </w:pPr>
    </w:p>
    <w:p w:rsidR="00BE0929" w:rsidRPr="00BE0929" w:rsidRDefault="00BE0929" w:rsidP="00BE0929">
      <w:pPr>
        <w:pStyle w:val="NoSpacing"/>
        <w:jc w:val="both"/>
        <w:rPr>
          <w:rFonts w:ascii="Adobe Garamond Pro" w:hAnsi="Adobe Garamond Pro"/>
          <w:b/>
        </w:rPr>
      </w:pPr>
      <w:r w:rsidRPr="00BE0929">
        <w:rPr>
          <w:rFonts w:ascii="Adobe Garamond Pro" w:hAnsi="Adobe Garamond Pro"/>
          <w:b/>
        </w:rPr>
        <w:lastRenderedPageBreak/>
        <w:t xml:space="preserve">Specifičnosti ulaska RH u NATO i Europsku uniju </w:t>
      </w:r>
    </w:p>
    <w:p w:rsidR="00BE0929" w:rsidRPr="00BE0929" w:rsidRDefault="00BE0929" w:rsidP="00BE0929">
      <w:pPr>
        <w:pStyle w:val="NoSpacing"/>
        <w:jc w:val="both"/>
        <w:rPr>
          <w:rFonts w:ascii="Adobe Garamond Pro" w:hAnsi="Adobe Garamond Pro"/>
          <w:b/>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Hrvatski put do članstva u euroatlantske i europske integracije  bio je  dug i mukotrpan. Odmah nakon svog međunarodnog priznanja (15. siječnja 1992.) Republika Hrvatska  proklamirala je svoju želju za ulaskom uNATO i  Europsku uniju, „ali ratne i poratne okolnosti učinile su da se taj proces realizira mnogo sporije nego što su to tada  očekivali hrvatski političari i građani.</w:t>
      </w:r>
      <w:r w:rsidRPr="00BE0929">
        <w:rPr>
          <w:rStyle w:val="FootnoteReference"/>
          <w:rFonts w:ascii="Adobe Garamond Pro" w:hAnsi="Adobe Garamond Pro"/>
          <w:sz w:val="20"/>
          <w:szCs w:val="20"/>
        </w:rPr>
        <w:footnoteReference w:id="2"/>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Oružana agresija u kojoj je jedna trećina teritorije Hrvatske bila okupirana, borba za  fizičko oslobođenje zemlje, uključenost Hrvatske u oružane sukobe u BiH  stopirale  su hrvatski put u NATO i EU. Gotovo do kraja prošlog stoljeća Hrvatska je, uz ondašnju Srbiju i BiH bila najizoliranija zemlja na jugoistoku Europe od međunarodne zajednice.  Iako se snage NATO-a,kao i članica EU  i SAD pomagale na različite načine hrvatski oslobodilački rat Hrvatska je tada, zbog rata koji joj je nametnut i okolnosti koje su iz njega proizlazile, ostala izvan glavnih  institucionalnih veza i programa koje su  NATO i EU  ponudile   postsocijalističkim zemljama.</w:t>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Za svog posjeta Hrvatskoj, pokraj svibnja 1997. američka državna tajnica Madeleine Albright, u razgovoru s tadašnjim predsjednikom Tuđmanom, tražila je sljedeće: hrvatsku podršku i dosljednu primjenu Daytonskog sporazuma, povratak izbjeglih i prognanih za vrijeme oružanih sukoba u Hrvatskoj, suradnju hrvatskih vlasti s Međunarodnim kaznenim sudom u Haagu. Nepunu godinu dana kasnije, 1998. SAD veleposlanik u RH, William T. Montgomery, u svom članku Croatia's Roadmap to Partnership for Peace istaknuo je glavne smjernice za ulazak Hrvatske u Partnerstvo za mir. Američki veleposlanik sugerira Hrvatskoj da poradi na: procesu rekoncilijacije, stvaranju uvjeta za nesmetani povratak, život i rad svih prognanih i izbjeglih tokom Domovinskog rata, dosljednoj primjeni Daytonskog sporazuma, demokratizaciji društva, s posebnim akcentom na slobodi medija, promjeni izbornog zakona i provedbi slobodnih, demokratskih izbora.</w:t>
      </w:r>
      <w:r w:rsidRPr="00BE0929">
        <w:rPr>
          <w:rStyle w:val="FootnoteReference"/>
          <w:rFonts w:ascii="Adobe Garamond Pro" w:hAnsi="Adobe Garamond Pro"/>
          <w:sz w:val="20"/>
          <w:szCs w:val="20"/>
        </w:rPr>
        <w:footnoteReference w:id="3"/>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Zbog rata Hrvatska nije sudjelovala ni  u regionalnim programima EU temeljenim na tzv. regionalnom pristupu EU spram jugoistočne Europe usvojenom 1997. godine.  Vrlo kratko vrijeme bila je uključena u PHARE program no sve do siječnja 2001. Hrvatska je uživala tek godišnje autonomne trgovinske povlastice.</w:t>
      </w:r>
      <w:r w:rsidRPr="00BE0929">
        <w:rPr>
          <w:rStyle w:val="FootnoteReference"/>
          <w:rFonts w:ascii="Adobe Garamond Pro" w:hAnsi="Adobe Garamond Pro"/>
          <w:sz w:val="20"/>
          <w:szCs w:val="20"/>
        </w:rPr>
        <w:footnoteReference w:id="4"/>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lastRenderedPageBreak/>
        <w:t xml:space="preserve">Godine 1997. Vijeće ministara EU odredilo je političke i ekonomske uvjete za razvoj bilateralnih odnosa s Hrvatskom, 26. svibnja 1999. Europska komisija predlaže stvaranje Procesa stabilizacije i pridruživanja za pet država jugoistočne Europe, uključujući i Hrvatsku. 1. lipnja 1999. usvojen je Pakt o stabilnosti, politički dokument čiji je strateški cilj stabilizacija prilika na jugoistoku Europe putem jačanja međusobne suradnje i približavanja država te regije euroatlantskim integracijama. </w:t>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Sva ta događanja upućuju na činjenicu da iako Zagreb tada još nije imao formalni ugovorni odnos s NATO-om i  EU, Hrvatska je ipak bila u široj interesnoj sferi euroatlantskih i europskih saveznika  te je imala mogućnosti iskazivanja svog europskog puta.</w:t>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Institucionalno približavanje Hrvatske NATO-u i EU započinje nakon demokratskih predsjedničkih i parlamentarnih izbora u RH 2000. godine kada novoformirana  Vlada u svom programu, kao i Sabor RH, ulazak Hrvatske u NATO i EU naglašavaju kao jedan od temeljnih vanjskopolitičkih ciljeva.</w:t>
      </w:r>
      <w:r w:rsidRPr="00BE0929">
        <w:rPr>
          <w:rStyle w:val="FootnoteReference"/>
          <w:rFonts w:ascii="Adobe Garamond Pro" w:hAnsi="Adobe Garamond Pro"/>
          <w:sz w:val="20"/>
          <w:szCs w:val="20"/>
        </w:rPr>
        <w:footnoteReference w:id="5"/>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Što se tiče NATO-a,  Hrvatska je 2000.  gotovo preko noći primljena u Partnerstvo za mir. Ubrzo zatim Hrvatska se pušta u NATO-ov Akcijiski plan za članstvo. Washington je, uz Albaniju i FRYOM, svrstao u svoj program prilagodbe standardima Saveza - Jadransku povelju (The  Adriatic Charter).</w:t>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sidRPr="00BE0929">
        <w:rPr>
          <w:rFonts w:ascii="Adobe Garamond Pro" w:hAnsi="Adobe Garamond Pro"/>
          <w:sz w:val="20"/>
          <w:szCs w:val="20"/>
        </w:rPr>
        <w:t xml:space="preserve">  Cijelo to vrijeme Hrvatska je radila ne samo na  potrebitim reformama svog obrambenosigurnosnog sustava i njegovom prilagođavanju što optimalnijim standardima Saveza, već je i učestvovala u brojnim političkim, humanitarnim te  civilnim i vojnim misijama pod ingerencijom ili UN-a ili NATO-a.</w:t>
      </w:r>
      <w:r w:rsidRPr="00BE0929">
        <w:rPr>
          <w:rStyle w:val="FootnoteReference"/>
          <w:rFonts w:ascii="Adobe Garamond Pro" w:hAnsi="Adobe Garamond Pro"/>
          <w:sz w:val="20"/>
          <w:szCs w:val="20"/>
        </w:rPr>
        <w:footnoteReference w:id="6"/>
      </w:r>
      <w:r w:rsidRPr="00BE0929">
        <w:rPr>
          <w:rFonts w:ascii="Adobe Garamond Pro" w:hAnsi="Adobe Garamond Pro"/>
          <w:sz w:val="20"/>
          <w:szCs w:val="20"/>
        </w:rPr>
        <w:t>Time je NATO-u  dokazivala i prakseološku vrijednost provođenih reformi i tranzicije svog  sigurnosnog sustava.Na summitu u Bukureštu 2008. Hrvatska  je bila prepoznata od Saveznika kao zemlja koja zaslužuje poziv da na  summitu NATO-a u Kolnu i Strasbourgu 2009. godine, i službeno postane njegova punopravna članica.</w:t>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 xml:space="preserve">Put prema punopravnom članstvu RH u EU  ipak nije bio tako relativno  lak, brz  i jednostavan. Nakon izbora 2000. ubrzana je dinamika međusobnog političkog dijaloga i </w:t>
      </w:r>
      <w:r w:rsidRPr="00BE0929">
        <w:rPr>
          <w:rFonts w:ascii="Adobe Garamond Pro" w:hAnsi="Adobe Garamond Pro"/>
          <w:sz w:val="20"/>
          <w:szCs w:val="20"/>
        </w:rPr>
        <w:lastRenderedPageBreak/>
        <w:t>započela je s radom Zajednička konzultativna radna skupina RH i EU.</w:t>
      </w:r>
      <w:r w:rsidRPr="00BE0929">
        <w:rPr>
          <w:rStyle w:val="FootnoteReference"/>
          <w:rFonts w:ascii="Adobe Garamond Pro" w:hAnsi="Adobe Garamond Pro"/>
          <w:sz w:val="20"/>
          <w:szCs w:val="20"/>
        </w:rPr>
        <w:footnoteReference w:id="7"/>
      </w:r>
      <w:r w:rsidRPr="00BE0929">
        <w:rPr>
          <w:rFonts w:ascii="Adobe Garamond Pro" w:hAnsi="Adobe Garamond Pro"/>
          <w:sz w:val="20"/>
          <w:szCs w:val="20"/>
        </w:rPr>
        <w:t xml:space="preserve"> Pozitivnom ocjenom Studije o izvedivosti Europske komisije otvorena su vrata Hrvatskoj za pregovore o Sporazumu o stabilizaciji i pridruživanju (SSP). Pozitivnom mišljenju EU glede Hrvatske pridonio je i uspješno organiziran Zagrebački summit EU (24. studenoga 2000.) na kojem su se, prvi put izvan teritorija članica EU, sastali najviši predstavnici tadašnje europske petnaestorice i država tzv. Zapadnog Balkana. Na sastanku je usvojena Završna deklaracija kojom se državama Zapadnog Balkana jamči europska perspektiva uz uvažavanje individualnih postignuća svake od tih zemalja na njezinom putu ulaska u EU.</w:t>
      </w:r>
      <w:r w:rsidRPr="00BE0929">
        <w:rPr>
          <w:rStyle w:val="FootnoteReference"/>
          <w:rFonts w:ascii="Adobe Garamond Pro" w:hAnsi="Adobe Garamond Pro"/>
          <w:sz w:val="20"/>
          <w:szCs w:val="20"/>
        </w:rPr>
        <w:footnoteReference w:id="8"/>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Na marginama summita u Zagrebu službeno su počeli i pregovori EU i Republike Hrvatske o Sporazumu o stabilizaciji i pridruživanju (SSP). Sporazum su potpisali 29. listopada 2001. u Luksemburgu tadašnji hrvatski premijer Ivica Račan, ministri vanjskih poslova članica EU te član Europske komisije Chris Patten. Potpisivanjem SSP-a i paralelno s njim Privremenog sporazuma koji se primjenjuje do stupanja SSP-a na snagu, Hrvatska je prvi put stupila u ugovorne odnose s EU. Hrvatski Sabor potvrdio je SSP 5. prosinca 2001, a</w:t>
      </w:r>
      <w:r w:rsidRPr="00BE0929">
        <w:rPr>
          <w:rStyle w:val="FootnoteReference"/>
          <w:rFonts w:ascii="Adobe Garamond Pro" w:hAnsi="Adobe Garamond Pro"/>
          <w:sz w:val="20"/>
          <w:szCs w:val="20"/>
        </w:rPr>
        <w:footnoteReference w:id="9"/>
      </w:r>
      <w:r w:rsidRPr="00BE0929">
        <w:rPr>
          <w:rFonts w:ascii="Adobe Garamond Pro" w:hAnsi="Adobe Garamond Pro"/>
          <w:sz w:val="20"/>
          <w:szCs w:val="20"/>
        </w:rPr>
        <w:t>Europski parlament (u ime EU) 12. prosinca 2001. Do verificiranja SSP-a u parlamentima članica EU bio je  na snazi  Privremeni sporazum koji uređuje trgovinska pitanja i s njima povezana pitanja (usklađivanje zakonodavstva u pojedinim područjima, cestovni prijevoz...)</w:t>
      </w:r>
      <w:r w:rsidRPr="00BE0929">
        <w:rPr>
          <w:rStyle w:val="FootnoteReference"/>
          <w:rFonts w:ascii="Adobe Garamond Pro" w:hAnsi="Adobe Garamond Pro"/>
          <w:sz w:val="20"/>
          <w:szCs w:val="20"/>
        </w:rPr>
        <w:footnoteReference w:id="10"/>
      </w:r>
      <w:r w:rsidRPr="00BE0929">
        <w:rPr>
          <w:rFonts w:ascii="Adobe Garamond Pro" w:hAnsi="Adobe Garamond Pro"/>
          <w:sz w:val="20"/>
          <w:szCs w:val="20"/>
        </w:rPr>
        <w:t xml:space="preserve"> te Zajednička izjava RH/EU o političkom dijalogu.</w:t>
      </w:r>
      <w:r w:rsidRPr="00BE0929">
        <w:rPr>
          <w:rStyle w:val="FootnoteReference"/>
          <w:rFonts w:ascii="Adobe Garamond Pro" w:hAnsi="Adobe Garamond Pro"/>
          <w:sz w:val="20"/>
          <w:szCs w:val="20"/>
        </w:rPr>
        <w:footnoteReference w:id="11"/>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 xml:space="preserve">Privremenim sporazumom reguliralo se postupno ukidanje carina i drugih ograničenja u odnosima razmjene određenih roba između Europske unije i Republike </w:t>
      </w:r>
      <w:r w:rsidRPr="00BE0929">
        <w:rPr>
          <w:rFonts w:ascii="Adobe Garamond Pro" w:hAnsi="Adobe Garamond Pro"/>
          <w:sz w:val="20"/>
          <w:szCs w:val="20"/>
        </w:rPr>
        <w:lastRenderedPageBreak/>
        <w:t>Hrvatske, dok su se u Zajedničkoj izjavi definirali politički kriteriji koje je Republika Hrvatska morala ispuniti na svom putu približavanja EU. Između ostalog, tražilo se:</w:t>
      </w:r>
    </w:p>
    <w:p w:rsidR="00BE0929" w:rsidRPr="00BE0929" w:rsidRDefault="00BE0929" w:rsidP="00BE0929">
      <w:pPr>
        <w:spacing w:after="0" w:line="240" w:lineRule="auto"/>
        <w:jc w:val="both"/>
        <w:rPr>
          <w:rFonts w:ascii="Adobe Garamond Pro" w:hAnsi="Adobe Garamond Pro"/>
          <w:sz w:val="20"/>
          <w:szCs w:val="20"/>
        </w:rPr>
      </w:pPr>
      <w:r w:rsidRPr="00BE0929">
        <w:rPr>
          <w:rFonts w:ascii="Adobe Garamond Pro" w:hAnsi="Adobe Garamond Pro"/>
          <w:sz w:val="20"/>
          <w:szCs w:val="20"/>
        </w:rPr>
        <w:t xml:space="preserve"> </w:t>
      </w:r>
    </w:p>
    <w:p w:rsidR="00BE0929" w:rsidRPr="00BE0929" w:rsidRDefault="00BE0929" w:rsidP="00BE0929">
      <w:pPr>
        <w:pStyle w:val="ListParagraph"/>
        <w:numPr>
          <w:ilvl w:val="0"/>
          <w:numId w:val="38"/>
        </w:numPr>
        <w:spacing w:after="0" w:line="240" w:lineRule="auto"/>
        <w:jc w:val="both"/>
        <w:rPr>
          <w:rFonts w:ascii="Adobe Garamond Pro" w:hAnsi="Adobe Garamond Pro"/>
          <w:sz w:val="20"/>
          <w:szCs w:val="20"/>
        </w:rPr>
      </w:pPr>
      <w:r w:rsidRPr="00BE0929">
        <w:rPr>
          <w:rFonts w:ascii="Adobe Garamond Pro" w:hAnsi="Adobe Garamond Pro"/>
          <w:sz w:val="20"/>
          <w:szCs w:val="20"/>
        </w:rPr>
        <w:t>jačanje demokratskih načela i institucija, poštivanje ljudskih prava i prava nacionalnih manjina</w:t>
      </w:r>
    </w:p>
    <w:p w:rsidR="00BE0929" w:rsidRPr="00BE0929" w:rsidRDefault="00BE0929" w:rsidP="00BE0929">
      <w:pPr>
        <w:pStyle w:val="ListParagraph"/>
        <w:numPr>
          <w:ilvl w:val="0"/>
          <w:numId w:val="38"/>
        </w:numPr>
        <w:spacing w:after="0" w:line="240" w:lineRule="auto"/>
        <w:jc w:val="both"/>
        <w:rPr>
          <w:rFonts w:ascii="Adobe Garamond Pro" w:hAnsi="Adobe Garamond Pro"/>
          <w:sz w:val="20"/>
          <w:szCs w:val="20"/>
        </w:rPr>
      </w:pPr>
      <w:r w:rsidRPr="00BE0929">
        <w:rPr>
          <w:rFonts w:ascii="Adobe Garamond Pro" w:hAnsi="Adobe Garamond Pro"/>
          <w:sz w:val="20"/>
          <w:szCs w:val="20"/>
        </w:rPr>
        <w:t>promicanje regionalne suradnje, razvoj dobrosusjedskih odnosa i ispunjavanje obveza sukladno međunarodnom pravu</w:t>
      </w:r>
    </w:p>
    <w:p w:rsidR="00BE0929" w:rsidRPr="00BE0929" w:rsidRDefault="00BE0929" w:rsidP="00BE0929">
      <w:pPr>
        <w:pStyle w:val="ListParagraph"/>
        <w:numPr>
          <w:ilvl w:val="0"/>
          <w:numId w:val="38"/>
        </w:numPr>
        <w:spacing w:after="0" w:line="240" w:lineRule="auto"/>
        <w:jc w:val="both"/>
        <w:rPr>
          <w:rFonts w:ascii="Adobe Garamond Pro" w:hAnsi="Adobe Garamond Pro"/>
          <w:sz w:val="20"/>
          <w:szCs w:val="20"/>
        </w:rPr>
      </w:pPr>
      <w:r w:rsidRPr="00BE0929">
        <w:rPr>
          <w:rFonts w:ascii="Adobe Garamond Pro" w:hAnsi="Adobe Garamond Pro"/>
          <w:sz w:val="20"/>
          <w:szCs w:val="20"/>
        </w:rPr>
        <w:t>olakšavanje integracije Republike Hrvatske u EU temeljem hrvatskih individualnih postignuća</w:t>
      </w:r>
    </w:p>
    <w:p w:rsidR="00BE0929" w:rsidRPr="00BE0929" w:rsidRDefault="00BE0929" w:rsidP="00BE0929">
      <w:pPr>
        <w:pStyle w:val="ListParagraph"/>
        <w:numPr>
          <w:ilvl w:val="0"/>
          <w:numId w:val="38"/>
        </w:numPr>
        <w:spacing w:after="0" w:line="240" w:lineRule="auto"/>
        <w:jc w:val="both"/>
        <w:rPr>
          <w:rFonts w:ascii="Adobe Garamond Pro" w:hAnsi="Adobe Garamond Pro"/>
          <w:sz w:val="20"/>
          <w:szCs w:val="20"/>
        </w:rPr>
      </w:pPr>
      <w:r w:rsidRPr="00BE0929">
        <w:rPr>
          <w:rFonts w:ascii="Adobe Garamond Pro" w:hAnsi="Adobe Garamond Pro"/>
          <w:sz w:val="20"/>
          <w:szCs w:val="20"/>
        </w:rPr>
        <w:t>suradnja političkih stranaka na unutarnjoj i vanjskopolitičkoj hrvatskoj sceni, uključujući i suradnju u borbi protiv terorizma</w:t>
      </w:r>
    </w:p>
    <w:p w:rsidR="00BE0929" w:rsidRPr="00BE0929" w:rsidRDefault="00BE0929" w:rsidP="00BE0929">
      <w:pPr>
        <w:pStyle w:val="ListParagraph"/>
        <w:numPr>
          <w:ilvl w:val="0"/>
          <w:numId w:val="38"/>
        </w:numPr>
        <w:spacing w:after="0" w:line="240" w:lineRule="auto"/>
        <w:jc w:val="both"/>
        <w:rPr>
          <w:rFonts w:ascii="Adobe Garamond Pro" w:hAnsi="Adobe Garamond Pro"/>
          <w:sz w:val="20"/>
          <w:szCs w:val="20"/>
        </w:rPr>
      </w:pPr>
      <w:r w:rsidRPr="00BE0929">
        <w:rPr>
          <w:rFonts w:ascii="Adobe Garamond Pro" w:hAnsi="Adobe Garamond Pro"/>
          <w:sz w:val="20"/>
          <w:szCs w:val="20"/>
        </w:rPr>
        <w:t>jačanje sigurnosti i stabilnosti u cijeloj Europi, a naročito na području jugoistočne Europe, kroz suradnju na područjima obuhvaćenim zajedničkom vanjskom i sigurnosnom politikom EU.</w:t>
      </w:r>
      <w:r w:rsidRPr="00BE0929">
        <w:rPr>
          <w:rStyle w:val="FootnoteReference"/>
          <w:rFonts w:ascii="Adobe Garamond Pro" w:hAnsi="Adobe Garamond Pro"/>
          <w:sz w:val="20"/>
          <w:szCs w:val="20"/>
        </w:rPr>
        <w:footnoteReference w:id="12"/>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U prosincu 2002. Republika Hrvatska je izradila i usvojila svoj prvi Nacionalni program za pridruživanje EU (izrada je jedna od obveza proizašlih iz SSP), čija je provedba bila predmetom budućih izvješća Europske komisije o Procesu stabilizacija i pridruživanja za RH.</w:t>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Iako SSP još nije bio stupio na snagu (čekala se  njegova verifikacija u Nizozemskoj), Hrvatska je 21. veljače 2003. podnijela zahtjev za članstvo u EU.</w:t>
      </w:r>
      <w:r w:rsidRPr="00BE0929">
        <w:rPr>
          <w:rStyle w:val="FootnoteReference"/>
          <w:rFonts w:ascii="Adobe Garamond Pro" w:hAnsi="Adobe Garamond Pro"/>
          <w:sz w:val="20"/>
          <w:szCs w:val="20"/>
        </w:rPr>
        <w:footnoteReference w:id="13"/>
      </w:r>
      <w:r w:rsidRPr="00BE0929">
        <w:rPr>
          <w:rFonts w:ascii="Adobe Garamond Pro" w:hAnsi="Adobe Garamond Pro"/>
          <w:sz w:val="20"/>
          <w:szCs w:val="20"/>
        </w:rPr>
        <w:t xml:space="preserve">  S takvom praksom nije započela Hrvatska, već su je ranije primijenile i neke druge zemlje.</w:t>
      </w:r>
      <w:r w:rsidRPr="00BE0929">
        <w:rPr>
          <w:rStyle w:val="FootnoteReference"/>
          <w:rFonts w:ascii="Adobe Garamond Pro" w:hAnsi="Adobe Garamond Pro"/>
          <w:sz w:val="20"/>
          <w:szCs w:val="20"/>
        </w:rPr>
        <w:footnoteReference w:id="14"/>
      </w:r>
      <w:r w:rsidRPr="00BE0929">
        <w:rPr>
          <w:rFonts w:ascii="Adobe Garamond Pro" w:hAnsi="Adobe Garamond Pro"/>
          <w:sz w:val="20"/>
          <w:szCs w:val="20"/>
        </w:rPr>
        <w:t xml:space="preserve"> Pritom je izraženo političko jedinstvo svih hrvatskih parlamentarnih stranaka. U Rezoluciji hrvatskog Sabora o pristupanju Republike Hrvatske Europskoj uniji, usvojenoj 18. prosinca 2002. konsenzusom svih parlamentarnih stranaka, navodi se da je Republika Hrvatska po svom naslijeđu, kulturi i geopolitičkom položaju dio srednjoeuropskoga, mediteranskog kruga te želi aktivno i svesrdno pridonijeti naporima međunarodne zajednice i EU na uspostavljanju političke stabilizacije i trajnog mira u jugoistočnoj Europi.</w:t>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 xml:space="preserve">Relativno brzo podnošenje zahtjeva za članstvo u EU može se tumačiti i željom i spremnošću Hrvatske da nadoknadi izgubljeno vrijeme približavanja EU u usporedbi s državama srednje i istočne Europe koje su tada već bile poodmakle u odnosu na Hrvatsku u </w:t>
      </w:r>
      <w:r w:rsidRPr="00BE0929">
        <w:rPr>
          <w:rFonts w:ascii="Adobe Garamond Pro" w:hAnsi="Adobe Garamond Pro"/>
          <w:sz w:val="20"/>
          <w:szCs w:val="20"/>
        </w:rPr>
        <w:lastRenderedPageBreak/>
        <w:t>pregovorima o članstvu.</w:t>
      </w:r>
      <w:r>
        <w:rPr>
          <w:rFonts w:ascii="Adobe Garamond Pro" w:hAnsi="Adobe Garamond Pro"/>
          <w:sz w:val="20"/>
          <w:szCs w:val="20"/>
        </w:rPr>
        <w:t xml:space="preserve"> </w:t>
      </w:r>
      <w:r w:rsidRPr="00BE0929">
        <w:rPr>
          <w:rFonts w:ascii="Adobe Garamond Pro" w:hAnsi="Adobe Garamond Pro"/>
          <w:sz w:val="20"/>
          <w:szCs w:val="20"/>
        </w:rPr>
        <w:t>Nakon hrvatskog zahtjeva za članstvo u EU, Vijeće ministara zadužilo je 14. travnja 2003. Europsku komisiju da pripremi mišljenje (</w:t>
      </w:r>
      <w:r w:rsidRPr="00BE0929">
        <w:rPr>
          <w:rFonts w:ascii="Adobe Garamond Pro" w:hAnsi="Adobe Garamond Pro"/>
          <w:i/>
          <w:sz w:val="20"/>
          <w:szCs w:val="20"/>
        </w:rPr>
        <w:t>Avis</w:t>
      </w:r>
      <w:r w:rsidRPr="00BE0929">
        <w:rPr>
          <w:rFonts w:ascii="Adobe Garamond Pro" w:hAnsi="Adobe Garamond Pro"/>
          <w:sz w:val="20"/>
          <w:szCs w:val="20"/>
        </w:rPr>
        <w:t>) o hrvatskom zahtjevu s preporukom treba li s Hrvatskom započeti pregovore o punopravnom članstvu. Predsjednik Europske komisije Romano Prodi za svog posjeta Zagrebu 10. srpnja 2003. uručio je hrvatskom premijeru upitnik s oko 4.560 pitanja iz različitih područja funkcioniranja države, institucija, gospodarstva itd. Taj opsežan posao tzv. snimanja stanja u državi na kojem je nekoliko mjeseci (srpanj-listopad 2003.) radila cjelokupna državna uprava, završen je u predviđenom roku te su odgovori na upitnik uručeni Europskoj komisiji 9. listopada 2003. Hrvatska je uspješno odgovorila i na dodatnih 184 pitanja koja je Europska komisija naknadno uputila.</w:t>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ind w:firstLine="708"/>
        <w:jc w:val="both"/>
        <w:rPr>
          <w:rFonts w:ascii="Adobe Garamond Pro" w:hAnsi="Adobe Garamond Pro"/>
          <w:sz w:val="20"/>
          <w:szCs w:val="20"/>
        </w:rPr>
      </w:pPr>
      <w:r w:rsidRPr="00BE0929">
        <w:rPr>
          <w:rFonts w:ascii="Adobe Garamond Pro" w:hAnsi="Adobe Garamond Pro"/>
          <w:sz w:val="20"/>
          <w:szCs w:val="20"/>
        </w:rPr>
        <w:t>Temeljem hrvatskih odgovora, ali i drugih EU relevantnih izvora (mišljenje i preporuke raznih međunarodnih organizacija, pojedinih država članica i nečlanica EU i sl.) Europska komisija je 20. travnja 2004. donijela pozitivno mišljenje o hrvatskom zahtjevu za članstvo u EU.</w:t>
      </w:r>
      <w:r w:rsidRPr="00BE0929">
        <w:rPr>
          <w:rStyle w:val="FootnoteReference"/>
          <w:rFonts w:ascii="Adobe Garamond Pro" w:hAnsi="Adobe Garamond Pro"/>
          <w:sz w:val="20"/>
          <w:szCs w:val="20"/>
        </w:rPr>
        <w:footnoteReference w:id="15"/>
      </w:r>
    </w:p>
    <w:p w:rsidR="00BE0929" w:rsidRPr="00BE0929" w:rsidRDefault="00BE0929" w:rsidP="00BE0929">
      <w:pPr>
        <w:spacing w:after="0" w:line="240" w:lineRule="auto"/>
        <w:ind w:firstLine="708"/>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Paralelno s pozitivnim mišljenjem i preporukama Europska komisija je usvojila i Prijedlog europskog partnerstva za Hrvatsku. Taj dokument značajan je stoga što su u njemu popisani prioriteti i tempo izvršenja dodatnih priprema Hrvatske za članstvo u EU. Temeljem njihovog ispunjavanja procjenjivao se  hrvatski napredak prema članstvu.</w:t>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Na zasjedanju Europskog vijeća u Bruxellesu 18. lipnja 2004. Hrvatska je dobila status službenog kandidata za punopravno članstvo u EU, čime je Hrvatskoj otvorena i potvrđena jasna perspektiva punopravnog članstva u EU.</w:t>
      </w:r>
    </w:p>
    <w:p w:rsidR="00BE0929" w:rsidRPr="00BE0929" w:rsidRDefault="00BE0929" w:rsidP="00BE0929">
      <w:pPr>
        <w:spacing w:after="0" w:line="240" w:lineRule="auto"/>
        <w:jc w:val="both"/>
        <w:rPr>
          <w:rFonts w:ascii="Adobe Garamond Pro" w:hAnsi="Adobe Garamond Pro"/>
          <w:sz w:val="20"/>
          <w:szCs w:val="20"/>
        </w:rPr>
      </w:pPr>
    </w:p>
    <w:p w:rsid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 xml:space="preserve">U svojim Nacionalnim programima za pridruživanje EU, Hrvatska je svake godine iznova revidirala i utvrđivala prioritete i potrebite reforme društva u cilju postizanja veće kompatibilnosti sa standardima i zahtjevima EU. Ali ispunjavanje dodatnih političkih kriterija za članstvo u EU; potpuna suradnja s međunarodnim kaznenim sudom u Haagu, povratak svih izbjeglih tijekom rata i povrat privatne imovine, Republika Hrvatska odlučna je da ispuni dodatne političke kriterije za članstvo u EU: potpunu suradnju s međunarodnim kaznenim sudom u Haagu, povratak svih izbjeglih tijekom rata i povrat privatne imovine nailazili su na  kontinuirani otpor kako dijela političkih struktura tako i dijela građana zahvaćenih ratnim stradanjima na prostoru RH. </w:t>
      </w:r>
    </w:p>
    <w:p w:rsidR="00BE0929" w:rsidRPr="00BE0929" w:rsidRDefault="00BE0929" w:rsidP="00BE0929">
      <w:pPr>
        <w:spacing w:after="0" w:line="240" w:lineRule="auto"/>
        <w:jc w:val="both"/>
        <w:rPr>
          <w:rFonts w:ascii="Adobe Garamond Pro" w:hAnsi="Adobe Garamond Pro"/>
          <w:sz w:val="20"/>
          <w:szCs w:val="20"/>
        </w:rPr>
      </w:pPr>
    </w:p>
    <w:p w:rsidR="00BE0929" w:rsidRPr="00BE0929" w:rsidRDefault="00BE0929" w:rsidP="00BE0929">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Pr="00BE0929">
        <w:rPr>
          <w:rFonts w:ascii="Adobe Garamond Pro" w:hAnsi="Adobe Garamond Pro"/>
          <w:sz w:val="20"/>
          <w:szCs w:val="20"/>
        </w:rPr>
        <w:t xml:space="preserve">U toj fazi institucionalizacije odnosa na relaciji RH-EU često je spominjana 2007. godina kao godina kad bi RH zajedno sa Rumunjskom i Bugarskom mogla postati članicom EU.To se međutim  nije ostvarilo i hrvatski ulazak pomaknuo se za nekoliko sljedećih godina što je bilo vezano prvenstveno uz nedostatnu suradnju Hrvatske sa Hagom kao i slovensku obstrukciju zbog nerješenog statusa  granice  na moru. Uz sva nastojanja hrvatskih vlasti proces dogovaranja i pregovaranja s Europom iscrpljivao se oko zadržavanja  </w:t>
      </w:r>
      <w:r w:rsidRPr="00BE0929">
        <w:rPr>
          <w:rFonts w:ascii="Adobe Garamond Pro" w:hAnsi="Adobe Garamond Pro"/>
          <w:i/>
          <w:sz w:val="20"/>
          <w:szCs w:val="20"/>
        </w:rPr>
        <w:t>status quoa</w:t>
      </w:r>
      <w:r w:rsidRPr="00BE0929">
        <w:rPr>
          <w:rFonts w:ascii="Adobe Garamond Pro" w:hAnsi="Adobe Garamond Pro"/>
          <w:sz w:val="20"/>
          <w:szCs w:val="20"/>
        </w:rPr>
        <w:t>.  Tek nakon američkog čvršćeg angažiranja i odlučnog zagovaranja  SAD da Hrvatska uđe u NATO 2009. godine skinuta je slovenska blokada i pregovori s EU uspješno su krenuli s mrtve točke, Otvarala su  se i zatvarala pregovaračka poglavlja i  konačno 1. srpnja 2013. godine Hrvatska je primljena u članstvo Europske unije.</w:t>
      </w:r>
    </w:p>
    <w:p w:rsidR="00BE0929" w:rsidRPr="00BE0929" w:rsidRDefault="00BE0929" w:rsidP="00BE0929">
      <w:pPr>
        <w:pStyle w:val="NoSpacing"/>
        <w:jc w:val="both"/>
        <w:rPr>
          <w:rFonts w:ascii="Adobe Garamond Pro" w:hAnsi="Adobe Garamond Pro"/>
          <w:b/>
          <w:sz w:val="20"/>
          <w:szCs w:val="20"/>
        </w:rPr>
      </w:pPr>
    </w:p>
    <w:p w:rsidR="00BE0929" w:rsidRPr="00BE0929" w:rsidRDefault="00BE0929" w:rsidP="00BE0929">
      <w:pPr>
        <w:pStyle w:val="NoSpacing"/>
        <w:jc w:val="both"/>
        <w:rPr>
          <w:rFonts w:ascii="Adobe Garamond Pro" w:hAnsi="Adobe Garamond Pro"/>
          <w:b/>
        </w:rPr>
      </w:pPr>
      <w:r w:rsidRPr="00BE0929">
        <w:rPr>
          <w:rFonts w:ascii="Adobe Garamond Pro" w:hAnsi="Adobe Garamond Pro"/>
          <w:b/>
        </w:rPr>
        <w:t>Potreba za jačanjem euroatlantizma na Zapadnom Balkanu</w:t>
      </w:r>
    </w:p>
    <w:p w:rsidR="00BE0929" w:rsidRPr="00BE0929" w:rsidRDefault="00BE0929" w:rsidP="00BE0929">
      <w:pPr>
        <w:pStyle w:val="NoSpacing"/>
        <w:jc w:val="both"/>
        <w:rPr>
          <w:rFonts w:ascii="Adobe Garamond Pro" w:hAnsi="Adobe Garamond Pro"/>
          <w:b/>
          <w:sz w:val="20"/>
          <w:szCs w:val="20"/>
        </w:rPr>
      </w:pPr>
    </w:p>
    <w:p w:rsidR="00BE0929" w:rsidRP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Vrijeme  četvrtog kruga posthladnoratovskog širenja Europske unije (1. srpanj 2013.) obilježeno je globalnom financijsko-gospodarskom krizom koja se u velikoj mjeri pokazala  kao dodatni faktor narušavanja   ukupnih odnosa između tadašnjih članica Europske unije i njihove intenzivnije želje za propitkivanjem ne samo svrsishodnosti  politike proširenja te organizacije već i pitanjem njezine funkcionalnosti, institucionalne organiziranosti pa i opstojnosti u dotadašnjem obliku.</w:t>
      </w:r>
      <w:r w:rsidRPr="00BE0929">
        <w:rPr>
          <w:rStyle w:val="FootnoteReference"/>
          <w:rFonts w:ascii="Adobe Garamond Pro" w:hAnsi="Adobe Garamond Pro"/>
          <w:sz w:val="20"/>
          <w:szCs w:val="20"/>
        </w:rPr>
        <w:footnoteReference w:id="16"/>
      </w:r>
      <w:r w:rsidRPr="00BE0929">
        <w:rPr>
          <w:rFonts w:ascii="Adobe Garamond Pro" w:hAnsi="Adobe Garamond Pro"/>
          <w:sz w:val="20"/>
          <w:szCs w:val="20"/>
        </w:rPr>
        <w:t>S druge pak strane NATO nakon svog  posljednjeg širenja (2009) zbog globalnih izazova sigurnosti  prednost daje uspostavljanju najrazličitijih oblika partnerskih odnosa koji mu omogućavaju dobivanje funkcionalnih saveznika širom svijeta.</w:t>
      </w:r>
      <w:r w:rsidRPr="00BE0929">
        <w:rPr>
          <w:rStyle w:val="FootnoteReference"/>
          <w:rFonts w:ascii="Adobe Garamond Pro" w:hAnsi="Adobe Garamond Pro"/>
          <w:sz w:val="20"/>
          <w:szCs w:val="20"/>
        </w:rPr>
        <w:footnoteReference w:id="17"/>
      </w:r>
      <w:r w:rsidRPr="00BE0929">
        <w:rPr>
          <w:rFonts w:ascii="Adobe Garamond Pro" w:hAnsi="Adobe Garamond Pro"/>
          <w:sz w:val="20"/>
          <w:szCs w:val="20"/>
        </w:rPr>
        <w:t>Politika otvorenih vrata ipak je usmjerena na NATO-u susjedne zemlje čime se teritorijalno proširuje euroatlantski prostor, ali ne dobivaju uporišne točke za djelovanje u globalnim razmjerima. Ono što ohrabruje  zemlje Zapadnog Balkana je činjenica da obje organizacije nisu niti u jednom svom dokumentu deklarirale kako prestaju ili ukidaju politiku proširenja kao jednu od svojih internih politika. Ukupne međunarodne okolnosti, kao i aktualni interni problemi tih organizacija trenutno su spustili politiku proširenja na listi prioriteta  kako NATO-a tako isto i EU. Stoga RH mora pronaći saveznike unutar tih organizacija i kontinuirano se zalagati da se,kada se ispune odgovarajući  interni i ekterni uvjeti, nastavi sa primanjem u punopravno članstvo NATO-a i EU novih država upravo s područja šireg hrvatskog susjedstva , odnosno ostatka Zapadnog Balkana. Naravno pod uvjetom da zemlje te regije žele članstvo u europskom i euroatlantskom krugu zemalja. Prethodno prikazan težak i specifičan  hrvatski put (pogotovo za članstvo u EU) treba dodatno osvjestiti susjednim zemljama da ulazak nije lak, ali nije ni neostvariv, ako postoji kontinuirana politička volja i ako se ispunjavaju traženi kriteriji. Upravo o ispunjenju kriterija ovisit će političke odluke u Bruxellesu (pogotovo to vrijedi za EU) gdje najnovija događanja oko i s Ruskom federacijom favoriziraju ostatak zemalja postsocijaističke Europe. I NATO i EU s njima već imaju (uostalom kao i sa zemljama Zapadnog Balkana) uspostavljene institucionalne oblike suradnje.</w:t>
      </w:r>
    </w:p>
    <w:p w:rsidR="00BE0929" w:rsidRDefault="00BE0929" w:rsidP="00BE0929">
      <w:pPr>
        <w:pStyle w:val="NoSpacing"/>
        <w:jc w:val="both"/>
        <w:rPr>
          <w:rFonts w:ascii="Adobe Garamond Pro" w:hAnsi="Adobe Garamond Pro"/>
          <w:sz w:val="20"/>
          <w:szCs w:val="20"/>
        </w:rPr>
      </w:pPr>
      <w:r w:rsidRPr="00BE0929">
        <w:rPr>
          <w:rFonts w:ascii="Adobe Garamond Pro" w:hAnsi="Adobe Garamond Pro"/>
          <w:sz w:val="20"/>
          <w:szCs w:val="20"/>
        </w:rPr>
        <w:lastRenderedPageBreak/>
        <w:t xml:space="preserve"> Dinamika međunarodnih odnosa pokazat će koja skupina zemalja će dobiti prednost, ali upravo sada je vrijeme da se zemlje aspirantice za članstvo u NATO i EU dodatno afirmiraju i iskažu ne samo svoj interes već i konkretno učinjeno na planu reformi svojih društava.  </w:t>
      </w:r>
    </w:p>
    <w:p w:rsidR="00BE0929" w:rsidRPr="00BE0929" w:rsidRDefault="00BE0929" w:rsidP="00BE0929">
      <w:pPr>
        <w:pStyle w:val="NoSpacing"/>
        <w:jc w:val="both"/>
        <w:rPr>
          <w:rFonts w:ascii="Adobe Garamond Pro" w:hAnsi="Adobe Garamond Pro"/>
          <w:b/>
          <w:sz w:val="20"/>
          <w:szCs w:val="20"/>
        </w:rPr>
      </w:pPr>
      <w:r w:rsidRPr="00BE0929">
        <w:rPr>
          <w:rFonts w:ascii="Adobe Garamond Pro" w:hAnsi="Adobe Garamond Pro"/>
          <w:sz w:val="20"/>
          <w:szCs w:val="20"/>
        </w:rPr>
        <w:t xml:space="preserve"> </w:t>
      </w:r>
    </w:p>
    <w:p w:rsidR="00BE0929" w:rsidRDefault="00BE0929" w:rsidP="00BE0929">
      <w:pPr>
        <w:spacing w:after="0" w:line="240" w:lineRule="auto"/>
        <w:ind w:firstLine="709"/>
        <w:jc w:val="both"/>
        <w:rPr>
          <w:rFonts w:ascii="Adobe Garamond Pro" w:hAnsi="Adobe Garamond Pro"/>
          <w:sz w:val="20"/>
          <w:szCs w:val="20"/>
        </w:rPr>
      </w:pPr>
      <w:r w:rsidRPr="00BE0929">
        <w:rPr>
          <w:rFonts w:ascii="Adobe Garamond Pro" w:hAnsi="Adobe Garamond Pro"/>
          <w:sz w:val="20"/>
          <w:szCs w:val="20"/>
        </w:rPr>
        <w:t>Treba naglasiti da je euroskepticizam izraženiji u EU nego u NATO-u Protivnici širenja EU naglašavaju kako trenutno samo siromašne zemlje žele članstvo.</w:t>
      </w:r>
      <w:r w:rsidRPr="00BE0929">
        <w:rPr>
          <w:rStyle w:val="FootnoteReference"/>
          <w:rFonts w:ascii="Adobe Garamond Pro" w:hAnsi="Adobe Garamond Pro"/>
          <w:sz w:val="20"/>
          <w:szCs w:val="20"/>
        </w:rPr>
        <w:footnoteReference w:id="18"/>
      </w:r>
      <w:r w:rsidRPr="00BE0929">
        <w:rPr>
          <w:rFonts w:ascii="Adobe Garamond Pro" w:hAnsi="Adobe Garamond Pro"/>
          <w:sz w:val="20"/>
          <w:szCs w:val="20"/>
        </w:rPr>
        <w:t>Glavni argumenti protiv širenja EU polaze od činjenica kako usprkos svih potrebnih reformi društava zemalja koje trenutno žele ući u EU, u konačnici, pri eventualnom njihovom primanju, za očekivati je da će te zemlje ukupno opet biti mnogo slabije od standarda članica Unije,  što bi ponovno  dodatno destabiliziralo i oslabilo Europsku uniju.</w:t>
      </w:r>
    </w:p>
    <w:p w:rsidR="00BE0929" w:rsidRPr="00BE0929" w:rsidRDefault="00BE0929" w:rsidP="00BE0929">
      <w:pPr>
        <w:spacing w:after="0" w:line="240" w:lineRule="auto"/>
        <w:ind w:firstLine="709"/>
        <w:jc w:val="both"/>
        <w:rPr>
          <w:rFonts w:ascii="Adobe Garamond Pro" w:hAnsi="Adobe Garamond Pro"/>
          <w:sz w:val="20"/>
          <w:szCs w:val="20"/>
        </w:rPr>
      </w:pPr>
    </w:p>
    <w:p w:rsidR="00BE0929" w:rsidRDefault="00BE0929" w:rsidP="00BE0929">
      <w:pPr>
        <w:pStyle w:val="NoSpacing"/>
        <w:ind w:firstLine="709"/>
        <w:jc w:val="both"/>
        <w:rPr>
          <w:rFonts w:ascii="Adobe Garamond Pro" w:hAnsi="Adobe Garamond Pro"/>
          <w:sz w:val="20"/>
          <w:szCs w:val="20"/>
        </w:rPr>
      </w:pPr>
      <w:r w:rsidRPr="00BE0929">
        <w:rPr>
          <w:rFonts w:ascii="Adobe Garamond Pro" w:hAnsi="Adobe Garamond Pro"/>
          <w:sz w:val="20"/>
          <w:szCs w:val="20"/>
        </w:rPr>
        <w:t>Neposredno pred hrvatski ulazak članovi određenih interesnih skupina, ali i dio zastupnika u Europskom parlamentu tražili su čak i mogućnost da se u narednom desetljeću nakon Hrvatske ne primi niti jedna zemlja</w:t>
      </w:r>
      <w:r w:rsidRPr="00BE0929">
        <w:rPr>
          <w:rStyle w:val="FootnoteReference"/>
          <w:rFonts w:ascii="Adobe Garamond Pro" w:hAnsi="Adobe Garamond Pro"/>
          <w:sz w:val="20"/>
          <w:szCs w:val="20"/>
        </w:rPr>
        <w:footnoteReference w:id="19"/>
      </w:r>
      <w:r w:rsidRPr="00BE0929">
        <w:rPr>
          <w:rFonts w:ascii="Adobe Garamond Pro" w:hAnsi="Adobe Garamond Pro"/>
          <w:sz w:val="20"/>
          <w:szCs w:val="20"/>
        </w:rPr>
        <w:t xml:space="preserve">. Ipak, tako radikalni zahtjevi kasnije su revidirani i upravo na prostoru ostatka Zapadnog Balkana vidlljivi su pomaci u, istina sporom, ali ipak postojećem institucionalnom približavanju zemalja te regije sa Europskom unijom. (Kosovo, Srbija). Događanja u Ukrajini aktualizirala su i tu zemlju kao potencijalnu aspiranticu za članstvo u EU. EU nije iskazala odlučnost da u početku krize politički, jedinstveno i što je još važnije gospodarski, financijski i energetski snažno podupre vlasti u Kijevu (bivšu Janukovićevu prije njegovog nepotpisisvanja Sporazuma o pridruživanju Ukrajine sa EU, kao i trenutnu   privremenu novu vladu) Ukrajina je u konačnici dobila Sporazum o pridruživanju sa EU, dio potrebne financijske pomoći, ali proći će dugo vremena dok se ta teritorijalno velika zemlja na izuzetno značajnom geostrateškom prostoru razmeđe Europe i Azije, gdje se snažno prelamaju interesi euroatlantskih saveznika i eruopskih saveznika i Ruske federacije, ali i ukupni američko-ruski odnosi, stabilizira i stekne uvjete za institucionalno približavanje bilo NATO-u bilo EU u cilju punopravnog članstva. Istina, još dugo će i NATO i EU trošiti vrijeme na političke pregovore, angažirati svoje konkretne ljudske i materijalne potencijale  i gospodarske resurse na Ukrajinu i njezino susjedstvo, ali Ukrajina danas još ne predstavlja realnu konkurenciju zemljama Zapadnog Balkana na njihovom putu u članstvo u NATO i EU.S obzirom na iznalaženje političkog rješenja (najavljena federalizacija Ukrajine i traženje konstitutivnog rješenja) očito je da i ovaj put </w:t>
      </w:r>
      <w:r w:rsidRPr="00BE0929">
        <w:rPr>
          <w:rFonts w:ascii="Adobe Garamond Pro" w:hAnsi="Adobe Garamond Pro"/>
          <w:sz w:val="20"/>
          <w:szCs w:val="20"/>
        </w:rPr>
        <w:lastRenderedPageBreak/>
        <w:t>usprkos oštre retorike i smanjenja  međusobnih angažmana, i NATO i EU i dalje vode računa o interesima Ruske federacije. To se posebno odnosi na  NATO.</w:t>
      </w:r>
    </w:p>
    <w:p w:rsidR="00BE0929" w:rsidRPr="00BE0929" w:rsidRDefault="00BE0929" w:rsidP="00BE0929">
      <w:pPr>
        <w:pStyle w:val="NoSpacing"/>
        <w:ind w:firstLine="709"/>
        <w:jc w:val="both"/>
        <w:rPr>
          <w:rFonts w:ascii="Adobe Garamond Pro" w:hAnsi="Adobe Garamond Pro"/>
          <w:sz w:val="20"/>
          <w:szCs w:val="20"/>
        </w:rPr>
      </w:pPr>
    </w:p>
    <w:p w:rsidR="00BE0929" w:rsidRDefault="00BE0929" w:rsidP="00BE0929">
      <w:pPr>
        <w:pStyle w:val="NoSpacing"/>
        <w:ind w:firstLine="708"/>
        <w:jc w:val="both"/>
        <w:rPr>
          <w:rFonts w:ascii="Adobe Garamond Pro" w:hAnsi="Adobe Garamond Pro"/>
          <w:sz w:val="20"/>
          <w:szCs w:val="20"/>
        </w:rPr>
      </w:pPr>
      <w:r w:rsidRPr="00BE0929">
        <w:rPr>
          <w:rFonts w:ascii="Adobe Garamond Pro" w:hAnsi="Adobe Garamond Pro"/>
          <w:sz w:val="20"/>
          <w:szCs w:val="20"/>
        </w:rPr>
        <w:t xml:space="preserve">Redefiniranje odnosa sa Ruskom federacijom i situacija u Ukrajini intenzivirala je i promišljanja o proširenju u NATO-u koji je nakon dugo vremena ponovno suočen sa krizom (hard i soft power) na euroatlantskom prostoru, a ne negdje daleko od svojih euroatlantskih granica. Vraćanje u vlastito dvorište, geopolitički i i geostrategijki opet na europski prostor koji je  kolijevka euroatlantizma, osnažilo je težnju kod pojedinih članica te organizacije  za  učvrščivanjem svojih pozicija i mogućim pridobivanjem novih saveznica, pogotovo onih zakoje i Ruska federacija pokazuje svekolike interese. (Crna Gora). Otvoreno je pitanje hoće li ta mala zemlja kojoj NATO najviše zamjera  nedovoljan stupanj izvršenih reformi sigurnosno-obavještajnog sustava, dobiti poziv za članstvo na predstojećem summitu  NATO-a u Walesu u septembru ove godine. Čak ako se to i ne dogodi na summitu ostavljena je mogućnost da se poziv Podgorici uputi između dva službena summita što je novost u politici posthladnoratovskog širenja NATO-a.   </w:t>
      </w:r>
    </w:p>
    <w:p w:rsidR="00BE0929" w:rsidRPr="00BE0929" w:rsidRDefault="00BE0929" w:rsidP="00BE0929">
      <w:pPr>
        <w:pStyle w:val="NoSpacing"/>
        <w:ind w:firstLine="708"/>
        <w:jc w:val="both"/>
        <w:rPr>
          <w:rFonts w:ascii="Adobe Garamond Pro" w:hAnsi="Adobe Garamond Pro"/>
          <w:sz w:val="20"/>
          <w:szCs w:val="20"/>
        </w:rPr>
      </w:pPr>
    </w:p>
    <w:p w:rsidR="00BE0929" w:rsidRDefault="00BE0929" w:rsidP="00BE0929">
      <w:pPr>
        <w:pStyle w:val="NoSpacing"/>
        <w:ind w:firstLine="708"/>
        <w:jc w:val="both"/>
        <w:rPr>
          <w:rFonts w:ascii="Adobe Garamond Pro" w:hAnsi="Adobe Garamond Pro"/>
          <w:sz w:val="20"/>
          <w:szCs w:val="20"/>
        </w:rPr>
      </w:pPr>
      <w:r w:rsidRPr="00BE0929">
        <w:rPr>
          <w:rFonts w:ascii="Adobe Garamond Pro" w:hAnsi="Adobe Garamond Pro"/>
          <w:sz w:val="20"/>
          <w:szCs w:val="20"/>
        </w:rPr>
        <w:t>Treba napomenti kako sve zemlje Zapadnog Balkana (osim Kosova sa NATO-om) imaju određeni institucionalni odnos suradnje kako sa NATO-om tako i sa EU.</w:t>
      </w:r>
      <w:r w:rsidRPr="00BE0929">
        <w:rPr>
          <w:rStyle w:val="FootnoteReference"/>
          <w:rFonts w:ascii="Adobe Garamond Pro" w:hAnsi="Adobe Garamond Pro"/>
          <w:sz w:val="20"/>
          <w:szCs w:val="20"/>
        </w:rPr>
        <w:footnoteReference w:id="20"/>
      </w:r>
      <w:r w:rsidRPr="00BE0929">
        <w:rPr>
          <w:rFonts w:ascii="Adobe Garamond Pro" w:hAnsi="Adobe Garamond Pro"/>
          <w:sz w:val="20"/>
          <w:szCs w:val="20"/>
        </w:rPr>
        <w:t xml:space="preserve"> Čak i Srbija koja je proklamirala  vojnu neutralnost  nije  izašla iz NATO-vog programa Partnerstvo za mir. Različiti su mehanizmi EU i NATO-a   koje te organizacije koriste  za suradnju sa zemljama Zapadnog Balkana, od  EU  Sporazuma o stabilizaciji i pridruživanju, statusa kanidata, zemlje koja je započela pregovore o članstvu u EU, preko NATO-vog programa Partnerstva za mir, Akcijskog plana za članstvo, punopravnog članstva (Albanija). Svaka zemlja procjenjuje se individualno i dobila je konkretne smjernice od NATO-a i EU u kom pravcu treba intenzivirati i provoditi reforme svog društva. Svakako da je ulazak u svaku organizaciju dvosmjeran proces, te osim ispunjenosti  kriterija zemlje aspirantice i dosegnutog stupnja demokratizacije društva i gospodarske stabilizacije ovisi  i o spremnosti  organizacije da otvori svoja vrata novim članicama. Nedovršeni procesi na prostoru Zapadnog Balkana (Kosovo/Srbija, BiH, Makedonija), kriza u Ukrajini, povlačenje međunarodnih snaga IFOR-a predvođenih NATO-omiz Afganistana krajem 2014. godine  pružaju međunarodni okvir za jačanje EU koncepta Zajedničke vanjske i sigurnse politike kao i definiranje nove uloge Saveza. Analizrano stog aspektai NATO i EU nalaze se na svojevrsnoj prekretnici i sada imaju priliku izaći iz prevladavajuće politike krize identiteta ili skepticizma i upravo pokazujući spremnost i snagu da ojačaju svoje oblike veza sa aspiranticama za članstvo  ojačaju euroatlantizam kao proces regionalnog funkcionalnog integriranja europskog i euroatlantskog svijeta.</w:t>
      </w:r>
      <w:r w:rsidRPr="00BE0929">
        <w:rPr>
          <w:rStyle w:val="FootnoteReference"/>
          <w:rFonts w:ascii="Adobe Garamond Pro" w:hAnsi="Adobe Garamond Pro"/>
          <w:sz w:val="20"/>
          <w:szCs w:val="20"/>
        </w:rPr>
        <w:footnoteReference w:id="21"/>
      </w:r>
    </w:p>
    <w:p w:rsidR="00BE0929" w:rsidRPr="00BE0929" w:rsidRDefault="00BE0929" w:rsidP="00BE0929">
      <w:pPr>
        <w:pStyle w:val="NoSpacing"/>
        <w:ind w:firstLine="708"/>
        <w:jc w:val="both"/>
        <w:rPr>
          <w:rFonts w:ascii="Adobe Garamond Pro" w:hAnsi="Adobe Garamond Pro"/>
          <w:sz w:val="20"/>
          <w:szCs w:val="20"/>
        </w:rPr>
      </w:pPr>
    </w:p>
    <w:p w:rsidR="00BE0929" w:rsidRDefault="00BE0929" w:rsidP="00BE0929">
      <w:pPr>
        <w:pStyle w:val="NoSpacing"/>
        <w:ind w:firstLine="708"/>
        <w:jc w:val="both"/>
        <w:rPr>
          <w:rFonts w:ascii="Adobe Garamond Pro" w:hAnsi="Adobe Garamond Pro"/>
          <w:sz w:val="20"/>
          <w:szCs w:val="20"/>
        </w:rPr>
      </w:pPr>
      <w:r w:rsidRPr="00BE0929">
        <w:rPr>
          <w:rFonts w:ascii="Adobe Garamond Pro" w:hAnsi="Adobe Garamond Pro"/>
          <w:sz w:val="20"/>
          <w:szCs w:val="20"/>
        </w:rPr>
        <w:t xml:space="preserve"> Taj kontekst  svakako bi trebala iskoristiti i Republika Hrvatska, tim više što je čim je postatla dvadesetiosma članica Europske unije,kao svoj cilj djelovanja unutar Unije </w:t>
      </w:r>
      <w:r w:rsidRPr="00BE0929">
        <w:rPr>
          <w:rFonts w:ascii="Adobe Garamond Pro" w:hAnsi="Adobe Garamond Pro"/>
          <w:sz w:val="20"/>
          <w:szCs w:val="20"/>
        </w:rPr>
        <w:lastRenderedPageBreak/>
        <w:t>odredilaupravo podupiranje procesa širenja Unije na zemlje ostatka Zapadnog Balkana. Na taj način Republika Hrvastka će  ostvarivati  kontinuitet svoje unutarnje politike na europskom planu, a NATO i Europska unija dobit će članicu koja u mnogim parametrima može pomoći ostatku zemalja  Zapadnog Balkana na njihovom putu prema euroatlantizmu.</w:t>
      </w:r>
    </w:p>
    <w:p w:rsidR="00BE0929" w:rsidRPr="00BE0929" w:rsidRDefault="00BE0929" w:rsidP="00BE0929">
      <w:pPr>
        <w:pStyle w:val="NoSpacing"/>
        <w:ind w:firstLine="708"/>
        <w:jc w:val="both"/>
        <w:rPr>
          <w:rFonts w:ascii="Adobe Garamond Pro" w:hAnsi="Adobe Garamond Pro"/>
          <w:sz w:val="20"/>
          <w:szCs w:val="20"/>
        </w:rPr>
      </w:pPr>
    </w:p>
    <w:p w:rsidR="00BE0929" w:rsidRDefault="00BE0929" w:rsidP="00BE0929">
      <w:pPr>
        <w:pStyle w:val="NoSpacing"/>
        <w:ind w:firstLine="708"/>
        <w:jc w:val="both"/>
        <w:rPr>
          <w:rFonts w:ascii="Adobe Garamond Pro" w:hAnsi="Adobe Garamond Pro"/>
          <w:sz w:val="20"/>
          <w:szCs w:val="20"/>
        </w:rPr>
      </w:pPr>
      <w:r w:rsidRPr="00BE0929">
        <w:rPr>
          <w:rFonts w:ascii="Adobe Garamond Pro" w:hAnsi="Adobe Garamond Pro"/>
          <w:sz w:val="20"/>
          <w:szCs w:val="20"/>
        </w:rPr>
        <w:t>Od svih postsocijalsitičkih novih članica NATO-a i Europske unije Hrvatska je prva postkonfliktna zemlja koja je primljena u te organizacije.To dokazuje Srbiji i Bosni i Hercegovini, koje su osobno bile involvirane u nedavne   oružane  sukobe, ali i svim ostalim zemljama Zapadnog Balkana koje su na nešto blaži način direktno ili indirektno trpjele posljedice ratnih izbivanja  na ovim prostorima, da je i to moguće. Bez obzira na iskazivane opstrukcije pojedinih političkih elita te zamora građana  dugotrajnošću procesa pregovaranja i nametanja dodatniih kriterija vezanih uz normalizaciju života u vremenima nakon rata (suradnja s Međunarodnim tribunalom u Hagu, uspostava uvjeta za normalizaciju života izbjeglih i prognanih, povrat privatne imovine i sl.) u konačnici Hrvatska je ipak uspjela. Ispunjavajući  te dodatne, specifične kriterije Hrvatska je ujedno jačala i reforme vezane uz efiksnije ustrojstvo i funkcioniranje pravne države, poštivanje ljudskih prava i demokratskih standarda cjelokupnog svog društva. Ti tzv. političko-demokratski kriteriji nužni su i za ulazak  svake postsocijalističke zemlje u NATO. Osim Srbije, danas sve zemlje Zapadnog Balkana žele članstvo u Sjevernoatlantskom savezu.  Ulaskom tih zemalja u NATO i EU i na tom dijelu Europe formirat  će se sigurnosna zajednica demokratskih zemalja  u kojoj nije vjerojatno da će ponovno doći  do krvavih oružanih međusobnih sukoba s kakvima je prostor Zapadnog Balkana bio suočen nakon raspada bivše države. U takvoj sigurnosnoj zajednici, čiju okosnicu čine NATO i Europska unija, mnogo bezbolnije bi se rješavala i većina  još nedovršenih, latentnih kriza na ovim prostorima (pitanje međusobnih granica, prava etničkih manjina, asimetrični izazovi sigurnosti).</w:t>
      </w:r>
    </w:p>
    <w:p w:rsidR="00BE0929" w:rsidRPr="00BE0929" w:rsidRDefault="00BE0929" w:rsidP="00BE0929">
      <w:pPr>
        <w:pStyle w:val="NoSpacing"/>
        <w:ind w:firstLine="708"/>
        <w:jc w:val="both"/>
        <w:rPr>
          <w:rFonts w:ascii="Adobe Garamond Pro" w:hAnsi="Adobe Garamond Pro"/>
          <w:sz w:val="20"/>
          <w:szCs w:val="20"/>
        </w:rPr>
      </w:pPr>
    </w:p>
    <w:p w:rsidR="00BE0929" w:rsidRDefault="00BE0929" w:rsidP="00BE0929">
      <w:pPr>
        <w:pStyle w:val="NoSpacing"/>
        <w:ind w:firstLine="708"/>
        <w:jc w:val="both"/>
        <w:rPr>
          <w:rFonts w:ascii="Adobe Garamond Pro" w:hAnsi="Adobe Garamond Pro"/>
          <w:sz w:val="20"/>
          <w:szCs w:val="20"/>
        </w:rPr>
      </w:pPr>
      <w:r w:rsidRPr="00BE0929">
        <w:rPr>
          <w:rFonts w:ascii="Adobe Garamond Pro" w:hAnsi="Adobe Garamond Pro"/>
          <w:sz w:val="20"/>
          <w:szCs w:val="20"/>
        </w:rPr>
        <w:t xml:space="preserve"> Zagovaranje politike daljnjeg širenja EU na zemlje Zapadnog Balkana moglo bi učvrstiti i Zajedničku vanjsku i sigurnosnu pplitiku EU,(uključujući i koncept tzv. europske diplomacije) s čijom realizacijom EU ima velikih problema na način da se kroz mehanizme Zajedničke vanjske i sigurnosne politike Europske unije više pridonosi  jačanju sigurnosti i stabilnosti regije jugoistočne Europe (to je još aktualnije s obzirom da Srbija ne želi u NATO) Članstvom u EU zemlje koje su nekada bili glavni primatelji međunarodne pomoći na sigurnosnom planu (u nekim zemljama Zapadnog Balkana još uvijek su prisutne  međunarodne snage, uključujuči i snage EU) imaju mogućnost postati donatori europske i međunarodne sigurnosti. I prije nego je postala članica Europske unije Republika Hrvatska je sudjelovala u mirovnim misijama pod njeziim mandatom (Čad, Kosovo, Somalijske vode...). Sličnu praksu provode i neke od zemalja Zapadnog Balkana. S obzirom da se radi ipak o relativno malim zemljama, s kompleksnim geostrategijskim položajem  (posebno u odnosu na suvremena zbivanja u široj regiji Mediterana)  ulaskom u EU zemlje Zapadnog Balkana dobivaju mogućnost sukreiranja Zajedničke vanjske i sigurnosne politike EU, ali i okvir za reforme nacionalnih sigurnosnih sustava te svakako mnogo veće mogućnosti djelovanja na sigurnosm planu. Ne treba bježati od činjenice da sudjelovanjem u mirovnim </w:t>
      </w:r>
      <w:r w:rsidRPr="00BE0929">
        <w:rPr>
          <w:rFonts w:ascii="Adobe Garamond Pro" w:hAnsi="Adobe Garamond Pro"/>
          <w:sz w:val="20"/>
          <w:szCs w:val="20"/>
        </w:rPr>
        <w:lastRenderedPageBreak/>
        <w:t>operacijama,pogotovo u nekim dijelovima svijeta, zemlje članice EU mogu biti izloženije nekim asimetričnim izazovima  sigurnosti (teoristički napadi), no ulaskom u svaki sustav kolektivne sigurnosti (UN, NATO, Zajednička vanjska i sigurnosna politika EU)  postoji taj rizik i članice  sustava ga moraju prihvatiti.</w:t>
      </w:r>
    </w:p>
    <w:p w:rsidR="00BE0929" w:rsidRPr="00BE0929" w:rsidRDefault="00BE0929" w:rsidP="00BE0929">
      <w:pPr>
        <w:pStyle w:val="NoSpacing"/>
        <w:ind w:firstLine="708"/>
        <w:jc w:val="both"/>
        <w:rPr>
          <w:rFonts w:ascii="Adobe Garamond Pro" w:hAnsi="Adobe Garamond Pro"/>
          <w:sz w:val="20"/>
          <w:szCs w:val="20"/>
        </w:rPr>
      </w:pPr>
    </w:p>
    <w:p w:rsid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Na unutarnjepolitičkom planu ulazak Republike Hrvatske u NATO/ Europsku uniju potvrda je ispravnosti hrvatske politike u cilju reformi cjelokupnog duštva. Hrvatska se ponajprije mora transformirati zbog sebe same, a ne zbog pritisaka izvana ili želje za ulaskom u neku od zapadnoeuropskih integracija. Tu poruku Hrvatska treba jasno prenijeti zemljama Zapadnog Balkana. Žele li članstvo u NATOi EU one moraju razvijati međusobne dobrosusjedske odnose te uspostavljati i održavati  funkcionalnu regionalnu suradnju. Na taj način pokazat će i euroatlantskom svijetu da će jednog dana, kada uđu, biti sposobne  međusobno surađivati i sa tim zemljama.</w:t>
      </w:r>
    </w:p>
    <w:p w:rsidR="00BE0929" w:rsidRPr="00BE0929" w:rsidRDefault="00BE0929" w:rsidP="00BE0929">
      <w:pPr>
        <w:pStyle w:val="NoSpacing"/>
        <w:jc w:val="both"/>
        <w:rPr>
          <w:rFonts w:ascii="Adobe Garamond Pro" w:hAnsi="Adobe Garamond Pro"/>
          <w:sz w:val="20"/>
          <w:szCs w:val="20"/>
        </w:rPr>
      </w:pPr>
    </w:p>
    <w:p w:rsid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Ulaskom u EU RH je izgubila povoljnosti tržišta zemalja CEFTE</w:t>
      </w:r>
      <w:r w:rsidRPr="00BE0929">
        <w:rPr>
          <w:rStyle w:val="FootnoteReference"/>
          <w:rFonts w:ascii="Adobe Garamond Pro" w:hAnsi="Adobe Garamond Pro"/>
          <w:sz w:val="20"/>
          <w:szCs w:val="20"/>
        </w:rPr>
        <w:footnoteReference w:id="22"/>
      </w:r>
      <w:r w:rsidRPr="00BE0929">
        <w:rPr>
          <w:rFonts w:ascii="Adobe Garamond Pro" w:hAnsi="Adobe Garamond Pro"/>
          <w:sz w:val="20"/>
          <w:szCs w:val="20"/>
        </w:rPr>
        <w:t xml:space="preserve"> i sada bilateralnim ugovorima pokušava nastaviti nekadašnje  gospodarske veze sa zemljama Zapadnog Balkana. Svima je jasno da je RH mnogo lakše gospodarski surađivati i opstati na tržištima nekadašnje zajedničke države (jezik, poznavanje proizvoda, marketing, kompetitivnost) nego osvajati tržiše EU koje postaje sve ograničenije  zbog krize.  Širenjem tržišta EU na zemlje Zapadnog Balkana, uz prihvaćanjei poštivanje svih zajedničkih internih politika, normi i pravila ponašanja EU, specifično  povijesno, kulturno, gospodarsko, trgovačko nasljeđe i veze, kao i fizička blizina tržišta, pogodovale bi gospodarstvima svih zemalja Zapadnog Balkana kada bi ponovno bila inkorporirana u zajedničko tržište. Gospodarske beneficije od članstva u NATO-u teško su mjerljive, vojna industrija svakako ima najveće mogućnosti svog prodora na nova tržišta članica Saveza, ali  Savez  svakako daje psihološki osjećaj sigurnosti potencijalnim investitorima.   </w:t>
      </w:r>
    </w:p>
    <w:p w:rsidR="00BE0929" w:rsidRPr="00BE0929" w:rsidRDefault="00BE0929" w:rsidP="00BE0929">
      <w:pPr>
        <w:pStyle w:val="NoSpacing"/>
        <w:jc w:val="both"/>
        <w:rPr>
          <w:rFonts w:ascii="Adobe Garamond Pro" w:hAnsi="Adobe Garamond Pro"/>
          <w:sz w:val="20"/>
          <w:szCs w:val="20"/>
        </w:rPr>
      </w:pPr>
    </w:p>
    <w:p w:rsidR="00BE0929" w:rsidRDefault="00BE0929" w:rsidP="00BE0929">
      <w:pPr>
        <w:pStyle w:val="NoSpacing"/>
        <w:jc w:val="both"/>
        <w:rPr>
          <w:rFonts w:ascii="Adobe Garamond Pro" w:hAnsi="Adobe Garamond Pro"/>
          <w:sz w:val="20"/>
          <w:szCs w:val="20"/>
        </w:rPr>
      </w:pPr>
      <w:r w:rsidRPr="00BE0929">
        <w:rPr>
          <w:rFonts w:ascii="Adobe Garamond Pro" w:hAnsi="Adobe Garamond Pro"/>
          <w:sz w:val="20"/>
          <w:szCs w:val="20"/>
        </w:rPr>
        <w:tab/>
        <w:t xml:space="preserve">I na kraju, Republika Hrvatska je danas rubna članica Europske unije, zemlja koja čuva njezinu izuzetno dugačku granicu. Ušavši u Uniju RH je dobila problem vlastite eksteritorijalnosti (nerješeno pitanje izlaska BiH na Jadransko more i s tim povezano pitanje granice RH s BiH, fizička odvojenost Dubrovačko-neretvanske županije od ostatka Republike Hrvatske). Širenje Europske unije na zemlje Zapadnog Balkana svakako bi stavilo Hrvatsku u  povoljniji položaj po oba pitanja.   </w:t>
      </w:r>
    </w:p>
    <w:p w:rsidR="00BE0929" w:rsidRDefault="00BE0929">
      <w:pPr>
        <w:rPr>
          <w:rFonts w:ascii="Adobe Garamond Pro" w:eastAsia="Calibri" w:hAnsi="Adobe Garamond Pro" w:cs="Times New Roman"/>
          <w:sz w:val="20"/>
          <w:szCs w:val="20"/>
        </w:rPr>
      </w:pPr>
      <w:r>
        <w:rPr>
          <w:rFonts w:ascii="Adobe Garamond Pro" w:hAnsi="Adobe Garamond Pro"/>
          <w:sz w:val="20"/>
          <w:szCs w:val="20"/>
        </w:rPr>
        <w:br w:type="page"/>
      </w:r>
    </w:p>
    <w:p w:rsidR="00BE0929" w:rsidRPr="00BE0929" w:rsidRDefault="00BE0929" w:rsidP="00BE0929">
      <w:pPr>
        <w:pStyle w:val="NoSpacing"/>
        <w:jc w:val="both"/>
        <w:rPr>
          <w:rFonts w:ascii="Adobe Garamond Pro" w:hAnsi="Adobe Garamond Pro"/>
          <w:b/>
        </w:rPr>
      </w:pPr>
      <w:r w:rsidRPr="00BE0929">
        <w:rPr>
          <w:rFonts w:ascii="Adobe Garamond Pro" w:hAnsi="Adobe Garamond Pro"/>
          <w:b/>
        </w:rPr>
        <w:lastRenderedPageBreak/>
        <w:t>ZAKLJUČAK</w:t>
      </w:r>
    </w:p>
    <w:p w:rsidR="00BE0929" w:rsidRPr="00BE0929" w:rsidRDefault="00BE0929" w:rsidP="00BE0929">
      <w:pPr>
        <w:pStyle w:val="NoSpacing"/>
        <w:jc w:val="both"/>
        <w:rPr>
          <w:rFonts w:ascii="Adobe Garamond Pro" w:hAnsi="Adobe Garamond Pro"/>
          <w:b/>
          <w:sz w:val="20"/>
          <w:szCs w:val="20"/>
        </w:rPr>
      </w:pPr>
    </w:p>
    <w:p w:rsid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 xml:space="preserve">U suvremenim međunarodnim odnosima jačanje euroatlantizma izraženo kroz širenje euroatlantske (NATO) i europske (EU) integracije na ostatak postsocijalističke Europe dominantan je i jedini proces. Ruska federacija kao ni pokret nesvrstanih (nekada snažno prisutan kroz SFRJ) u postbipolarnoj fazi međunarodnih odnosa  nisu se uspjeli nametnuti kao vodeći centri okupljanja  većine postsocijalsitičkih europskih zemalja. Euroatlantizam danas traži svoje nove oblike djelovanja, povezivanja i interne kohezije članica. Treba napomenuti da su NATO i EU, usprkos  sličnih ciljeva i vrijednosti, ipak u institucionalnom smislu dvije različite organizacije. NATO usprkos svih svojih transformacija ostaje i dalje  savez država, dok Europska unija u nekim područjima svoga djelovanja pokušava postići oblike supranacionalizma.To svakako usložava  međusoban odnos tih dviju organizacija kao i čitavog procesa euroatlantizma. Aspirantice za članstvo u te dvije organizacije moraju biti svjesne te bazične institucionalne razlike. No usprkos toga, euroatlantska i europska integracija ne smiju stati na granicama Zapadnog Balkana. Euroatlantizam, ne izoliranost, donosi demokratski progres, stabilnost i gospodarski  rast u Europi.      </w:t>
      </w:r>
    </w:p>
    <w:p w:rsidR="00BE0929" w:rsidRPr="00BE0929" w:rsidRDefault="00BE0929" w:rsidP="00BE0929">
      <w:pPr>
        <w:pStyle w:val="NoSpacing"/>
        <w:jc w:val="both"/>
        <w:rPr>
          <w:rFonts w:ascii="Adobe Garamond Pro" w:hAnsi="Adobe Garamond Pro"/>
          <w:sz w:val="20"/>
          <w:szCs w:val="20"/>
        </w:rPr>
      </w:pPr>
    </w:p>
    <w:p w:rsid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 xml:space="preserve">Promatrano u tom kontekstu širih  aspekata globalnih međunarodnih odnosa  članstvo Republike Hrvatske u NATO-u i Europskoj uniji otvara vrata za dugoročnu političku i demokratsku sigurnost, gospodarski rast, bolje socijalne uvjete za njezine građane, viši životnistandard. Tek kada se to dogodi i postane prepoznatljivo za zemlje Zapadnog Balkana ulazak Republike Hrvatske u euroatlantski krug zemalja označit će svjetlo u tunelu i ohrabrit će  njihove nade da taj turbulentni rubni dio Europe nije zaboravljen od razvijenog Zapada. Svojim iskustvom Hrvatska može biti više nego  dobar poticaj da se nastave napori stabilizacije u svim tim zemljama i da jednoga dana i one postanu dio  euroatlantizma. </w:t>
      </w:r>
    </w:p>
    <w:p w:rsidR="00BE0929" w:rsidRPr="00BE0929" w:rsidRDefault="00BE0929" w:rsidP="00BE0929">
      <w:pPr>
        <w:pStyle w:val="NoSpacing"/>
        <w:jc w:val="both"/>
        <w:rPr>
          <w:rFonts w:ascii="Adobe Garamond Pro" w:hAnsi="Adobe Garamond Pro"/>
          <w:sz w:val="20"/>
          <w:szCs w:val="20"/>
        </w:rPr>
      </w:pPr>
    </w:p>
    <w:p w:rsidR="00BE0929" w:rsidRPr="00BE0929" w:rsidRDefault="00BE0929" w:rsidP="00BE0929">
      <w:pPr>
        <w:pStyle w:val="NoSpacing"/>
        <w:jc w:val="both"/>
        <w:rPr>
          <w:rFonts w:ascii="Adobe Garamond Pro" w:hAnsi="Adobe Garamond Pro"/>
          <w:sz w:val="20"/>
          <w:szCs w:val="20"/>
        </w:rPr>
      </w:pPr>
      <w:r>
        <w:rPr>
          <w:rFonts w:ascii="Adobe Garamond Pro" w:hAnsi="Adobe Garamond Pro"/>
          <w:sz w:val="20"/>
          <w:szCs w:val="20"/>
        </w:rPr>
        <w:tab/>
      </w:r>
      <w:r w:rsidRPr="00BE0929">
        <w:rPr>
          <w:rFonts w:ascii="Adobe Garamond Pro" w:hAnsi="Adobe Garamond Pro"/>
          <w:sz w:val="20"/>
          <w:szCs w:val="20"/>
        </w:rPr>
        <w:t xml:space="preserve">Zemlje europskog i euroatlantskog svijeta ne smiju bježati od suradnje sa drugim regionalnim oblicima povezivanja u svijetu  ili subjektima koji su danas prisutni ili pokušavaju ojačati svoj utjecaj  na Zapadnom Balkanu. Iako dominantni, NATO i EU nisu i jedini akteri koji su prisutni ne samo u tom rubnom dijelu Europe koji još nije u potpunosti integriran, već i ostatku Europe. Za očekivati je da će se broj takvih zainteresianih aktera u budućnosti povećavati. Ruska federacija, Turska, NR Kina,  arapske zemlje ulaze u Zapadni Balkan i Europu svakako prvenstveno vođene vlastitim interesima, ali svakako nude brojne mogućnosti potencijalne suradnje i povezivanja koje zemlje euroatlantskog svijeta ne bi smjele propustiti. Za njima će svakako jednog dana doći i druge zainteresirane zemlje i međunarodne regionalne organizacije. Doba zatvorene </w:t>
      </w:r>
      <w:r w:rsidRPr="00BE0929">
        <w:rPr>
          <w:rFonts w:ascii="Adobe Garamond Pro" w:hAnsi="Adobe Garamond Pro"/>
          <w:i/>
          <w:sz w:val="20"/>
          <w:szCs w:val="20"/>
        </w:rPr>
        <w:t>Europe tvrđave</w:t>
      </w:r>
      <w:r w:rsidRPr="00BE0929">
        <w:rPr>
          <w:rFonts w:ascii="Adobe Garamond Pro" w:hAnsi="Adobe Garamond Pro"/>
          <w:sz w:val="20"/>
          <w:szCs w:val="20"/>
        </w:rPr>
        <w:t xml:space="preserve"> odavno je prošlo.    </w:t>
      </w:r>
    </w:p>
    <w:p w:rsidR="00BE0929" w:rsidRPr="00BE0929" w:rsidRDefault="00BE0929" w:rsidP="00BE0929">
      <w:pPr>
        <w:pStyle w:val="NoSpacing"/>
        <w:jc w:val="both"/>
        <w:rPr>
          <w:rFonts w:ascii="Adobe Garamond Pro" w:hAnsi="Adobe Garamond Pro"/>
          <w:sz w:val="20"/>
          <w:szCs w:val="20"/>
        </w:rPr>
      </w:pPr>
    </w:p>
    <w:p w:rsidR="00BE0929" w:rsidRDefault="00BE0929">
      <w:pPr>
        <w:rPr>
          <w:rFonts w:ascii="Adobe Garamond Pro" w:eastAsia="Calibri" w:hAnsi="Adobe Garamond Pro" w:cs="Times New Roman"/>
          <w:b/>
        </w:rPr>
      </w:pPr>
      <w:r>
        <w:rPr>
          <w:rFonts w:ascii="Adobe Garamond Pro" w:hAnsi="Adobe Garamond Pro"/>
          <w:b/>
        </w:rPr>
        <w:br w:type="page"/>
      </w:r>
    </w:p>
    <w:p w:rsidR="00BE0929" w:rsidRPr="00BE0929" w:rsidRDefault="00BE0929" w:rsidP="00BE0929">
      <w:pPr>
        <w:pStyle w:val="NoSpacing"/>
        <w:jc w:val="both"/>
        <w:rPr>
          <w:rFonts w:ascii="Adobe Garamond Pro" w:hAnsi="Adobe Garamond Pro"/>
          <w:b/>
        </w:rPr>
      </w:pPr>
      <w:r w:rsidRPr="00BE0929">
        <w:rPr>
          <w:rFonts w:ascii="Adobe Garamond Pro" w:hAnsi="Adobe Garamond Pro"/>
          <w:b/>
        </w:rPr>
        <w:lastRenderedPageBreak/>
        <w:t>LITERATURA</w:t>
      </w:r>
    </w:p>
    <w:p w:rsidR="00BE0929" w:rsidRDefault="00BE0929" w:rsidP="00BE0929">
      <w:pPr>
        <w:pStyle w:val="NoSpacing"/>
        <w:jc w:val="both"/>
        <w:rPr>
          <w:rFonts w:ascii="Adobe Garamond Pro" w:hAnsi="Adobe Garamond Pro"/>
          <w:sz w:val="20"/>
          <w:szCs w:val="20"/>
        </w:rPr>
      </w:pPr>
    </w:p>
    <w:p w:rsidR="00BE0929" w:rsidRPr="00BE0929" w:rsidRDefault="00BE0929" w:rsidP="00BE0929">
      <w:pPr>
        <w:pStyle w:val="NoSpacing"/>
        <w:numPr>
          <w:ilvl w:val="0"/>
          <w:numId w:val="40"/>
        </w:numPr>
        <w:ind w:left="284" w:hanging="284"/>
        <w:jc w:val="both"/>
        <w:rPr>
          <w:rFonts w:ascii="Adobe Garamond Pro" w:hAnsi="Adobe Garamond Pro"/>
          <w:sz w:val="20"/>
          <w:szCs w:val="20"/>
        </w:rPr>
      </w:pPr>
      <w:r w:rsidRPr="00BE0929">
        <w:rPr>
          <w:rFonts w:ascii="Adobe Garamond Pro" w:hAnsi="Adobe Garamond Pro"/>
          <w:sz w:val="20"/>
          <w:szCs w:val="20"/>
        </w:rPr>
        <w:t xml:space="preserve">Davor Božinović, "Hrvatska i Europska unija", </w:t>
      </w:r>
      <w:r w:rsidRPr="00BE0929">
        <w:rPr>
          <w:rFonts w:ascii="Adobe Garamond Pro" w:hAnsi="Adobe Garamond Pro"/>
          <w:i/>
          <w:sz w:val="20"/>
          <w:szCs w:val="20"/>
        </w:rPr>
        <w:t>Međunarodna politika</w:t>
      </w:r>
      <w:r w:rsidRPr="00BE0929">
        <w:rPr>
          <w:rFonts w:ascii="Adobe Garamond Pro" w:hAnsi="Adobe Garamond Pro"/>
          <w:sz w:val="20"/>
          <w:szCs w:val="20"/>
        </w:rPr>
        <w:t>, god. LIV, br. 1111, Septembar 2003, str. 111.</w:t>
      </w:r>
    </w:p>
    <w:p w:rsidR="00BE0929" w:rsidRPr="00BE0929" w:rsidRDefault="00BE0929" w:rsidP="00BE0929">
      <w:pPr>
        <w:pStyle w:val="NoSpacing"/>
        <w:numPr>
          <w:ilvl w:val="0"/>
          <w:numId w:val="40"/>
        </w:numPr>
        <w:ind w:left="284" w:hanging="284"/>
        <w:jc w:val="both"/>
        <w:rPr>
          <w:rFonts w:ascii="Adobe Garamond Pro" w:hAnsi="Adobe Garamond Pro"/>
          <w:sz w:val="20"/>
          <w:szCs w:val="20"/>
        </w:rPr>
      </w:pPr>
      <w:r w:rsidRPr="00BE0929">
        <w:rPr>
          <w:rFonts w:ascii="Adobe Garamond Pro" w:hAnsi="Adobe Garamond Pro"/>
          <w:sz w:val="20"/>
          <w:szCs w:val="20"/>
        </w:rPr>
        <w:t xml:space="preserve">Brnčić, P. Leppee, I. Mošnja, </w:t>
      </w:r>
      <w:r w:rsidRPr="00BE0929">
        <w:rPr>
          <w:rFonts w:ascii="Adobe Garamond Pro" w:hAnsi="Adobe Garamond Pro"/>
          <w:i/>
          <w:sz w:val="20"/>
          <w:szCs w:val="20"/>
        </w:rPr>
        <w:t>Hrvatska na putu u Europsku uniju: od kandidature do članstva</w:t>
      </w:r>
      <w:r w:rsidRPr="00BE0929">
        <w:rPr>
          <w:rFonts w:ascii="Adobe Garamond Pro" w:hAnsi="Adobe Garamond Pro"/>
          <w:sz w:val="20"/>
          <w:szCs w:val="20"/>
        </w:rPr>
        <w:t>, drugo izdanje, Zagreb, 2004</w:t>
      </w:r>
    </w:p>
    <w:p w:rsidR="00BE0929" w:rsidRPr="00BE0929" w:rsidRDefault="00BE0929" w:rsidP="00BE0929">
      <w:pPr>
        <w:pStyle w:val="NoSpacing"/>
        <w:numPr>
          <w:ilvl w:val="0"/>
          <w:numId w:val="40"/>
        </w:numPr>
        <w:ind w:left="284" w:hanging="284"/>
        <w:jc w:val="both"/>
        <w:rPr>
          <w:rFonts w:ascii="Adobe Garamond Pro" w:hAnsi="Adobe Garamond Pro"/>
          <w:sz w:val="20"/>
          <w:szCs w:val="20"/>
        </w:rPr>
      </w:pPr>
      <w:r w:rsidRPr="00BE0929">
        <w:rPr>
          <w:rFonts w:ascii="Adobe Garamond Pro" w:hAnsi="Adobe Garamond Pro"/>
          <w:sz w:val="20"/>
          <w:szCs w:val="20"/>
        </w:rPr>
        <w:t xml:space="preserve">Fraser Cameron, </w:t>
      </w:r>
      <w:r w:rsidRPr="00BE0929">
        <w:rPr>
          <w:rFonts w:ascii="Adobe Garamond Pro" w:hAnsi="Adobe Garamond Pro"/>
          <w:i/>
          <w:sz w:val="20"/>
          <w:szCs w:val="20"/>
        </w:rPr>
        <w:t xml:space="preserve">An Introduction to European Foreign Policy, (second edition) </w:t>
      </w:r>
      <w:r w:rsidRPr="00BE0929">
        <w:rPr>
          <w:rFonts w:ascii="Adobe Garamond Pro" w:hAnsi="Adobe Garamond Pro"/>
          <w:sz w:val="20"/>
          <w:szCs w:val="20"/>
        </w:rPr>
        <w:t>, London, 2012.</w:t>
      </w:r>
    </w:p>
    <w:p w:rsidR="00BE0929" w:rsidRPr="00BE0929" w:rsidRDefault="00BE0929" w:rsidP="00BE0929">
      <w:pPr>
        <w:pStyle w:val="NoSpacing"/>
        <w:numPr>
          <w:ilvl w:val="0"/>
          <w:numId w:val="40"/>
        </w:numPr>
        <w:ind w:left="284" w:hanging="284"/>
        <w:jc w:val="both"/>
        <w:rPr>
          <w:rFonts w:ascii="Adobe Garamond Pro" w:hAnsi="Adobe Garamond Pro"/>
          <w:sz w:val="20"/>
          <w:szCs w:val="20"/>
        </w:rPr>
      </w:pPr>
      <w:r w:rsidRPr="00BE0929">
        <w:rPr>
          <w:rFonts w:ascii="Adobe Garamond Pro" w:hAnsi="Adobe Garamond Pro"/>
          <w:sz w:val="20"/>
          <w:szCs w:val="20"/>
        </w:rPr>
        <w:t>Lidija Čehulić: „Clintonova administracija i ulazak Hrvatske u Partnerstvo za mir“, Politička misao, god. 37., br.3., 2000., str. 177.</w:t>
      </w:r>
    </w:p>
    <w:p w:rsidR="00BE0929" w:rsidRPr="00BE0929" w:rsidRDefault="00BE0929" w:rsidP="00BE0929">
      <w:pPr>
        <w:pStyle w:val="NoSpacing"/>
        <w:numPr>
          <w:ilvl w:val="0"/>
          <w:numId w:val="40"/>
        </w:numPr>
        <w:ind w:left="284" w:hanging="284"/>
        <w:jc w:val="both"/>
        <w:rPr>
          <w:rFonts w:ascii="Adobe Garamond Pro" w:hAnsi="Adobe Garamond Pro"/>
          <w:sz w:val="20"/>
          <w:szCs w:val="20"/>
        </w:rPr>
      </w:pPr>
      <w:r w:rsidRPr="00BE0929">
        <w:rPr>
          <w:rFonts w:ascii="Adobe Garamond Pro" w:hAnsi="Adobe Garamond Pro"/>
          <w:sz w:val="20"/>
          <w:szCs w:val="20"/>
        </w:rPr>
        <w:t>Christin D. Falkowski,</w:t>
      </w:r>
      <w:r w:rsidRPr="00BE0929">
        <w:rPr>
          <w:rFonts w:ascii="Adobe Garamond Pro" w:hAnsi="Adobe Garamond Pro"/>
          <w:i/>
          <w:sz w:val="20"/>
          <w:szCs w:val="20"/>
        </w:rPr>
        <w:t xml:space="preserve"> Europe forUs.,Why We Need Euopre,</w:t>
      </w:r>
      <w:r w:rsidRPr="00BE0929">
        <w:rPr>
          <w:rFonts w:ascii="Adobe Garamond Pro" w:hAnsi="Adobe Garamond Pro"/>
          <w:sz w:val="20"/>
          <w:szCs w:val="20"/>
        </w:rPr>
        <w:t>Baden-Baden,2011</w:t>
      </w:r>
    </w:p>
    <w:p w:rsidR="00BE0929" w:rsidRPr="00BE0929" w:rsidRDefault="00BE0929" w:rsidP="00BE0929">
      <w:pPr>
        <w:pStyle w:val="FootnoteText"/>
        <w:numPr>
          <w:ilvl w:val="0"/>
          <w:numId w:val="40"/>
        </w:numPr>
        <w:ind w:left="284" w:hanging="284"/>
        <w:jc w:val="both"/>
        <w:rPr>
          <w:rFonts w:ascii="Adobe Garamond Pro" w:hAnsi="Adobe Garamond Pro"/>
        </w:rPr>
      </w:pPr>
      <w:r w:rsidRPr="00BE0929">
        <w:rPr>
          <w:rFonts w:ascii="Adobe Garamond Pro" w:hAnsi="Adobe Garamond Pro"/>
        </w:rPr>
        <w:t xml:space="preserve">John McCormick, </w:t>
      </w:r>
      <w:r w:rsidRPr="00BE0929">
        <w:rPr>
          <w:rFonts w:ascii="Adobe Garamond Pro" w:hAnsi="Adobe Garamond Pro"/>
          <w:i/>
        </w:rPr>
        <w:t>Why Europe Matters,. The Case for tthe  Euriopean Union,</w:t>
      </w:r>
      <w:r w:rsidRPr="00BE0929">
        <w:rPr>
          <w:rFonts w:ascii="Adobe Garamond Pro" w:hAnsi="Adobe Garamond Pro"/>
        </w:rPr>
        <w:t>Palgrave, 2013.</w:t>
      </w:r>
    </w:p>
    <w:p w:rsidR="00BE0929" w:rsidRPr="00BE0929" w:rsidRDefault="00BE0929" w:rsidP="00BE0929">
      <w:pPr>
        <w:pStyle w:val="FootnoteText"/>
        <w:numPr>
          <w:ilvl w:val="0"/>
          <w:numId w:val="40"/>
        </w:numPr>
        <w:ind w:left="284" w:hanging="284"/>
        <w:rPr>
          <w:rFonts w:ascii="Adobe Garamond Pro" w:hAnsi="Adobe Garamond Pro"/>
        </w:rPr>
      </w:pPr>
      <w:r w:rsidRPr="00BE0929">
        <w:rPr>
          <w:rFonts w:ascii="Adobe Garamond Pro" w:hAnsi="Adobe Garamond Pro"/>
        </w:rPr>
        <w:t xml:space="preserve">Rebecca R. Moore, </w:t>
      </w:r>
      <w:r w:rsidRPr="00BE0929">
        <w:rPr>
          <w:rFonts w:ascii="Adobe Garamond Pro" w:hAnsi="Adobe Garamond Pro"/>
          <w:i/>
        </w:rPr>
        <w:t xml:space="preserve">NATO's New Mission.Projecting Stability in a Post-Cold War World,  Westport, </w:t>
      </w:r>
      <w:r w:rsidRPr="00BE0929">
        <w:rPr>
          <w:rFonts w:ascii="Adobe Garamond Pro" w:hAnsi="Adobe Garamond Pro"/>
        </w:rPr>
        <w:t>2007.</w:t>
      </w:r>
    </w:p>
    <w:p w:rsidR="00BE0929" w:rsidRPr="00BE0929" w:rsidRDefault="00BE0929" w:rsidP="00BE0929">
      <w:pPr>
        <w:pStyle w:val="FootnoteText"/>
        <w:numPr>
          <w:ilvl w:val="0"/>
          <w:numId w:val="40"/>
        </w:numPr>
        <w:ind w:left="284" w:hanging="284"/>
        <w:rPr>
          <w:rFonts w:ascii="Adobe Garamond Pro" w:hAnsi="Adobe Garamond Pro"/>
        </w:rPr>
      </w:pPr>
      <w:r w:rsidRPr="00BE0929">
        <w:rPr>
          <w:rFonts w:ascii="Adobe Garamond Pro" w:hAnsi="Adobe Garamond Pro"/>
        </w:rPr>
        <w:t>Marta Nakić-Vojnović: «Contribution of Croatia to International Peacekeeping Missions», u L.Čehulić (ed.) Yearbook Šipan 2006., Zagreb, 2007., str. 82-91.</w:t>
      </w:r>
    </w:p>
    <w:p w:rsidR="00BE0929" w:rsidRPr="00BE0929" w:rsidRDefault="00BE0929" w:rsidP="00BE0929">
      <w:pPr>
        <w:pStyle w:val="FootnoteText"/>
        <w:numPr>
          <w:ilvl w:val="0"/>
          <w:numId w:val="40"/>
        </w:numPr>
        <w:ind w:left="284" w:hanging="284"/>
        <w:jc w:val="both"/>
        <w:rPr>
          <w:rFonts w:ascii="Adobe Garamond Pro" w:hAnsi="Adobe Garamond Pro"/>
          <w:i/>
        </w:rPr>
      </w:pPr>
      <w:r w:rsidRPr="00BE0929">
        <w:rPr>
          <w:rFonts w:ascii="Adobe Garamond Pro" w:hAnsi="Adobe Garamond Pro"/>
        </w:rPr>
        <w:t xml:space="preserve">S. Tišma, V, Samardzija,K.Jurlin (ur.), </w:t>
      </w:r>
      <w:r w:rsidRPr="00BE0929">
        <w:rPr>
          <w:rFonts w:ascii="Adobe Garamond Pro" w:hAnsi="Adobe Garamond Pro"/>
          <w:i/>
        </w:rPr>
        <w:t xml:space="preserve">Hrvatska i Europska unija.Prednosti i izazovi članstva, </w:t>
      </w:r>
      <w:r w:rsidRPr="00BE0929">
        <w:rPr>
          <w:rFonts w:ascii="Adobe Garamond Pro" w:hAnsi="Adobe Garamond Pro"/>
        </w:rPr>
        <w:t>IMO, Zagreb, 2012..</w:t>
      </w:r>
    </w:p>
    <w:p w:rsidR="00BE0929" w:rsidRPr="00BE0929" w:rsidRDefault="00BE0929" w:rsidP="00BE0929">
      <w:pPr>
        <w:pStyle w:val="NoSpacing"/>
        <w:numPr>
          <w:ilvl w:val="0"/>
          <w:numId w:val="40"/>
        </w:numPr>
        <w:ind w:left="284" w:hanging="284"/>
        <w:jc w:val="both"/>
        <w:rPr>
          <w:rFonts w:ascii="Adobe Garamond Pro" w:hAnsi="Adobe Garamond Pro"/>
          <w:sz w:val="20"/>
          <w:szCs w:val="20"/>
        </w:rPr>
      </w:pPr>
      <w:r w:rsidRPr="00BE0929">
        <w:rPr>
          <w:rFonts w:ascii="Adobe Garamond Pro" w:hAnsi="Adobe Garamond Pro"/>
          <w:sz w:val="20"/>
          <w:szCs w:val="20"/>
        </w:rPr>
        <w:t>Tomasz Žornaczuk, The Prospects of EU Enlargement to the Western Balkans in 2013, Bulletin, No.24 (477), March 2013, PISM. Warshava</w:t>
      </w:r>
    </w:p>
    <w:p w:rsidR="00BE0929" w:rsidRPr="00BE0929" w:rsidRDefault="00BE0929" w:rsidP="00BE0929">
      <w:pPr>
        <w:pStyle w:val="NoSpacing"/>
        <w:numPr>
          <w:ilvl w:val="0"/>
          <w:numId w:val="40"/>
        </w:numPr>
        <w:ind w:left="284" w:hanging="284"/>
        <w:jc w:val="both"/>
        <w:rPr>
          <w:rFonts w:ascii="Adobe Garamond Pro" w:hAnsi="Adobe Garamond Pro"/>
          <w:sz w:val="20"/>
          <w:szCs w:val="20"/>
        </w:rPr>
      </w:pPr>
      <w:r w:rsidRPr="00BE0929">
        <w:rPr>
          <w:rFonts w:ascii="Adobe Garamond Pro" w:hAnsi="Adobe Garamond Pro"/>
          <w:sz w:val="20"/>
          <w:szCs w:val="20"/>
        </w:rPr>
        <w:t xml:space="preserve">R.Vukadinović, </w:t>
      </w:r>
      <w:r w:rsidRPr="00BE0929">
        <w:rPr>
          <w:rFonts w:ascii="Adobe Garamond Pro" w:hAnsi="Adobe Garamond Pro"/>
          <w:i/>
          <w:sz w:val="20"/>
          <w:szCs w:val="20"/>
        </w:rPr>
        <w:t>Hrvatska i Europa</w:t>
      </w:r>
      <w:r w:rsidRPr="00BE0929">
        <w:rPr>
          <w:rFonts w:ascii="Adobe Garamond Pro" w:hAnsi="Adobe Garamond Pro"/>
          <w:sz w:val="20"/>
          <w:szCs w:val="20"/>
        </w:rPr>
        <w:t>, Međunarodna filatelistička izložba :Hrvatska u Europskoj uniji-susret prijatelja. Katalog, Zagreb, 2013. str. 15.</w:t>
      </w:r>
    </w:p>
    <w:p w:rsidR="00E47223" w:rsidRDefault="00E47223" w:rsidP="00BE0929">
      <w:pPr>
        <w:spacing w:after="0" w:line="240" w:lineRule="auto"/>
        <w:rPr>
          <w:rFonts w:ascii="Adobe Garamond Pro" w:hAnsi="Adobe Garamond Pro"/>
        </w:rPr>
      </w:pPr>
    </w:p>
    <w:sectPr w:rsidR="00E47223" w:rsidSect="00E810F6">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69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F49" w:rsidRDefault="00976F49" w:rsidP="000C691C">
      <w:pPr>
        <w:spacing w:after="0" w:line="240" w:lineRule="auto"/>
      </w:pPr>
      <w:r>
        <w:separator/>
      </w:r>
    </w:p>
  </w:endnote>
  <w:endnote w:type="continuationSeparator" w:id="1">
    <w:p w:rsidR="00976F49" w:rsidRDefault="00976F49"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12A04">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E62F6">
      <w:rPr>
        <w:rFonts w:ascii="Adobe Garamond Pro" w:hAnsi="Adobe Garamond Pro" w:cs="Times New Roman"/>
        <w:noProof/>
        <w:sz w:val="20"/>
        <w:szCs w:val="20"/>
      </w:rPr>
      <w:t>704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D12A04"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D12A04" w:rsidRPr="00FE57C1">
      <w:rPr>
        <w:rFonts w:ascii="Adobe Garamond Pro" w:hAnsi="Adobe Garamond Pro" w:cs="Times New Roman"/>
        <w:sz w:val="20"/>
        <w:szCs w:val="20"/>
      </w:rPr>
      <w:fldChar w:fldCharType="separate"/>
    </w:r>
    <w:r w:rsidR="00DE62F6">
      <w:rPr>
        <w:rFonts w:ascii="Adobe Garamond Pro" w:hAnsi="Adobe Garamond Pro" w:cs="Times New Roman"/>
        <w:noProof/>
        <w:sz w:val="20"/>
        <w:szCs w:val="20"/>
      </w:rPr>
      <w:t>703</w:t>
    </w:r>
    <w:r w:rsidR="00D12A04"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D12A04"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E62F6">
      <w:rPr>
        <w:rFonts w:ascii="Adobe Garamond Pro" w:hAnsi="Adobe Garamond Pro" w:cs="Times New Roman"/>
        <w:noProof/>
        <w:sz w:val="20"/>
        <w:szCs w:val="20"/>
      </w:rPr>
      <w:t>691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F49" w:rsidRDefault="00976F49" w:rsidP="000C691C">
      <w:pPr>
        <w:spacing w:after="0" w:line="240" w:lineRule="auto"/>
      </w:pPr>
      <w:r>
        <w:separator/>
      </w:r>
    </w:p>
  </w:footnote>
  <w:footnote w:type="continuationSeparator" w:id="1">
    <w:p w:rsidR="00976F49" w:rsidRDefault="00976F49" w:rsidP="000C691C">
      <w:pPr>
        <w:spacing w:after="0" w:line="240" w:lineRule="auto"/>
      </w:pPr>
      <w:r>
        <w:continuationSeparator/>
      </w:r>
    </w:p>
  </w:footnote>
  <w:footnote w:id="2">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R.Vukadinović, </w:t>
      </w:r>
      <w:r w:rsidRPr="00BE0929">
        <w:rPr>
          <w:rFonts w:ascii="Adobe Garamond Pro" w:hAnsi="Adobe Garamond Pro"/>
          <w:i/>
          <w:sz w:val="18"/>
          <w:szCs w:val="18"/>
        </w:rPr>
        <w:t>Hrvatska i Europa</w:t>
      </w:r>
      <w:r w:rsidRPr="00BE0929">
        <w:rPr>
          <w:rFonts w:ascii="Adobe Garamond Pro" w:hAnsi="Adobe Garamond Pro"/>
          <w:sz w:val="18"/>
          <w:szCs w:val="18"/>
        </w:rPr>
        <w:t>, Međunarodna filatelistička izložba :Hrvatska u Europskoj uniji-susret prijatelja. Katalog, Zagreb, 2013. str. 15.</w:t>
      </w:r>
    </w:p>
  </w:footnote>
  <w:footnote w:id="3">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Lidija Čehulić: „Clintonova administracija i ulazak Hrvatske u Partnerstvo za mir“, Politička misao, god. 37., br.3., 2000., str. 177. </w:t>
      </w:r>
    </w:p>
  </w:footnote>
  <w:footnote w:id="4">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Od 1992. do 2001. godine Vijeće ministara EU početkom svake godine određivalo je Hrvatskoj sadržaj trgovinskih povlastica.</w:t>
      </w:r>
    </w:p>
  </w:footnote>
  <w:footnote w:id="5">
    <w:p w:rsidR="00BE0929" w:rsidRPr="00BE0929" w:rsidRDefault="00BE0929" w:rsidP="00BE0929">
      <w:pPr>
        <w:pStyle w:val="FootnoteText"/>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Temeljni vanjskopolitički ciljevi RH su: članstvo u EU, članstvo u NATO savezu, promicanje politike dobrosusjedstva i regionalne suradnje te suradnja sa svim demokratskim državama svijeta. </w:t>
      </w:r>
      <w:r w:rsidRPr="00BE0929">
        <w:rPr>
          <w:rFonts w:ascii="Adobe Garamond Pro" w:hAnsi="Adobe Garamond Pro"/>
          <w:i/>
          <w:sz w:val="18"/>
          <w:szCs w:val="18"/>
        </w:rPr>
        <w:t>Program rada Vlade RH za razdoblje 2000-2004. godine</w:t>
      </w:r>
      <w:r w:rsidRPr="00BE0929">
        <w:rPr>
          <w:rFonts w:ascii="Adobe Garamond Pro" w:hAnsi="Adobe Garamond Pro"/>
          <w:sz w:val="18"/>
          <w:szCs w:val="18"/>
        </w:rPr>
        <w:t xml:space="preserve">, Zagreb, 8. veljače 2000, str. 4. U Strategiji o nacionalnoj sigurnosti RH integracija u EU označena je kao „najznačajniji i najsloženiji pothvat pred kojim stoje hrvatska država i društvo, s obzirom na to da se radi o procesu koji će imati dalekosežne posljedice za hrvatsko društvo u cjelini, na njezino gospodarstvo i na nacionalnu sigurnost“. Hrvatski Sabor, </w:t>
      </w:r>
      <w:r w:rsidRPr="00BE0929">
        <w:rPr>
          <w:rFonts w:ascii="Adobe Garamond Pro" w:hAnsi="Adobe Garamond Pro"/>
          <w:i/>
          <w:sz w:val="18"/>
          <w:szCs w:val="18"/>
        </w:rPr>
        <w:t>Strategija nacionalne sigurnosti RH</w:t>
      </w:r>
      <w:r w:rsidRPr="00BE0929">
        <w:rPr>
          <w:rFonts w:ascii="Adobe Garamond Pro" w:hAnsi="Adobe Garamond Pro"/>
          <w:sz w:val="18"/>
          <w:szCs w:val="18"/>
        </w:rPr>
        <w:t>, Glava V. Sigurnosna politika RH – područja i instrument, točka 55, Zagreb, ožujak 2002.</w:t>
      </w:r>
    </w:p>
  </w:footnote>
  <w:footnote w:id="6">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Vidjeti u Marta Nakić-Vojnović: «Contribution of Croatia to International Peacekeeping Missions», u L.Čehulić (ed.) Yearbook Šipan 2006., Zagreb, 2007., str. 82-91.</w:t>
      </w:r>
    </w:p>
  </w:footnote>
  <w:footnote w:id="7">
    <w:p w:rsidR="00BE0929" w:rsidRPr="00BE0929" w:rsidRDefault="00BE0929" w:rsidP="00BE0929">
      <w:pPr>
        <w:pStyle w:val="FootnoteText"/>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Zajednička konzultativna radna skupina (</w:t>
      </w:r>
      <w:r w:rsidRPr="00BE0929">
        <w:rPr>
          <w:rFonts w:ascii="Adobe Garamond Pro" w:hAnsi="Adobe Garamond Pro"/>
          <w:i/>
          <w:sz w:val="18"/>
          <w:szCs w:val="18"/>
        </w:rPr>
        <w:t>Joint Consultative Task Force EU/Croatia</w:t>
      </w:r>
      <w:r w:rsidRPr="00BE0929">
        <w:rPr>
          <w:rFonts w:ascii="Adobe Garamond Pro" w:hAnsi="Adobe Garamond Pro"/>
          <w:sz w:val="18"/>
          <w:szCs w:val="18"/>
        </w:rPr>
        <w:t>) tehničko je radno tijelo EU i RH, sastavljeno od stručnjaka iz raznih područja. Prioritetna područja rada bila su: reforme gospodarstva, medija, pravosuđa, javne uprave i vanjskotrgovinska politika.</w:t>
      </w:r>
    </w:p>
  </w:footnote>
  <w:footnote w:id="8">
    <w:p w:rsidR="00BE0929" w:rsidRPr="00BE0929" w:rsidRDefault="00BE0929" w:rsidP="00BE0929">
      <w:pPr>
        <w:spacing w:after="0" w:line="240" w:lineRule="auto"/>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Upravo na summitu EU u Zagrebu 2000. usvojen je politički termin Zapadni Balkan kojeg čine: Hrvatska, BiH, tadašnja Savezna Republika Jugoslavija- danas Srbija, Crna Gora i Kosovo, Makedonija, Albanija. Osim toga temeljem dogovora Zagrebačkog summita Vijeće Europske unije 5. prosinca 2000. donosi uredbu o CARDS programu tehničke i financijske pomoći za obnovu, razvoj i stabilizaciju za države obuhvaćene Procesom stabilizacije i pridruživanja (zemlje Zapadnog Balkana) za razdoblje od 2001. do 2006. godine.</w:t>
      </w:r>
    </w:p>
    <w:p w:rsidR="00BE0929" w:rsidRPr="00BE0929" w:rsidRDefault="00BE0929" w:rsidP="00BE0929">
      <w:pPr>
        <w:pStyle w:val="FootnoteText"/>
        <w:jc w:val="both"/>
        <w:rPr>
          <w:rFonts w:ascii="Adobe Garamond Pro" w:hAnsi="Adobe Garamond Pro"/>
          <w:sz w:val="18"/>
          <w:szCs w:val="18"/>
        </w:rPr>
      </w:pPr>
      <w:r w:rsidRPr="00BE0929">
        <w:rPr>
          <w:rFonts w:ascii="Adobe Garamond Pro" w:hAnsi="Adobe Garamond Pro"/>
          <w:sz w:val="18"/>
          <w:szCs w:val="18"/>
        </w:rPr>
        <w:t xml:space="preserve">Detaljnije o Zagrebačkom summitu EU vidjeti uL. Čehulić: "Zagrebački summit i politika integracije Hrvatske u Europsku uniju", </w:t>
      </w:r>
      <w:r w:rsidRPr="00BE0929">
        <w:rPr>
          <w:rFonts w:ascii="Adobe Garamond Pro" w:hAnsi="Adobe Garamond Pro"/>
          <w:i/>
          <w:sz w:val="18"/>
          <w:szCs w:val="18"/>
        </w:rPr>
        <w:t>Europska unija – pravni, gospodarski i politički aspekti</w:t>
      </w:r>
      <w:r w:rsidRPr="00BE0929">
        <w:rPr>
          <w:rFonts w:ascii="Adobe Garamond Pro" w:hAnsi="Adobe Garamond Pro"/>
          <w:sz w:val="18"/>
          <w:szCs w:val="18"/>
        </w:rPr>
        <w:t>, br. 28, Informator, Zagreb, 18. studenoga 2000, str. 2-6.</w:t>
      </w:r>
    </w:p>
  </w:footnote>
  <w:footnote w:id="9">
    <w:p w:rsidR="00BE0929" w:rsidRPr="00BE0929" w:rsidRDefault="00BE0929" w:rsidP="00BE0929">
      <w:pPr>
        <w:pStyle w:val="NoSpacing"/>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SSP je posebna vrsta sporazuma o pridruživanju koje je EU ponudila državama obuhvaćenim Procesom stabilizacije i pridruživanja. SSP državi potpisnici daje status pridruženog člana i potencijalnog kandidata za punopravno članstvo u EU. Cilj je SSP-a uspostava političkog dijaloga, gospodarske suradnje, razvoja zone slobodne trgovine, usklađivanje zakonodavstva, te poticanje najrazličitijih oblika regionalne suradnje zemalja obuhvaćenih Procesom stabilizacije i pridruživanja.</w:t>
      </w:r>
    </w:p>
  </w:footnote>
  <w:footnote w:id="10">
    <w:p w:rsidR="00BE0929" w:rsidRPr="00BE0929" w:rsidRDefault="00BE0929" w:rsidP="00BE0929">
      <w:pPr>
        <w:pStyle w:val="FootnoteText"/>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Ovaj se Sporazum primjenjuje od 1. siječnja 2002, iako je formalno stupio na snagu 1. ožujka 2002.</w:t>
      </w:r>
    </w:p>
  </w:footnote>
  <w:footnote w:id="11">
    <w:p w:rsidR="00BE0929" w:rsidRPr="00BE0929" w:rsidRDefault="00BE0929" w:rsidP="00BE0929">
      <w:pPr>
        <w:pStyle w:val="FootnoteText"/>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Te dokumente potpisali su tadašnji ministar vanjskih poslova RH Tonino Picula, ministar vanjskih poslova Belgije Louis Michel i član Europske komisije Chris Patten.</w:t>
      </w:r>
    </w:p>
  </w:footnote>
  <w:footnote w:id="12">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Davor Božinović, "Hrvatska i Europska unija", </w:t>
      </w:r>
      <w:r w:rsidRPr="00BE0929">
        <w:rPr>
          <w:rFonts w:ascii="Adobe Garamond Pro" w:hAnsi="Adobe Garamond Pro"/>
          <w:i/>
          <w:sz w:val="18"/>
          <w:szCs w:val="18"/>
        </w:rPr>
        <w:t>Međunarodna politika</w:t>
      </w:r>
      <w:r w:rsidRPr="00BE0929">
        <w:rPr>
          <w:rFonts w:ascii="Adobe Garamond Pro" w:hAnsi="Adobe Garamond Pro"/>
          <w:sz w:val="18"/>
          <w:szCs w:val="18"/>
        </w:rPr>
        <w:t>, god. LIV, br. 1111, Septembar 2003, str. 111.</w:t>
      </w:r>
    </w:p>
  </w:footnote>
  <w:footnote w:id="13">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Zahtjev su potpisali predsjednik RH Stjepan Mesić i premijer Ivica Račan, u nazočnosti predsjednika Sabora RH Zlatka Tomčića i čelnika parlamentarnih stranaka, a premijer ga je nekoliko dana kasnije, predao grčkom predsjedništvu u Ateni jer je tada Grčka predsjedavala Europskom unijom.</w:t>
      </w:r>
    </w:p>
  </w:footnote>
  <w:footnote w:id="14">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Estonija, Latvija, Litva i Slovenija zahtjeve za članstvo u EU također su podnijele prije stupanja na snagu njihovih nacionalnih sporazuma, a Estonija i Slovenija stekle su i status kandidata prije stupanja na snagu tih sporazuma.</w:t>
      </w:r>
    </w:p>
  </w:footnote>
  <w:footnote w:id="15">
    <w:p w:rsidR="00BE0929" w:rsidRPr="00BE0929" w:rsidRDefault="00BE0929" w:rsidP="00BE0929">
      <w:pPr>
        <w:pStyle w:val="FootnoteText"/>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U Izvješću se, između ostalog, ističe kako Hrvatska ima stabilne demokratske institucije, da se može smatrati zemljom djelotvornog tržišnog gospodarstva, ali da treba nastaviti s provođenjem reformi potrebitih za postizanje svih europskih standarda, kao i nastaviti s daljnjim usklađivanjem nacionalnog zakonodavstva s propisima EU.A. Brnčić, P. Leppee, I. Mošnja, </w:t>
      </w:r>
      <w:r w:rsidRPr="00BE0929">
        <w:rPr>
          <w:rFonts w:ascii="Adobe Garamond Pro" w:hAnsi="Adobe Garamond Pro"/>
          <w:i/>
          <w:sz w:val="18"/>
          <w:szCs w:val="18"/>
        </w:rPr>
        <w:t>Hrvatska na putu u Europsku uniju: od kandidature do članstva</w:t>
      </w:r>
      <w:r w:rsidRPr="00BE0929">
        <w:rPr>
          <w:rFonts w:ascii="Adobe Garamond Pro" w:hAnsi="Adobe Garamond Pro"/>
          <w:sz w:val="18"/>
          <w:szCs w:val="18"/>
        </w:rPr>
        <w:t>, drugo izdanje, Zagreb, 2004, str. 44.</w:t>
      </w:r>
    </w:p>
  </w:footnote>
  <w:footnote w:id="16">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John McCormick, </w:t>
      </w:r>
      <w:r w:rsidRPr="00BE0929">
        <w:rPr>
          <w:rFonts w:ascii="Adobe Garamond Pro" w:hAnsi="Adobe Garamond Pro"/>
          <w:i/>
          <w:sz w:val="18"/>
          <w:szCs w:val="18"/>
        </w:rPr>
        <w:t>Why Europe Matters,. The Case for tthe  Euriopean Union,</w:t>
      </w:r>
      <w:r w:rsidRPr="00BE0929">
        <w:rPr>
          <w:rFonts w:ascii="Adobe Garamond Pro" w:hAnsi="Adobe Garamond Pro"/>
          <w:sz w:val="18"/>
          <w:szCs w:val="18"/>
        </w:rPr>
        <w:t xml:space="preserve"> 2013.</w:t>
      </w:r>
    </w:p>
  </w:footnote>
  <w:footnote w:id="17">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Rebecca R. Moore, </w:t>
      </w:r>
      <w:r w:rsidRPr="00BE0929">
        <w:rPr>
          <w:rFonts w:ascii="Adobe Garamond Pro" w:hAnsi="Adobe Garamond Pro"/>
          <w:i/>
          <w:sz w:val="18"/>
          <w:szCs w:val="18"/>
        </w:rPr>
        <w:t xml:space="preserve">NATO's New Mission.Projecting Stability in a Post-Cold War World, </w:t>
      </w:r>
      <w:r w:rsidRPr="00BE0929">
        <w:rPr>
          <w:rFonts w:ascii="Adobe Garamond Pro" w:hAnsi="Adobe Garamond Pro"/>
          <w:sz w:val="18"/>
          <w:szCs w:val="18"/>
        </w:rPr>
        <w:t>2007.</w:t>
      </w:r>
    </w:p>
  </w:footnote>
  <w:footnote w:id="18">
    <w:p w:rsidR="00BE0929" w:rsidRPr="00BE0929" w:rsidRDefault="00BE0929" w:rsidP="00BE0929">
      <w:pPr>
        <w:spacing w:after="0" w:line="240" w:lineRule="auto"/>
        <w:jc w:val="both"/>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Zemlje s vrlo visokim stupnjem demokratičnosti  internih društava, poput Norveške i Islanda, proteklih godina iskazalivale su  pojačan  interes za ulazak u Europsku uniju. Za razliku od Norveške gdje formalni ulazak u Europsku uniju još uvijek ipak nije primarni vanjskopolitički cilj Island je i službeno započeo pregovore s Bruxellesom. Međutim nemogućnost dogovora oko ribarske politike rezultirala je i formalnim povlačenjem te zemlje iz pregovora o članstvu.</w:t>
      </w: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Stoga su danas  jedino zemlje Zapadnog Balkana (Albanija, Bosna i Hercegovina, Crna Gora, Kosovo, Makedonija, Srbija)  i Turska  države koje žele ući u Europsku uniju  i  sukladno tome  postepeno ostvaruju i napredak u svom institucionalnom približavanju  Bruxellesu.</w:t>
      </w:r>
    </w:p>
    <w:p w:rsidR="00BE0929" w:rsidRPr="00BE0929" w:rsidRDefault="00BE0929" w:rsidP="00BE0929">
      <w:pPr>
        <w:pStyle w:val="FootnoteText"/>
        <w:rPr>
          <w:rFonts w:ascii="Adobe Garamond Pro" w:hAnsi="Adobe Garamond Pro"/>
          <w:sz w:val="18"/>
          <w:szCs w:val="18"/>
        </w:rPr>
      </w:pPr>
    </w:p>
  </w:footnote>
  <w:footnote w:id="19">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Vidjeti detaljnije u Tomasz Žornaczuk, The Prospects of EU Enlargement to the Western Balkans in 2013, Bulletin, No.24 (477), March 2013, PISM. Warshava</w:t>
      </w:r>
    </w:p>
  </w:footnote>
  <w:footnote w:id="20">
    <w:p w:rsidR="00BE0929" w:rsidRPr="00BE0929" w:rsidRDefault="00BE0929" w:rsidP="00BE0929">
      <w:pPr>
        <w:pStyle w:val="FootnoteText"/>
        <w:rPr>
          <w:rFonts w:ascii="Adobe Garamond Pro" w:hAnsi="Adobe Garamond Pro"/>
          <w:i/>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Fraser Cameron, </w:t>
      </w:r>
      <w:r w:rsidRPr="00BE0929">
        <w:rPr>
          <w:rFonts w:ascii="Adobe Garamond Pro" w:hAnsi="Adobe Garamond Pro"/>
          <w:i/>
          <w:sz w:val="18"/>
          <w:szCs w:val="18"/>
        </w:rPr>
        <w:t xml:space="preserve">An Introduction to European Foreign Policy, (second edition) </w:t>
      </w:r>
      <w:r w:rsidRPr="00BE0929">
        <w:rPr>
          <w:rFonts w:ascii="Adobe Garamond Pro" w:hAnsi="Adobe Garamond Pro"/>
          <w:sz w:val="18"/>
          <w:szCs w:val="18"/>
        </w:rPr>
        <w:t>, 2012., str.155-165.</w:t>
      </w:r>
    </w:p>
  </w:footnote>
  <w:footnote w:id="21">
    <w:p w:rsidR="00BE0929" w:rsidRPr="00BE0929" w:rsidRDefault="00BE0929" w:rsidP="00BE0929">
      <w:pPr>
        <w:pStyle w:val="FootnoteText"/>
        <w:rPr>
          <w:rFonts w:ascii="Adobe Garamond Pro" w:hAnsi="Adobe Garamond Pro"/>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Christin D. </w:t>
      </w:r>
      <w:r w:rsidRPr="00BE0929">
        <w:rPr>
          <w:rFonts w:ascii="Adobe Garamond Pro" w:hAnsi="Adobe Garamond Pro"/>
          <w:i/>
          <w:sz w:val="18"/>
          <w:szCs w:val="18"/>
        </w:rPr>
        <w:t xml:space="preserve">Falkowski, Europe for Us.,Why We Need Euopre, </w:t>
      </w:r>
      <w:r w:rsidRPr="00BE0929">
        <w:rPr>
          <w:rFonts w:ascii="Adobe Garamond Pro" w:hAnsi="Adobe Garamond Pro"/>
          <w:sz w:val="18"/>
          <w:szCs w:val="18"/>
        </w:rPr>
        <w:t xml:space="preserve">2011., str. 182-211. </w:t>
      </w:r>
    </w:p>
  </w:footnote>
  <w:footnote w:id="22">
    <w:p w:rsidR="00BE0929" w:rsidRPr="00BE0929" w:rsidRDefault="00BE0929" w:rsidP="00BE0929">
      <w:pPr>
        <w:pStyle w:val="FootnoteText"/>
        <w:jc w:val="both"/>
        <w:rPr>
          <w:rFonts w:ascii="Adobe Garamond Pro" w:hAnsi="Adobe Garamond Pro"/>
          <w:i/>
          <w:sz w:val="18"/>
          <w:szCs w:val="18"/>
        </w:rPr>
      </w:pPr>
      <w:r w:rsidRPr="00BE0929">
        <w:rPr>
          <w:rStyle w:val="FootnoteReference"/>
          <w:rFonts w:ascii="Adobe Garamond Pro" w:hAnsi="Adobe Garamond Pro"/>
          <w:sz w:val="18"/>
          <w:szCs w:val="18"/>
        </w:rPr>
        <w:footnoteRef/>
      </w:r>
      <w:r w:rsidRPr="00BE0929">
        <w:rPr>
          <w:rFonts w:ascii="Adobe Garamond Pro" w:hAnsi="Adobe Garamond Pro"/>
          <w:sz w:val="18"/>
          <w:szCs w:val="18"/>
        </w:rPr>
        <w:t xml:space="preserve"> O gospodarskim koristima koje je RH ostvarilvala u CEFTI, a koje u ni  u približnoj mjeri nije nadomjestila  na tržištu EU, vidjeti u  S. Tišma, V, Samardzija,K.Jurlin (ur.), </w:t>
      </w:r>
      <w:r w:rsidRPr="00BE0929">
        <w:rPr>
          <w:rFonts w:ascii="Adobe Garamond Pro" w:hAnsi="Adobe Garamond Pro"/>
          <w:i/>
          <w:sz w:val="18"/>
          <w:szCs w:val="18"/>
        </w:rPr>
        <w:t xml:space="preserve">Hrvatska i Europska unija.Prednosti i izazovi članstva, </w:t>
      </w:r>
      <w:r w:rsidRPr="00BE0929">
        <w:rPr>
          <w:rFonts w:ascii="Adobe Garamond Pro" w:hAnsi="Adobe Garamond Pro"/>
          <w:sz w:val="18"/>
          <w:szCs w:val="18"/>
        </w:rPr>
        <w:t>IMO, 2012., str. 53-60.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BE0929" w:rsidP="00375E6B">
    <w:pPr>
      <w:autoSpaceDE w:val="0"/>
      <w:autoSpaceDN w:val="0"/>
      <w:adjustRightInd w:val="0"/>
      <w:spacing w:after="0" w:line="240" w:lineRule="auto"/>
      <w:rPr>
        <w:rFonts w:ascii="Adobe Garamond Pro" w:eastAsia="Times New Roman" w:hAnsi="Adobe Garamond Pro" w:cs="Garamond"/>
        <w:b/>
        <w:color w:val="000000"/>
        <w:lang w:val="bs-Latn-BA"/>
      </w:rPr>
    </w:pPr>
    <w:r>
      <w:rPr>
        <w:rFonts w:ascii="Adobe Garamond Pro" w:eastAsia="Times New Roman" w:hAnsi="Adobe Garamond Pro" w:cs="Garamond"/>
        <w:color w:val="000000"/>
        <w:sz w:val="20"/>
        <w:szCs w:val="20"/>
        <w:lang w:val="bs-Latn-BA"/>
      </w:rPr>
      <w:t>Lidija Čehulić Vukadinović</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29" w:rsidRPr="00BE0929" w:rsidRDefault="00BE0929" w:rsidP="00BE0929">
    <w:pPr>
      <w:pStyle w:val="NoSpacing"/>
      <w:pBdr>
        <w:bottom w:val="single" w:sz="4" w:space="1" w:color="auto"/>
      </w:pBdr>
      <w:jc w:val="right"/>
      <w:rPr>
        <w:rFonts w:ascii="Adobe Garamond Pro" w:hAnsi="Adobe Garamond Pro"/>
        <w:sz w:val="20"/>
        <w:szCs w:val="20"/>
      </w:rPr>
    </w:pPr>
    <w:r w:rsidRPr="00BE0929">
      <w:rPr>
        <w:rFonts w:ascii="Adobe Garamond Pro" w:hAnsi="Adobe Garamond Pro"/>
        <w:sz w:val="20"/>
        <w:szCs w:val="20"/>
      </w:rPr>
      <w:t xml:space="preserve">Hrvatski pogled na euroatlantizam na </w:t>
    </w:r>
    <w:r w:rsidR="00DE62F6">
      <w:rPr>
        <w:rFonts w:ascii="Adobe Garamond Pro" w:hAnsi="Adobe Garamond Pro"/>
        <w:sz w:val="20"/>
        <w:szCs w:val="20"/>
      </w:rPr>
      <w:t>Z</w:t>
    </w:r>
    <w:r w:rsidRPr="00BE0929">
      <w:rPr>
        <w:rFonts w:ascii="Adobe Garamond Pro" w:hAnsi="Adobe Garamond Pro"/>
        <w:sz w:val="20"/>
        <w:szCs w:val="20"/>
      </w:rPr>
      <w:t xml:space="preserve">apadnom </w:t>
    </w:r>
    <w:r w:rsidR="00DE62F6">
      <w:rPr>
        <w:rFonts w:ascii="Adobe Garamond Pro" w:hAnsi="Adobe Garamond Pro"/>
        <w:sz w:val="20"/>
        <w:szCs w:val="20"/>
      </w:rPr>
      <w:t>B</w:t>
    </w:r>
    <w:r w:rsidRPr="00BE0929">
      <w:rPr>
        <w:rFonts w:ascii="Adobe Garamond Pro" w:hAnsi="Adobe Garamond Pro"/>
        <w:sz w:val="20"/>
        <w:szCs w:val="20"/>
      </w:rPr>
      <w:t>alkanu</w:t>
    </w:r>
  </w:p>
  <w:p w:rsidR="00FF280B" w:rsidRPr="00375E6B" w:rsidRDefault="00FF280B" w:rsidP="00375E6B">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D12A04"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BE0929">
      <w:rPr>
        <w:rFonts w:ascii="Adobe Garamond Pro" w:hAnsi="Adobe Garamond Pro" w:cs="Times New Roman"/>
        <w:b/>
        <w:sz w:val="20"/>
        <w:szCs w:val="20"/>
        <w:lang w:val="bs-Latn-BA"/>
      </w:rPr>
      <w:t>IZVORNI</w:t>
    </w:r>
    <w:r w:rsidR="00D85967" w:rsidRPr="00D85967">
      <w:rPr>
        <w:rFonts w:ascii="Adobe Garamond Pro" w:hAnsi="Adobe Garamond Pro" w:cs="Times New Roman"/>
        <w:b/>
        <w:sz w:val="20"/>
        <w:szCs w:val="20"/>
        <w:lang w:val="bs-Latn-BA"/>
      </w:rPr>
      <w:t xml:space="preserve"> NAUČNI RAD</w:t>
    </w:r>
  </w:p>
  <w:p w:rsidR="00FF280B" w:rsidRPr="00BE0929" w:rsidRDefault="00BE0929" w:rsidP="00BE0929">
    <w:pPr>
      <w:pStyle w:val="Header"/>
      <w:jc w:val="right"/>
      <w:rPr>
        <w:rFonts w:ascii="Adobe Garamond Pro" w:hAnsi="Adobe Garamond Pro"/>
        <w:b/>
        <w:sz w:val="20"/>
        <w:szCs w:val="20"/>
      </w:rPr>
    </w:pPr>
    <w:r w:rsidRPr="00BE0929">
      <w:rPr>
        <w:rFonts w:ascii="Adobe Garamond Pro" w:hAnsi="Adobe Garamond Pro"/>
        <w:sz w:val="20"/>
        <w:szCs w:val="20"/>
      </w:rPr>
      <w:t>UDK 327.51(4)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BA2"/>
    <w:multiLevelType w:val="hybridMultilevel"/>
    <w:tmpl w:val="30769202"/>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B2F77A5"/>
    <w:multiLevelType w:val="hybridMultilevel"/>
    <w:tmpl w:val="1144C27E"/>
    <w:lvl w:ilvl="0" w:tplc="6DDAE168">
      <w:numFmt w:val="bullet"/>
      <w:lvlText w:val="–"/>
      <w:lvlJc w:val="left"/>
      <w:pPr>
        <w:ind w:left="644" w:hanging="360"/>
      </w:pPr>
      <w:rPr>
        <w:rFonts w:ascii="Adobe Garamond Pro" w:eastAsiaTheme="minorHAnsi" w:hAnsi="Adobe Garamond Pro" w:cstheme="minorBidi"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3E45AE"/>
    <w:multiLevelType w:val="hybridMultilevel"/>
    <w:tmpl w:val="AAD07A02"/>
    <w:lvl w:ilvl="0" w:tplc="47E81DC8">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83713"/>
    <w:multiLevelType w:val="hybridMultilevel"/>
    <w:tmpl w:val="A63AA8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E970432"/>
    <w:multiLevelType w:val="hybridMultilevel"/>
    <w:tmpl w:val="190EB1F4"/>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16B1C6C"/>
    <w:multiLevelType w:val="hybridMultilevel"/>
    <w:tmpl w:val="1A4050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633E010D"/>
    <w:multiLevelType w:val="hybridMultilevel"/>
    <w:tmpl w:val="1A08E2E6"/>
    <w:lvl w:ilvl="0" w:tplc="141A0001">
      <w:start w:val="1"/>
      <w:numFmt w:val="bullet"/>
      <w:lvlText w:val=""/>
      <w:lvlJc w:val="left"/>
      <w:pPr>
        <w:ind w:left="1004" w:hanging="360"/>
      </w:pPr>
      <w:rPr>
        <w:rFonts w:ascii="Symbol" w:hAnsi="Symbol" w:hint="default"/>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31">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04B429D"/>
    <w:multiLevelType w:val="hybridMultilevel"/>
    <w:tmpl w:val="0D968E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8">
    <w:nsid w:val="76BA08C4"/>
    <w:multiLevelType w:val="hybridMultilevel"/>
    <w:tmpl w:val="5038E56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32"/>
  </w:num>
  <w:num w:numId="4">
    <w:abstractNumId w:val="11"/>
  </w:num>
  <w:num w:numId="5">
    <w:abstractNumId w:val="34"/>
  </w:num>
  <w:num w:numId="6">
    <w:abstractNumId w:val="4"/>
  </w:num>
  <w:num w:numId="7">
    <w:abstractNumId w:val="9"/>
  </w:num>
  <w:num w:numId="8">
    <w:abstractNumId w:val="15"/>
  </w:num>
  <w:num w:numId="9">
    <w:abstractNumId w:val="18"/>
  </w:num>
  <w:num w:numId="10">
    <w:abstractNumId w:val="12"/>
  </w:num>
  <w:num w:numId="11">
    <w:abstractNumId w:val="6"/>
  </w:num>
  <w:num w:numId="12">
    <w:abstractNumId w:val="14"/>
  </w:num>
  <w:num w:numId="13">
    <w:abstractNumId w:val="36"/>
  </w:num>
  <w:num w:numId="14">
    <w:abstractNumId w:val="5"/>
  </w:num>
  <w:num w:numId="15">
    <w:abstractNumId w:val="2"/>
  </w:num>
  <w:num w:numId="16">
    <w:abstractNumId w:val="8"/>
  </w:num>
  <w:num w:numId="17">
    <w:abstractNumId w:val="10"/>
  </w:num>
  <w:num w:numId="18">
    <w:abstractNumId w:val="22"/>
  </w:num>
  <w:num w:numId="19">
    <w:abstractNumId w:val="17"/>
  </w:num>
  <w:num w:numId="20">
    <w:abstractNumId w:val="16"/>
  </w:num>
  <w:num w:numId="21">
    <w:abstractNumId w:val="31"/>
  </w:num>
  <w:num w:numId="22">
    <w:abstractNumId w:val="0"/>
  </w:num>
  <w:num w:numId="23">
    <w:abstractNumId w:val="39"/>
  </w:num>
  <w:num w:numId="24">
    <w:abstractNumId w:val="20"/>
  </w:num>
  <w:num w:numId="25">
    <w:abstractNumId w:val="19"/>
  </w:num>
  <w:num w:numId="26">
    <w:abstractNumId w:val="33"/>
  </w:num>
  <w:num w:numId="27">
    <w:abstractNumId w:val="37"/>
  </w:num>
  <w:num w:numId="28">
    <w:abstractNumId w:val="29"/>
  </w:num>
  <w:num w:numId="29">
    <w:abstractNumId w:val="40"/>
  </w:num>
  <w:num w:numId="30">
    <w:abstractNumId w:val="23"/>
  </w:num>
  <w:num w:numId="31">
    <w:abstractNumId w:val="24"/>
  </w:num>
  <w:num w:numId="32">
    <w:abstractNumId w:val="27"/>
  </w:num>
  <w:num w:numId="33">
    <w:abstractNumId w:val="35"/>
  </w:num>
  <w:num w:numId="34">
    <w:abstractNumId w:val="38"/>
  </w:num>
  <w:num w:numId="35">
    <w:abstractNumId w:val="21"/>
  </w:num>
  <w:num w:numId="36">
    <w:abstractNumId w:val="13"/>
  </w:num>
  <w:num w:numId="37">
    <w:abstractNumId w:val="1"/>
  </w:num>
  <w:num w:numId="38">
    <w:abstractNumId w:val="30"/>
  </w:num>
  <w:num w:numId="39">
    <w:abstractNumId w:val="7"/>
  </w:num>
  <w:num w:numId="40">
    <w:abstractNumId w:val="2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6179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026A8"/>
    <w:rsid w:val="00010DC5"/>
    <w:rsid w:val="00012D12"/>
    <w:rsid w:val="00034003"/>
    <w:rsid w:val="000365FB"/>
    <w:rsid w:val="00036A11"/>
    <w:rsid w:val="00044C5F"/>
    <w:rsid w:val="000530A5"/>
    <w:rsid w:val="00053AA9"/>
    <w:rsid w:val="0005550E"/>
    <w:rsid w:val="000672FF"/>
    <w:rsid w:val="000733F7"/>
    <w:rsid w:val="00077FF9"/>
    <w:rsid w:val="000A0CAB"/>
    <w:rsid w:val="000A61F6"/>
    <w:rsid w:val="000B01A3"/>
    <w:rsid w:val="000C0BA7"/>
    <w:rsid w:val="000C691C"/>
    <w:rsid w:val="000D0406"/>
    <w:rsid w:val="000E1571"/>
    <w:rsid w:val="000F0373"/>
    <w:rsid w:val="000F1949"/>
    <w:rsid w:val="001017B2"/>
    <w:rsid w:val="0011022A"/>
    <w:rsid w:val="00115821"/>
    <w:rsid w:val="00120375"/>
    <w:rsid w:val="001374C4"/>
    <w:rsid w:val="0014372D"/>
    <w:rsid w:val="00144A6F"/>
    <w:rsid w:val="0016554A"/>
    <w:rsid w:val="001677B1"/>
    <w:rsid w:val="00170728"/>
    <w:rsid w:val="001959A4"/>
    <w:rsid w:val="001A4B4E"/>
    <w:rsid w:val="001B0A65"/>
    <w:rsid w:val="001C6DC9"/>
    <w:rsid w:val="001D4039"/>
    <w:rsid w:val="001D43AB"/>
    <w:rsid w:val="001F0AD6"/>
    <w:rsid w:val="002002DE"/>
    <w:rsid w:val="00205247"/>
    <w:rsid w:val="0023078B"/>
    <w:rsid w:val="00230AB1"/>
    <w:rsid w:val="002478E7"/>
    <w:rsid w:val="00260E15"/>
    <w:rsid w:val="0026477F"/>
    <w:rsid w:val="00264C3A"/>
    <w:rsid w:val="002675B4"/>
    <w:rsid w:val="002715B8"/>
    <w:rsid w:val="002A04A4"/>
    <w:rsid w:val="002A4A58"/>
    <w:rsid w:val="002B7D99"/>
    <w:rsid w:val="002D2430"/>
    <w:rsid w:val="002D54DB"/>
    <w:rsid w:val="002D5F3F"/>
    <w:rsid w:val="002D6B2E"/>
    <w:rsid w:val="002E0C21"/>
    <w:rsid w:val="00306F6C"/>
    <w:rsid w:val="00323B9C"/>
    <w:rsid w:val="003328EE"/>
    <w:rsid w:val="00346C37"/>
    <w:rsid w:val="00351FA0"/>
    <w:rsid w:val="003619F7"/>
    <w:rsid w:val="00373213"/>
    <w:rsid w:val="00375E6B"/>
    <w:rsid w:val="003811A8"/>
    <w:rsid w:val="00383748"/>
    <w:rsid w:val="003866F8"/>
    <w:rsid w:val="00394B5C"/>
    <w:rsid w:val="003B1F07"/>
    <w:rsid w:val="003B4EB9"/>
    <w:rsid w:val="003B7072"/>
    <w:rsid w:val="003D5794"/>
    <w:rsid w:val="003F389D"/>
    <w:rsid w:val="003F67C2"/>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31E4"/>
    <w:rsid w:val="004A54A8"/>
    <w:rsid w:val="004A6567"/>
    <w:rsid w:val="004B37E4"/>
    <w:rsid w:val="004B3A89"/>
    <w:rsid w:val="004C4A36"/>
    <w:rsid w:val="004D620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5BAA"/>
    <w:rsid w:val="0071078B"/>
    <w:rsid w:val="00713C82"/>
    <w:rsid w:val="00713CAD"/>
    <w:rsid w:val="00714555"/>
    <w:rsid w:val="007236FD"/>
    <w:rsid w:val="0074603D"/>
    <w:rsid w:val="00747375"/>
    <w:rsid w:val="00780596"/>
    <w:rsid w:val="007806F9"/>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8F47FC"/>
    <w:rsid w:val="008F5F52"/>
    <w:rsid w:val="009014E3"/>
    <w:rsid w:val="009063AF"/>
    <w:rsid w:val="0090750D"/>
    <w:rsid w:val="00932021"/>
    <w:rsid w:val="00942EF2"/>
    <w:rsid w:val="009469F4"/>
    <w:rsid w:val="00946D5B"/>
    <w:rsid w:val="009548B8"/>
    <w:rsid w:val="00970A7F"/>
    <w:rsid w:val="00976F49"/>
    <w:rsid w:val="00977EC3"/>
    <w:rsid w:val="00977F0F"/>
    <w:rsid w:val="0098045E"/>
    <w:rsid w:val="00985D63"/>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AD5BF3"/>
    <w:rsid w:val="00B010C5"/>
    <w:rsid w:val="00B011A2"/>
    <w:rsid w:val="00B0732E"/>
    <w:rsid w:val="00B073DF"/>
    <w:rsid w:val="00B1266B"/>
    <w:rsid w:val="00B17759"/>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0929"/>
    <w:rsid w:val="00BE0FA7"/>
    <w:rsid w:val="00BE7F6D"/>
    <w:rsid w:val="00BF0675"/>
    <w:rsid w:val="00BF5820"/>
    <w:rsid w:val="00BF5AC4"/>
    <w:rsid w:val="00C17F50"/>
    <w:rsid w:val="00C3459A"/>
    <w:rsid w:val="00C35FC7"/>
    <w:rsid w:val="00C36995"/>
    <w:rsid w:val="00C608B0"/>
    <w:rsid w:val="00C87FDA"/>
    <w:rsid w:val="00C91AFD"/>
    <w:rsid w:val="00CA0ADA"/>
    <w:rsid w:val="00CA1960"/>
    <w:rsid w:val="00CB5B2F"/>
    <w:rsid w:val="00CD34F5"/>
    <w:rsid w:val="00CD4D07"/>
    <w:rsid w:val="00CD7AB1"/>
    <w:rsid w:val="00CF79B5"/>
    <w:rsid w:val="00D02705"/>
    <w:rsid w:val="00D106B5"/>
    <w:rsid w:val="00D12A04"/>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E62F6"/>
    <w:rsid w:val="00DF646E"/>
    <w:rsid w:val="00E02286"/>
    <w:rsid w:val="00E030D6"/>
    <w:rsid w:val="00E03447"/>
    <w:rsid w:val="00E178B6"/>
    <w:rsid w:val="00E25C98"/>
    <w:rsid w:val="00E35914"/>
    <w:rsid w:val="00E47223"/>
    <w:rsid w:val="00E47911"/>
    <w:rsid w:val="00E606B1"/>
    <w:rsid w:val="00E61646"/>
    <w:rsid w:val="00E66AEC"/>
    <w:rsid w:val="00E7368D"/>
    <w:rsid w:val="00E74C96"/>
    <w:rsid w:val="00E810F6"/>
    <w:rsid w:val="00E8374E"/>
    <w:rsid w:val="00E920F2"/>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A1370"/>
    <w:rsid w:val="00FA7F26"/>
    <w:rsid w:val="00FB1BA5"/>
    <w:rsid w:val="00FC23CB"/>
    <w:rsid w:val="00FC4CB6"/>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Footnote Text Char Char,Footnote Text Char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Footnote Text Char Char Char1,Footnote Text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table" w:customStyle="1" w:styleId="LightShading-Accent11">
    <w:name w:val="Light Shading - Accent 11"/>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26A8"/>
    <w:pPr>
      <w:spacing w:after="0" w:line="240" w:lineRule="auto"/>
    </w:pPr>
    <w:rPr>
      <w:rFonts w:eastAsiaTheme="minorEastAsia"/>
      <w:color w:val="943634" w:themeColor="accent2" w:themeShade="BF"/>
      <w:lang w:val="bs-Latn-BA" w:eastAsia="bs-Latn-B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A19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46</cp:revision>
  <dcterms:created xsi:type="dcterms:W3CDTF">2014-04-10T20:22:00Z</dcterms:created>
  <dcterms:modified xsi:type="dcterms:W3CDTF">2014-05-02T07:19:00Z</dcterms:modified>
</cp:coreProperties>
</file>