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99" w:rsidRDefault="002B7D99" w:rsidP="002D2430">
      <w:pPr>
        <w:autoSpaceDE w:val="0"/>
        <w:autoSpaceDN w:val="0"/>
        <w:adjustRightInd w:val="0"/>
        <w:spacing w:after="0" w:line="240" w:lineRule="auto"/>
        <w:jc w:val="center"/>
        <w:rPr>
          <w:rFonts w:ascii="Adobe Garamond Pro" w:hAnsi="Adobe Garamond Pro"/>
          <w:b/>
          <w:sz w:val="28"/>
          <w:szCs w:val="28"/>
        </w:rPr>
      </w:pPr>
    </w:p>
    <w:p w:rsidR="002E19BA" w:rsidRPr="002E19BA" w:rsidRDefault="002E19BA" w:rsidP="002E19BA">
      <w:pPr>
        <w:spacing w:after="0" w:line="240" w:lineRule="auto"/>
        <w:jc w:val="center"/>
        <w:rPr>
          <w:rFonts w:ascii="Adobe Garamond Pro" w:eastAsia="Times New Roman" w:hAnsi="Adobe Garamond Pro"/>
          <w:b/>
          <w:noProof/>
          <w:sz w:val="28"/>
          <w:szCs w:val="28"/>
          <w:lang/>
        </w:rPr>
      </w:pPr>
      <w:r w:rsidRPr="002E19BA">
        <w:rPr>
          <w:rFonts w:ascii="Adobe Garamond Pro" w:eastAsia="Times New Roman" w:hAnsi="Adobe Garamond Pro"/>
          <w:b/>
          <w:noProof/>
          <w:sz w:val="28"/>
          <w:szCs w:val="28"/>
          <w:lang/>
        </w:rPr>
        <w:t xml:space="preserve">Održivost bezbjednosnih rješenja u </w:t>
      </w:r>
      <w:r>
        <w:rPr>
          <w:rFonts w:ascii="Adobe Garamond Pro" w:eastAsia="Times New Roman" w:hAnsi="Adobe Garamond Pro"/>
          <w:b/>
          <w:noProof/>
          <w:sz w:val="28"/>
          <w:szCs w:val="28"/>
          <w:lang/>
        </w:rPr>
        <w:t>B</w:t>
      </w:r>
      <w:r w:rsidRPr="002E19BA">
        <w:rPr>
          <w:rFonts w:ascii="Adobe Garamond Pro" w:eastAsia="Times New Roman" w:hAnsi="Adobe Garamond Pro"/>
          <w:b/>
          <w:noProof/>
          <w:sz w:val="28"/>
          <w:szCs w:val="28"/>
          <w:lang/>
        </w:rPr>
        <w:t xml:space="preserve">osni i </w:t>
      </w:r>
      <w:r>
        <w:rPr>
          <w:rFonts w:ascii="Adobe Garamond Pro" w:eastAsia="Times New Roman" w:hAnsi="Adobe Garamond Pro"/>
          <w:b/>
          <w:noProof/>
          <w:sz w:val="28"/>
          <w:szCs w:val="28"/>
          <w:lang/>
        </w:rPr>
        <w:t>H</w:t>
      </w:r>
      <w:r w:rsidRPr="002E19BA">
        <w:rPr>
          <w:rFonts w:ascii="Adobe Garamond Pro" w:eastAsia="Times New Roman" w:hAnsi="Adobe Garamond Pro"/>
          <w:b/>
          <w:noProof/>
          <w:sz w:val="28"/>
          <w:szCs w:val="28"/>
          <w:lang/>
        </w:rPr>
        <w:t>ercegovini</w:t>
      </w:r>
    </w:p>
    <w:p w:rsidR="002E19BA" w:rsidRPr="002E19BA" w:rsidRDefault="002E19BA" w:rsidP="002E19BA">
      <w:pPr>
        <w:spacing w:after="0" w:line="240" w:lineRule="auto"/>
        <w:jc w:val="center"/>
        <w:rPr>
          <w:rFonts w:ascii="Adobe Garamond Pro" w:eastAsia="Times New Roman" w:hAnsi="Adobe Garamond Pro"/>
          <w:b/>
          <w:noProof/>
          <w:sz w:val="28"/>
          <w:szCs w:val="28"/>
          <w:lang/>
        </w:rPr>
      </w:pPr>
      <w:r>
        <w:rPr>
          <w:rFonts w:ascii="Adobe Garamond Pro" w:eastAsia="Times New Roman" w:hAnsi="Adobe Garamond Pro"/>
          <w:b/>
          <w:noProof/>
          <w:sz w:val="28"/>
          <w:szCs w:val="28"/>
          <w:lang/>
        </w:rPr>
        <w:t>k</w:t>
      </w:r>
      <w:r w:rsidRPr="002E19BA">
        <w:rPr>
          <w:rFonts w:ascii="Adobe Garamond Pro" w:eastAsia="Times New Roman" w:hAnsi="Adobe Garamond Pro"/>
          <w:b/>
          <w:noProof/>
          <w:sz w:val="28"/>
          <w:szCs w:val="28"/>
          <w:lang/>
        </w:rPr>
        <w:t>roz prizmu evropske integracije</w:t>
      </w:r>
    </w:p>
    <w:p w:rsidR="002D2430" w:rsidRPr="00406E3A" w:rsidRDefault="002D2430" w:rsidP="002E19BA">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2E19BA"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Mr</w:t>
      </w:r>
      <w:r w:rsidR="00375E6B">
        <w:rPr>
          <w:rFonts w:ascii="Adobe Garamond Pro" w:hAnsi="Adobe Garamond Pro"/>
          <w:b/>
        </w:rPr>
        <w:t>.</w:t>
      </w:r>
      <w:r w:rsidR="00BD0D1C" w:rsidRPr="00BD0D1C">
        <w:rPr>
          <w:rFonts w:ascii="Adobe Garamond Pro" w:hAnsi="Adobe Garamond Pro"/>
          <w:b/>
        </w:rPr>
        <w:t xml:space="preserve"> </w:t>
      </w:r>
      <w:r>
        <w:rPr>
          <w:rFonts w:ascii="Adobe Garamond Pro" w:hAnsi="Adobe Garamond Pro"/>
          <w:b/>
        </w:rPr>
        <w:t>Manja Đurić</w:t>
      </w:r>
      <w:r w:rsidR="00BD0D1C" w:rsidRPr="00BD0D1C">
        <w:rPr>
          <w:rFonts w:ascii="Adobe Garamond Pro" w:eastAsia="Times New Roman" w:hAnsi="Adobe Garamond Pro" w:cs="Garamond"/>
          <w:b/>
          <w:color w:val="000000"/>
          <w:lang w:val="bs-Latn-BA"/>
        </w:rPr>
        <w:t xml:space="preserve"> </w:t>
      </w:r>
    </w:p>
    <w:p w:rsidR="00375E6B" w:rsidRPr="00375E6B" w:rsidRDefault="002E19BA" w:rsidP="002D2430">
      <w:pPr>
        <w:pStyle w:val="NoSpacing"/>
        <w:jc w:val="center"/>
        <w:rPr>
          <w:rFonts w:ascii="Adobe Garamond Pro" w:eastAsia="Times New Roman" w:hAnsi="Adobe Garamond Pro" w:cs="Garamond"/>
          <w:i/>
          <w:color w:val="000000"/>
          <w:lang w:val="bs-Latn-BA"/>
        </w:rPr>
      </w:pPr>
      <w:r>
        <w:rPr>
          <w:rFonts w:ascii="Adobe Garamond Pro" w:hAnsi="Adobe Garamond Pro"/>
          <w:lang w:val="hr-BA"/>
        </w:rPr>
        <w:t>Fakultet političkih nauka Univerziteta u Banjoj Luci</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7957CA" w:rsidP="002D2430">
      <w:pPr>
        <w:pStyle w:val="NoSpacing"/>
        <w:jc w:val="both"/>
        <w:rPr>
          <w:rFonts w:ascii="Adobe Garamond Pro" w:eastAsia="Times New Roman" w:hAnsi="Adobe Garamond Pro" w:cs="Garamond"/>
          <w:b/>
          <w:color w:val="000000"/>
          <w:lang w:val="bs-Latn-BA"/>
        </w:rPr>
      </w:pPr>
      <w:r w:rsidRPr="007957CA">
        <w:rPr>
          <w:rFonts w:ascii="Adobe Garamond Pro" w:hAnsi="Adobe Garamond Pro"/>
          <w:i/>
          <w:noProof/>
          <w:lang w:val="bs-Latn-BA" w:eastAsia="bs-Latn-BA"/>
        </w:rPr>
        <w:pict>
          <v:rect id="_x0000_s1035" style="position:absolute;left:0;text-align:left;margin-left:-107.2pt;margin-top:4.2pt;width:340.6pt;height:347.65pt;z-index:-251658240" fillcolor="#f2f2f2 [3052]" stroked="f"/>
        </w:pict>
      </w:r>
      <w:r w:rsidRPr="007957CA">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41.35pt;height:361.15pt;z-index:251657216;mso-width-relative:margin;mso-height-relative:margin" filled="f" stroked="f">
            <v:textbox style="mso-next-textbox:#_x0000_s1030">
              <w:txbxContent>
                <w:p w:rsidR="002E19BA" w:rsidRPr="002E19BA" w:rsidRDefault="00BD0D1C" w:rsidP="002E19BA">
                  <w:pPr>
                    <w:spacing w:after="0" w:line="240" w:lineRule="auto"/>
                    <w:jc w:val="both"/>
                    <w:rPr>
                      <w:rFonts w:ascii="Adobe Garamond Pro" w:eastAsia="Times New Roman" w:hAnsi="Adobe Garamond Pro"/>
                      <w:i/>
                      <w:noProof/>
                      <w:sz w:val="20"/>
                      <w:szCs w:val="20"/>
                      <w:lang/>
                    </w:rPr>
                  </w:pPr>
                  <w:r w:rsidRPr="002E19BA">
                    <w:rPr>
                      <w:rFonts w:ascii="Adobe Garamond Pro" w:hAnsi="Adobe Garamond Pro" w:cs="Times New Roman"/>
                      <w:b/>
                      <w:i/>
                      <w:sz w:val="20"/>
                      <w:szCs w:val="20"/>
                      <w:lang w:val="hr-BA"/>
                    </w:rPr>
                    <w:t>Sažetak</w:t>
                  </w:r>
                  <w:r w:rsidR="00FF280B" w:rsidRPr="002E19BA">
                    <w:rPr>
                      <w:rFonts w:ascii="Adobe Garamond Pro" w:hAnsi="Adobe Garamond Pro" w:cs="Times New Roman"/>
                      <w:b/>
                      <w:i/>
                      <w:sz w:val="20"/>
                      <w:szCs w:val="20"/>
                      <w:lang w:val="hr-BA"/>
                    </w:rPr>
                    <w:t xml:space="preserve">: </w:t>
                  </w:r>
                  <w:r w:rsidR="002E19BA" w:rsidRPr="002E19BA">
                    <w:rPr>
                      <w:rFonts w:ascii="Adobe Garamond Pro" w:eastAsia="Times New Roman" w:hAnsi="Adobe Garamond Pro"/>
                      <w:i/>
                      <w:noProof/>
                      <w:sz w:val="20"/>
                      <w:szCs w:val="20"/>
                      <w:lang/>
                    </w:rPr>
                    <w:t>Proces strukturnih društvenih promjena u Bosni i Hercegovini ubrzan je vanjskim faktorima čiju pokretačku snagu predstavlja ekonomija, tehnika i tehnologija, politika i kultura. Odbrambena i bezbjedonosna sfera je utopljena i integrisana kroz političku dimenziju tranzicije. Obzirom da tranzicija teče kroz prilagođavanje podsistema a ne društvenog sistema u cjelini i odbrambeno – zaštitni podsistem možemo podvrgnuti transformacijskoj valorizaciji. Početak svake aktivnosti predstavlja dogovor, ugovor, sporazum odnosno političku volju ili saglasnost. Dejtonski mirovni sporazum predstavljao je političku platformu i polaznu osnovu (okvir) za ustrojstvo odbrambeno – zaštitnog segmenta. Posao time nije završen nego je počeo. Opterećenost prošlošću, geopolitikom, geostrategijom i bezidejnošću dovela je do izbjegavanja sagledavanja i osvjetljenja naše pozicije, položaja, resursa, poteza i vizije budućnosti. Dozvoljena je opšta dezorjentacija, pasivnost, anomija i bezidejnost da nam se ništa ne sviđa, da u sve sumnjamo, da se svemu suprostavljamo, da ništa ne predlažemo, nudimo, tražimo, možemo itd. Sudbinski važne odluke moraju promišljati najzreliji i najodvažniji, najsposobniji koje narod ima. Na iskustvima ovog vremena i onog koje dolazi odoliće i opstati bolji, sposobniji, prilagodljiviji. Istorija je mnogo puta proučavala one koji o tome na njihovu nesreću ne mogu govoriti. Budućnost je još nemilosrdnija, ranjivija, osjetljivija i upitnija.</w:t>
                  </w:r>
                </w:p>
                <w:p w:rsidR="00FF280B" w:rsidRPr="002E19BA" w:rsidRDefault="00FF280B" w:rsidP="002E19BA">
                  <w:pPr>
                    <w:spacing w:after="0" w:line="240" w:lineRule="auto"/>
                    <w:jc w:val="both"/>
                    <w:rPr>
                      <w:rFonts w:ascii="Adobe Garamond Pro" w:hAnsi="Adobe Garamond Pro"/>
                      <w:i/>
                      <w:sz w:val="20"/>
                      <w:szCs w:val="20"/>
                    </w:rPr>
                  </w:pPr>
                </w:p>
              </w:txbxContent>
            </v:textbox>
          </v:shape>
        </w:pict>
      </w:r>
      <w:r w:rsidRPr="007957CA">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BD0D1C" w:rsidRPr="002E19BA" w:rsidRDefault="00BD0D1C" w:rsidP="002E19BA">
                  <w:pPr>
                    <w:spacing w:after="0" w:line="240" w:lineRule="auto"/>
                    <w:rPr>
                      <w:rFonts w:ascii="Adobe Garamond Pro" w:hAnsi="Adobe Garamond Pro"/>
                      <w:i/>
                      <w:sz w:val="20"/>
                      <w:szCs w:val="20"/>
                    </w:rPr>
                  </w:pPr>
                  <w:r w:rsidRPr="002E19BA">
                    <w:rPr>
                      <w:rFonts w:ascii="Adobe Garamond Pro" w:hAnsi="Adobe Garamond Pro"/>
                      <w:b/>
                      <w:i/>
                      <w:sz w:val="20"/>
                      <w:szCs w:val="20"/>
                    </w:rPr>
                    <w:t>Ključne riječi:</w:t>
                  </w:r>
                  <w:r w:rsidRPr="002E19BA">
                    <w:rPr>
                      <w:rFonts w:ascii="Adobe Garamond Pro" w:hAnsi="Adobe Garamond Pro"/>
                      <w:i/>
                      <w:sz w:val="20"/>
                      <w:szCs w:val="20"/>
                    </w:rPr>
                    <w:t xml:space="preserve"> </w:t>
                  </w:r>
                  <w:r w:rsidR="002E19BA" w:rsidRPr="002E19BA">
                    <w:rPr>
                      <w:rFonts w:ascii="Adobe Garamond Pro" w:eastAsia="Times New Roman" w:hAnsi="Adobe Garamond Pro"/>
                      <w:i/>
                      <w:noProof/>
                      <w:sz w:val="20"/>
                      <w:szCs w:val="20"/>
                      <w:lang/>
                    </w:rPr>
                    <w:t>bezbjednost BiH, evropska integracija, Dejtonski sporazum, tranzicija</w:t>
                  </w:r>
                </w:p>
                <w:p w:rsidR="00FF280B" w:rsidRPr="002E19BA" w:rsidRDefault="00FF280B" w:rsidP="002E19BA">
                  <w:pPr>
                    <w:spacing w:after="0" w:line="240" w:lineRule="auto"/>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98335E" w:rsidRDefault="002D2430" w:rsidP="0098335E">
      <w:pPr>
        <w:spacing w:after="0" w:line="240" w:lineRule="auto"/>
        <w:jc w:val="both"/>
        <w:rPr>
          <w:rFonts w:ascii="Adobe Garamond Pro" w:eastAsia="Times New Roman" w:hAnsi="Adobe Garamond Pro"/>
          <w:b/>
          <w:noProof/>
          <w:lang/>
        </w:rPr>
      </w:pPr>
      <w:r w:rsidRPr="002E0C21">
        <w:rPr>
          <w:rFonts w:ascii="Adobe Garamond Pro" w:hAnsi="Adobe Garamond Pro" w:cs="Times New Roman"/>
          <w:lang w:val="bs-Latn-BA"/>
        </w:rPr>
        <w:br w:type="page"/>
      </w:r>
      <w:r w:rsidR="0098335E" w:rsidRPr="0098335E">
        <w:rPr>
          <w:rFonts w:ascii="Adobe Garamond Pro" w:eastAsia="Times New Roman" w:hAnsi="Adobe Garamond Pro"/>
          <w:b/>
          <w:noProof/>
          <w:lang/>
        </w:rPr>
        <w:lastRenderedPageBreak/>
        <w:t>UVOD</w:t>
      </w:r>
    </w:p>
    <w:p w:rsidR="0098335E" w:rsidRPr="0098335E" w:rsidRDefault="0098335E" w:rsidP="0098335E">
      <w:pPr>
        <w:spacing w:after="0" w:line="240" w:lineRule="auto"/>
        <w:jc w:val="both"/>
        <w:rPr>
          <w:rFonts w:ascii="Adobe Garamond Pro" w:eastAsia="Times New Roman" w:hAnsi="Adobe Garamond Pro"/>
          <w:b/>
          <w:noProof/>
          <w:lang/>
        </w:rPr>
      </w:pPr>
    </w:p>
    <w:p w:rsid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Poslije rata 1995. u BiH i sankcija, pokrenuti su programi obnove, ali oni nisu dali očekivane rezultate. Kroz finansijske programe pomoći (PHARE, CARDS) dat je doprinos obnovi fabrika, istorijskih spomenika, povećanju makroekonomske stabilnosti, ali nisu obnovljene pokidane privredne veze, nisu pokrenuti profitabilni poslovi i nije bilo većih stranih ulaganja.</w:t>
      </w:r>
      <w:r w:rsidRPr="0098335E">
        <w:rPr>
          <w:rStyle w:val="FootnoteReference"/>
          <w:rFonts w:ascii="Adobe Garamond Pro" w:eastAsia="Times New Roman" w:hAnsi="Adobe Garamond Pro"/>
          <w:noProof/>
          <w:sz w:val="20"/>
          <w:szCs w:val="20"/>
          <w:lang/>
        </w:rPr>
        <w:footnoteReference w:id="2"/>
      </w:r>
      <w:r w:rsidRPr="0098335E">
        <w:rPr>
          <w:rFonts w:ascii="Adobe Garamond Pro" w:eastAsia="Times New Roman" w:hAnsi="Adobe Garamond Pro"/>
          <w:noProof/>
          <w:sz w:val="20"/>
          <w:szCs w:val="20"/>
          <w:lang/>
        </w:rPr>
        <w:t xml:space="preserve"> (u tabeli broj 4 pogledati put BiH ka EU).</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Default="0098335E" w:rsidP="0098335E">
      <w:pPr>
        <w:spacing w:after="0" w:line="240" w:lineRule="auto"/>
        <w:jc w:val="both"/>
        <w:rPr>
          <w:rStyle w:val="longtext"/>
          <w:rFonts w:ascii="Adobe Garamond Pro" w:hAnsi="Adobe Garamond Pro"/>
          <w:noProof/>
          <w:sz w:val="20"/>
          <w:szCs w:val="20"/>
          <w:shd w:val="clear" w:color="auto" w:fill="FFFFFF"/>
          <w:lang/>
        </w:rPr>
      </w:pPr>
      <w:r>
        <w:rPr>
          <w:rStyle w:val="longtext"/>
          <w:rFonts w:ascii="Adobe Garamond Pro" w:hAnsi="Adobe Garamond Pro"/>
          <w:noProof/>
          <w:sz w:val="20"/>
          <w:szCs w:val="20"/>
          <w:shd w:val="clear" w:color="auto" w:fill="FFFFFF"/>
          <w:lang/>
        </w:rPr>
        <w:tab/>
      </w:r>
      <w:r w:rsidRPr="0098335E">
        <w:rPr>
          <w:rStyle w:val="longtext"/>
          <w:rFonts w:ascii="Adobe Garamond Pro" w:hAnsi="Adobe Garamond Pro"/>
          <w:noProof/>
          <w:sz w:val="20"/>
          <w:szCs w:val="20"/>
          <w:shd w:val="clear" w:color="auto" w:fill="FFFFFF"/>
          <w:lang/>
        </w:rPr>
        <w:t>Primarni fokus na Zapadnom Balkanu je finansiranje rekonstrukcije infrastrukture koja se smatra ključnom komponentom u razvoju regiona. Evropska investiciona banka je u Bosni i Hercegovini finansirala projekte koji su obuhvatatili rekonstrukciju puteva, željeznica, luka, aerodroma i strujnih instalacija, koje su oštećene ili zapostavljene tokom rata i koje su od najvećeg značaja za obnovu ekonomskih i socijalnih veza između zemalja u regionu.</w:t>
      </w:r>
    </w:p>
    <w:p w:rsidR="0098335E" w:rsidRPr="0098335E" w:rsidRDefault="0098335E" w:rsidP="0098335E">
      <w:pPr>
        <w:spacing w:after="0" w:line="240" w:lineRule="auto"/>
        <w:jc w:val="both"/>
        <w:rPr>
          <w:rStyle w:val="longtext"/>
          <w:rFonts w:ascii="Adobe Garamond Pro" w:hAnsi="Adobe Garamond Pro"/>
          <w:noProof/>
          <w:sz w:val="20"/>
          <w:szCs w:val="20"/>
          <w:shd w:val="clear" w:color="auto" w:fill="FFFFFF"/>
          <w:lang/>
        </w:rPr>
      </w:pPr>
    </w:p>
    <w:p w:rsid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Bosna i Hercegovina se kroz posebnu strategiju proces stabilizacije i pridruživanja, a od 2004. godine i kroz evropsko partnerstvo, te uz evropske programe podrške podstiče na stabilizaciju društvenog, političkog, ekonomskog, socijalnog, tržišnog i svakog drugog aspekta, da bi se tek nakon toga stekli uslovi za postepeno pristupanje Uniji.</w:t>
      </w:r>
      <w:r w:rsidRPr="0098335E">
        <w:rPr>
          <w:rStyle w:val="FootnoteReference"/>
          <w:rFonts w:ascii="Adobe Garamond Pro" w:eastAsia="Times New Roman" w:hAnsi="Adobe Garamond Pro"/>
          <w:noProof/>
          <w:sz w:val="20"/>
          <w:szCs w:val="20"/>
          <w:lang/>
        </w:rPr>
        <w:footnoteReference w:id="3"/>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 xml:space="preserve">U Luksemburgu 1997. godine Savjet ministara Evropske unije je utvrdio zajedničku strategiju prema zemljama Zapadnog Balkana. Strategija je dobila naziv Regionalni pristup. Jedan od razloga jedinstvenog pristupa prema ovim zemljama je potreba očuvanja bezbjednosti i stabilnosti u regionu gdje su se nedavno odvijali oružani sukobi. Evropska unija je utvrdila i tzv. politiku uslovljenosti kojom se postavljaju određeni zahtjevi pred sve zemlje regiona, a to su opšti uslovi i pred svaku državu pojedinačno, označeni kao specifični uslovi. </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P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Regionalni pristup je 1999. godine evoluirao u proces stabilizacije i pridruživanja. Države obuhvaćene ovim procesom su potencijalni kandidati za članstvo u Uniji. U početku je u Bosni i Hercegovini za podršku procesu stabilizacije i pridruživanja korišćen program Kards (CARDS), a od 2007. godine skoro svi fondovi  za pomoć kandidatima i potencijalnim kandidatima objedinjeni su u okviru programa IPA (IPA) za pretpristupnu pomoć. Zemlje kandidati povlače sredstva po pet osnova ili komponenti, a potencijalni kandidati kao BiH po samo prva dva osnova: prelaznoj pomoći i izgradnji ustanova i prekograničnoj saradnji.</w:t>
      </w:r>
      <w:r w:rsidRPr="0098335E">
        <w:rPr>
          <w:rStyle w:val="FootnoteReference"/>
          <w:rFonts w:ascii="Adobe Garamond Pro" w:eastAsia="Times New Roman" w:hAnsi="Adobe Garamond Pro"/>
          <w:noProof/>
          <w:sz w:val="20"/>
          <w:szCs w:val="20"/>
          <w:lang/>
        </w:rPr>
        <w:footnoteReference w:id="4"/>
      </w:r>
    </w:p>
    <w:p w:rsid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lastRenderedPageBreak/>
        <w:tab/>
      </w:r>
      <w:r w:rsidRPr="0098335E">
        <w:rPr>
          <w:rFonts w:ascii="Adobe Garamond Pro" w:eastAsia="Times New Roman" w:hAnsi="Adobe Garamond Pro"/>
          <w:noProof/>
          <w:sz w:val="20"/>
          <w:szCs w:val="20"/>
          <w:lang/>
        </w:rPr>
        <w:t xml:space="preserve">U Izvještaju o napretku Bosne i Hercegovine u 2013. godini na putu ka Evropskoj uniji, koji objavljuje Evropska komisija naveden je napredak u oblasti reforme javne uprave uz i dalje prisutne složene administrativne procedure, politizaciju i slabost u pogledu upravljanja ljudskim resursima. Reforma u oblasti pravosuđa je dovela do smanjenog broja zaostalih predmeta i ojačala nezavisnost pravosuđa kroz izmjene ustava. Ograničen napredak je postignut u rješavanju problema korupcije koja predstavlja ozbiljan problem i izražena je i u javnom i u privatnom sektoru. Agencija za borbu protiv korupcije još nije potpuno operativna. Nedovoljan broj predmeta je procesuiran a samo nekoliko je rezultiralo krivičnim gonjenjem. </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Default="0098335E" w:rsidP="0098335E">
      <w:pPr>
        <w:spacing w:after="0" w:line="240" w:lineRule="auto"/>
        <w:jc w:val="both"/>
        <w:rPr>
          <w:rFonts w:ascii="Adobe Garamond Pro" w:eastAsia="Times New Roman" w:hAnsi="Adobe Garamond Pro"/>
          <w:noProof/>
          <w:sz w:val="20"/>
          <w:szCs w:val="20"/>
          <w:lang w:eastAsia="hr-BA"/>
        </w:rPr>
      </w:pPr>
      <w:r>
        <w:rPr>
          <w:rFonts w:ascii="Adobe Garamond Pro" w:eastAsia="Times New Roman" w:hAnsi="Adobe Garamond Pro"/>
          <w:noProof/>
          <w:sz w:val="20"/>
          <w:szCs w:val="20"/>
          <w:lang w:eastAsia="hr-BA"/>
        </w:rPr>
        <w:tab/>
      </w:r>
      <w:r w:rsidRPr="0098335E">
        <w:rPr>
          <w:rFonts w:ascii="Adobe Garamond Pro" w:eastAsia="Times New Roman" w:hAnsi="Adobe Garamond Pro"/>
          <w:noProof/>
          <w:sz w:val="20"/>
          <w:szCs w:val="20"/>
          <w:lang w:eastAsia="hr-BA"/>
        </w:rPr>
        <w:t>Bosna i Hercegovina je potencijalni kandidat za članstvo u EU. Sporazum o stabilizaciji i pridruživanju (SSP) je ratifikovan, ali još uvijek nije stupio na snagu. Izgubljen je politički konsenzus koji je postojao i došlo je do zastoja u napretku prema EU. Tenzije povezane sa rekonstrukcijom vlasti na državnom nivou i u Federaciji nisu pogodovale sprovođenju presude u slučaju Sejdić-Finci.</w:t>
      </w:r>
      <w:r w:rsidRPr="0098335E">
        <w:rPr>
          <w:rStyle w:val="FootnoteReference"/>
          <w:rFonts w:ascii="Adobe Garamond Pro" w:eastAsia="Times New Roman" w:hAnsi="Adobe Garamond Pro"/>
          <w:noProof/>
          <w:sz w:val="20"/>
          <w:szCs w:val="20"/>
          <w:lang w:eastAsia="hr-BA"/>
        </w:rPr>
        <w:footnoteReference w:id="5"/>
      </w:r>
      <w:r w:rsidRPr="0098335E">
        <w:rPr>
          <w:rFonts w:ascii="Adobe Garamond Pro" w:eastAsia="Times New Roman" w:hAnsi="Adobe Garamond Pro"/>
          <w:noProof/>
          <w:sz w:val="20"/>
          <w:szCs w:val="20"/>
          <w:lang w:eastAsia="hr-BA"/>
        </w:rPr>
        <w:t xml:space="preserve"> </w:t>
      </w:r>
    </w:p>
    <w:p w:rsidR="0098335E" w:rsidRPr="0098335E" w:rsidRDefault="0098335E" w:rsidP="0098335E">
      <w:pPr>
        <w:spacing w:after="0" w:line="240" w:lineRule="auto"/>
        <w:jc w:val="both"/>
        <w:rPr>
          <w:rFonts w:ascii="Adobe Garamond Pro" w:eastAsia="Times New Roman" w:hAnsi="Adobe Garamond Pro"/>
          <w:noProof/>
          <w:sz w:val="20"/>
          <w:szCs w:val="20"/>
          <w:lang w:eastAsia="hr-BA"/>
        </w:rPr>
      </w:pPr>
    </w:p>
    <w:p w:rsidR="0098335E" w:rsidRDefault="0098335E" w:rsidP="0098335E">
      <w:pPr>
        <w:autoSpaceDE w:val="0"/>
        <w:autoSpaceDN w:val="0"/>
        <w:adjustRightInd w:val="0"/>
        <w:spacing w:after="0" w:line="240" w:lineRule="auto"/>
        <w:ind w:firstLine="1"/>
        <w:jc w:val="both"/>
        <w:rPr>
          <w:rFonts w:ascii="Adobe Garamond Pro" w:eastAsia="PMingLiU" w:hAnsi="Adobe Garamond Pro"/>
          <w:noProof/>
          <w:sz w:val="20"/>
          <w:szCs w:val="20"/>
          <w:lang/>
        </w:rPr>
      </w:pPr>
      <w:r>
        <w:rPr>
          <w:rFonts w:ascii="Adobe Garamond Pro" w:eastAsia="Times New Roman" w:hAnsi="Adobe Garamond Pro"/>
          <w:noProof/>
          <w:sz w:val="20"/>
          <w:szCs w:val="20"/>
          <w:lang w:eastAsia="hr-BA"/>
        </w:rPr>
        <w:tab/>
      </w:r>
      <w:r w:rsidRPr="0098335E">
        <w:rPr>
          <w:rFonts w:ascii="Adobe Garamond Pro" w:eastAsia="Times New Roman" w:hAnsi="Adobe Garamond Pro"/>
          <w:noProof/>
          <w:sz w:val="20"/>
          <w:szCs w:val="20"/>
          <w:lang w:eastAsia="hr-BA"/>
        </w:rPr>
        <w:t xml:space="preserve">Sprovođenje Privremenog sporazuma u Bosni i Hercegovini je i dalje neujednačeno zbog neusklađivanja sa Evropskom konvencijom za zaštitu ljudskih prava i osnovnih sloboda, kao i sa pravilima o državnoj pomoći. Kako se navodi u Izvještaju </w:t>
      </w:r>
      <w:r w:rsidRPr="0098335E">
        <w:rPr>
          <w:rStyle w:val="FootnoteReference"/>
          <w:rFonts w:ascii="Adobe Garamond Pro" w:eastAsia="Times New Roman" w:hAnsi="Adobe Garamond Pro"/>
          <w:noProof/>
          <w:sz w:val="20"/>
          <w:szCs w:val="20"/>
          <w:lang w:eastAsia="hr-BA"/>
        </w:rPr>
        <w:footnoteReference w:id="6"/>
      </w:r>
      <w:r w:rsidRPr="0098335E">
        <w:rPr>
          <w:rFonts w:ascii="Adobe Garamond Pro" w:eastAsia="PMingLiU" w:hAnsi="Adobe Garamond Pro"/>
          <w:noProof/>
          <w:sz w:val="20"/>
          <w:szCs w:val="20"/>
          <w:lang/>
        </w:rPr>
        <w:t xml:space="preserve"> Bosna i</w:t>
      </w:r>
      <w:r w:rsidRPr="0098335E">
        <w:rPr>
          <w:rFonts w:ascii="Adobe Garamond Pro" w:eastAsia="Times New Roman" w:hAnsi="Adobe Garamond Pro"/>
          <w:noProof/>
          <w:sz w:val="20"/>
          <w:szCs w:val="20"/>
          <w:lang/>
        </w:rPr>
        <w:t xml:space="preserve"> </w:t>
      </w:r>
      <w:r w:rsidRPr="0098335E">
        <w:rPr>
          <w:rFonts w:ascii="Adobe Garamond Pro" w:eastAsia="PMingLiU" w:hAnsi="Adobe Garamond Pro"/>
          <w:noProof/>
          <w:sz w:val="20"/>
          <w:szCs w:val="20"/>
          <w:lang/>
        </w:rPr>
        <w:t>Hercegovina učestvuje u Strukturiranom dijalogu o pravosuđu sa Unijom a ovaj proces je uspostavljen sa</w:t>
      </w:r>
      <w:r w:rsidRPr="0098335E">
        <w:rPr>
          <w:rFonts w:ascii="Adobe Garamond Pro" w:eastAsia="Times New Roman" w:hAnsi="Adobe Garamond Pro"/>
          <w:noProof/>
          <w:sz w:val="20"/>
          <w:szCs w:val="20"/>
          <w:lang/>
        </w:rPr>
        <w:t xml:space="preserve"> </w:t>
      </w:r>
      <w:r w:rsidRPr="0098335E">
        <w:rPr>
          <w:rFonts w:ascii="Adobe Garamond Pro" w:eastAsia="PMingLiU" w:hAnsi="Adobe Garamond Pro"/>
          <w:noProof/>
          <w:sz w:val="20"/>
          <w:szCs w:val="20"/>
          <w:lang/>
        </w:rPr>
        <w:t>ciljem daljnjeg</w:t>
      </w:r>
      <w:r w:rsidRPr="0098335E">
        <w:rPr>
          <w:rFonts w:ascii="Adobe Garamond Pro" w:eastAsia="Times New Roman" w:hAnsi="Adobe Garamond Pro"/>
          <w:noProof/>
          <w:sz w:val="20"/>
          <w:szCs w:val="20"/>
          <w:lang/>
        </w:rPr>
        <w:t xml:space="preserve"> </w:t>
      </w:r>
      <w:r w:rsidRPr="0098335E">
        <w:rPr>
          <w:rFonts w:ascii="Adobe Garamond Pro" w:eastAsia="PMingLiU" w:hAnsi="Adobe Garamond Pro"/>
          <w:noProof/>
          <w:sz w:val="20"/>
          <w:szCs w:val="20"/>
          <w:lang/>
        </w:rPr>
        <w:t xml:space="preserve">konsolidovanja </w:t>
      </w:r>
      <w:r w:rsidRPr="0098335E">
        <w:rPr>
          <w:rFonts w:ascii="Adobe Garamond Pro" w:eastAsia="Times New Roman" w:hAnsi="Adobe Garamond Pro"/>
          <w:noProof/>
          <w:sz w:val="20"/>
          <w:szCs w:val="20"/>
          <w:lang/>
        </w:rPr>
        <w:t>nezavisnog, djelotvornog, nepristrasnog i odgovornog pravosudnog sistema u</w:t>
      </w:r>
      <w:r w:rsidRPr="0098335E">
        <w:rPr>
          <w:rFonts w:ascii="Adobe Garamond Pro" w:eastAsia="PMingLiU" w:hAnsi="Adobe Garamond Pro"/>
          <w:noProof/>
          <w:sz w:val="20"/>
          <w:szCs w:val="20"/>
          <w:lang/>
        </w:rPr>
        <w:t xml:space="preserve"> skladu</w:t>
      </w:r>
      <w:r w:rsidRPr="0098335E">
        <w:rPr>
          <w:rFonts w:ascii="Adobe Garamond Pro" w:eastAsia="Times New Roman" w:hAnsi="Adobe Garamond Pro"/>
          <w:noProof/>
          <w:sz w:val="20"/>
          <w:szCs w:val="20"/>
          <w:lang/>
        </w:rPr>
        <w:t xml:space="preserve"> </w:t>
      </w:r>
      <w:r w:rsidRPr="0098335E">
        <w:rPr>
          <w:rFonts w:ascii="Adobe Garamond Pro" w:eastAsia="PMingLiU" w:hAnsi="Adobe Garamond Pro"/>
          <w:noProof/>
          <w:sz w:val="20"/>
          <w:szCs w:val="20"/>
          <w:lang/>
        </w:rPr>
        <w:t>sa</w:t>
      </w:r>
      <w:r w:rsidRPr="0098335E">
        <w:rPr>
          <w:rFonts w:ascii="Adobe Garamond Pro" w:eastAsia="Times New Roman" w:hAnsi="Adobe Garamond Pro"/>
          <w:noProof/>
          <w:sz w:val="20"/>
          <w:szCs w:val="20"/>
          <w:lang/>
        </w:rPr>
        <w:t xml:space="preserve"> </w:t>
      </w:r>
      <w:r w:rsidRPr="0098335E">
        <w:rPr>
          <w:rFonts w:ascii="Adobe Garamond Pro" w:eastAsia="PMingLiU" w:hAnsi="Adobe Garamond Pro"/>
          <w:noProof/>
          <w:sz w:val="20"/>
          <w:szCs w:val="20"/>
          <w:lang/>
        </w:rPr>
        <w:t xml:space="preserve">standardima EU i akvizom. </w:t>
      </w:r>
    </w:p>
    <w:p w:rsidR="0098335E" w:rsidRPr="0098335E" w:rsidRDefault="0098335E" w:rsidP="0098335E">
      <w:pPr>
        <w:autoSpaceDE w:val="0"/>
        <w:autoSpaceDN w:val="0"/>
        <w:adjustRightInd w:val="0"/>
        <w:spacing w:after="0" w:line="240" w:lineRule="auto"/>
        <w:ind w:firstLine="1"/>
        <w:jc w:val="both"/>
        <w:rPr>
          <w:rFonts w:ascii="Adobe Garamond Pro" w:eastAsia="Times New Roman" w:hAnsi="Adobe Garamond Pro"/>
          <w:noProof/>
          <w:sz w:val="20"/>
          <w:szCs w:val="20"/>
          <w:lang/>
        </w:rPr>
      </w:pPr>
    </w:p>
    <w:p w:rsidR="0098335E" w:rsidRDefault="0098335E" w:rsidP="0098335E">
      <w:pPr>
        <w:autoSpaceDE w:val="0"/>
        <w:autoSpaceDN w:val="0"/>
        <w:adjustRightInd w:val="0"/>
        <w:spacing w:after="0" w:line="240" w:lineRule="auto"/>
        <w:ind w:firstLine="1"/>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U sistem upravljanja u Bosni i Hercegovini i dalje je uključena međunarodna zajednica, pa je ispunjavanje uslova za zatvaranje Kancelarije visokog predstavnika</w:t>
      </w:r>
      <w:r w:rsidRPr="0098335E">
        <w:rPr>
          <w:rStyle w:val="FootnoteReference"/>
          <w:rFonts w:ascii="Adobe Garamond Pro" w:eastAsia="Times New Roman" w:hAnsi="Adobe Garamond Pro"/>
          <w:noProof/>
          <w:sz w:val="20"/>
          <w:szCs w:val="20"/>
          <w:lang/>
        </w:rPr>
        <w:footnoteReference w:id="7"/>
      </w:r>
      <w:r w:rsidRPr="0098335E">
        <w:rPr>
          <w:rFonts w:ascii="Adobe Garamond Pro" w:eastAsia="Times New Roman" w:hAnsi="Adobe Garamond Pro"/>
          <w:noProof/>
          <w:sz w:val="20"/>
          <w:szCs w:val="20"/>
          <w:lang/>
        </w:rPr>
        <w:t xml:space="preserve"> (OHR) od velike važnosti. Uslovi obuhvataju: prihvatljivo i održivo rješenje pitanja raspodjele imovine između države i drugih nivoa vlasti, prihvatljivo i održivo pitanje vojne imovine, konačno utvrđivanje statusa Brčko Distrikta, fiskalnu održivost i uspostavljanje vladavine </w:t>
      </w:r>
      <w:r w:rsidRPr="0098335E">
        <w:rPr>
          <w:rFonts w:ascii="Adobe Garamond Pro" w:eastAsia="Times New Roman" w:hAnsi="Adobe Garamond Pro"/>
          <w:noProof/>
          <w:sz w:val="20"/>
          <w:szCs w:val="20"/>
          <w:lang/>
        </w:rPr>
        <w:lastRenderedPageBreak/>
        <w:t>prava.</w:t>
      </w:r>
      <w:r>
        <w:rPr>
          <w:rFonts w:ascii="Adobe Garamond Pro" w:eastAsia="Times New Roman" w:hAnsi="Adobe Garamond Pro"/>
          <w:noProof/>
          <w:sz w:val="20"/>
          <w:szCs w:val="20"/>
          <w:lang/>
        </w:rPr>
        <w:t xml:space="preserve"> </w:t>
      </w:r>
      <w:r w:rsidRPr="0098335E">
        <w:rPr>
          <w:rFonts w:ascii="Adobe Garamond Pro" w:eastAsia="Times New Roman" w:hAnsi="Adobe Garamond Pro"/>
          <w:noProof/>
          <w:sz w:val="20"/>
          <w:szCs w:val="20"/>
          <w:lang/>
        </w:rPr>
        <w:t>Primjena socijalnih prava u Bosni i Hercegovini je slaba. Zakon o zabrani diskriminacije postoji ali je područje njegove primjene ograničeno. Potrebna su unapređenja u pogledu zaštite žena od svih oblika nasilja kao i socijalna zaštita djece. Zabrinutosti doprinose i primjeri podijeljenih i jednonacionalnih škola.</w:t>
      </w:r>
      <w:r w:rsidRPr="0098335E">
        <w:rPr>
          <w:rStyle w:val="FootnoteReference"/>
          <w:rFonts w:ascii="Adobe Garamond Pro" w:eastAsia="Times New Roman" w:hAnsi="Adobe Garamond Pro"/>
          <w:noProof/>
          <w:sz w:val="20"/>
          <w:szCs w:val="20"/>
          <w:lang/>
        </w:rPr>
        <w:footnoteReference w:id="8"/>
      </w:r>
    </w:p>
    <w:p w:rsidR="0098335E" w:rsidRPr="0098335E" w:rsidRDefault="0098335E" w:rsidP="0098335E">
      <w:pPr>
        <w:autoSpaceDE w:val="0"/>
        <w:autoSpaceDN w:val="0"/>
        <w:adjustRightInd w:val="0"/>
        <w:spacing w:after="0" w:line="240" w:lineRule="auto"/>
        <w:ind w:firstLine="1"/>
        <w:jc w:val="both"/>
        <w:rPr>
          <w:rFonts w:ascii="Adobe Garamond Pro" w:eastAsia="Times New Roman" w:hAnsi="Adobe Garamond Pro"/>
          <w:noProof/>
          <w:sz w:val="20"/>
          <w:szCs w:val="20"/>
          <w:lang/>
        </w:rPr>
      </w:pPr>
    </w:p>
    <w:p w:rsidR="0098335E" w:rsidRP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 xml:space="preserve">Saradnja u oblasti pravosuđa, između sudova i tužilaca iz Bosne i Hercegovine, Hrvatske i Srbije je jaka. Značajan napredak je postignut u procesu Sarajevske deklaracije. Proces je pokrenut 2005. godine od strane Bosne i Hercegovine, Crne Gore, Srbije i Hrvatske u cilju pronalaska rješenja za izbjeglice i raseljena lica nakon sukoba 1991-1995. godine na području bivše Jugoslavije. Cilj zajedničkog regionalnog programa je stambeno zbrinjavanje, reintegracija ili lokalna integracija izbjeglica i raseljenih lica čime bi se obezbijedilo stambeno rješenje za oko sedamdeset hiljada lica. Ovim procesom je iskazana opredijeljenost zemalja za saradnju kao ključni element Procesa stabilizacije i pridruživanja. </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Pr="0098335E" w:rsidRDefault="0098335E" w:rsidP="0098335E">
      <w:pPr>
        <w:spacing w:after="0" w:line="240" w:lineRule="auto"/>
        <w:rPr>
          <w:rFonts w:ascii="Adobe Garamond Pro" w:eastAsia="Times New Roman" w:hAnsi="Adobe Garamond Pro"/>
          <w:noProof/>
          <w:sz w:val="20"/>
          <w:szCs w:val="20"/>
          <w:lang/>
        </w:rPr>
      </w:pPr>
      <w:r w:rsidRPr="0098335E">
        <w:rPr>
          <w:rFonts w:ascii="Adobe Garamond Pro" w:eastAsia="Times New Roman" w:hAnsi="Adobe Garamond Pro"/>
          <w:noProof/>
          <w:sz w:val="20"/>
          <w:szCs w:val="20"/>
          <w:lang/>
        </w:rPr>
        <w:t xml:space="preserve">Tabela 1: Bosna i Hercegovina na putu evropske integracije </w:t>
      </w:r>
    </w:p>
    <w:tbl>
      <w:tblPr>
        <w:tblStyle w:val="TableGrid"/>
        <w:tblW w:w="5000" w:type="pct"/>
        <w:tblLook w:val="01E0"/>
      </w:tblPr>
      <w:tblGrid>
        <w:gridCol w:w="1703"/>
        <w:gridCol w:w="5742"/>
      </w:tblGrid>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t>1992.</w:t>
            </w:r>
          </w:p>
        </w:tc>
        <w:tc>
          <w:tcPr>
            <w:tcW w:w="3856" w:type="pct"/>
          </w:tcPr>
          <w:p w:rsidR="0098335E" w:rsidRPr="0098335E" w:rsidRDefault="0098335E" w:rsidP="0098335E">
            <w:pPr>
              <w:jc w:val="both"/>
              <w:rPr>
                <w:rFonts w:ascii="Adobe Garamond Pro" w:eastAsia="Times New Roman" w:hAnsi="Adobe Garamond Pro"/>
                <w:bCs/>
                <w:noProof/>
                <w:color w:val="595959" w:themeColor="text1" w:themeTint="A6"/>
                <w:sz w:val="20"/>
                <w:szCs w:val="20"/>
                <w:lang/>
              </w:rPr>
            </w:pPr>
            <w:r w:rsidRPr="0098335E">
              <w:rPr>
                <w:rFonts w:ascii="Adobe Garamond Pro" w:eastAsia="Times New Roman" w:hAnsi="Adobe Garamond Pro"/>
                <w:bCs/>
                <w:noProof/>
                <w:color w:val="595959" w:themeColor="text1" w:themeTint="A6"/>
                <w:sz w:val="20"/>
                <w:szCs w:val="20"/>
                <w:lang/>
              </w:rPr>
              <w:t>Bilateralni odnosi između BiH i EU uspostavljeni su međunarodnim priznavanjem Republike BiH kao nezavisne i suverene države.</w:t>
            </w:r>
          </w:p>
        </w:tc>
      </w:tr>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t>Mart, 1993.</w:t>
            </w:r>
          </w:p>
        </w:tc>
        <w:tc>
          <w:tcPr>
            <w:tcW w:w="3856" w:type="pct"/>
          </w:tcPr>
          <w:p w:rsidR="0098335E" w:rsidRPr="0098335E" w:rsidRDefault="0098335E" w:rsidP="0098335E">
            <w:pPr>
              <w:jc w:val="both"/>
              <w:rPr>
                <w:rFonts w:ascii="Adobe Garamond Pro" w:eastAsia="Times New Roman" w:hAnsi="Adobe Garamond Pro"/>
                <w:noProof/>
                <w:color w:val="595959" w:themeColor="text1" w:themeTint="A6"/>
                <w:sz w:val="20"/>
                <w:szCs w:val="20"/>
                <w:lang/>
              </w:rPr>
            </w:pPr>
            <w:r w:rsidRPr="0098335E">
              <w:rPr>
                <w:rFonts w:ascii="Adobe Garamond Pro" w:eastAsia="Times New Roman" w:hAnsi="Adobe Garamond Pro"/>
                <w:noProof/>
                <w:color w:val="595959" w:themeColor="text1" w:themeTint="A6"/>
                <w:sz w:val="20"/>
                <w:szCs w:val="20"/>
                <w:lang/>
              </w:rPr>
              <w:t>Diplomatski odnosi između BiH i EU. Uslijedilo je povećanje finansijske pomoći. Do kraja 2000. godine BiH je dodijeljeno oko dvije milijarde eura.</w:t>
            </w:r>
          </w:p>
        </w:tc>
      </w:tr>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t>Juni, 1993.</w:t>
            </w:r>
          </w:p>
        </w:tc>
        <w:tc>
          <w:tcPr>
            <w:tcW w:w="3856" w:type="pct"/>
          </w:tcPr>
          <w:p w:rsidR="0098335E" w:rsidRPr="0098335E" w:rsidRDefault="0098335E" w:rsidP="0098335E">
            <w:pPr>
              <w:jc w:val="both"/>
              <w:rPr>
                <w:rFonts w:ascii="Adobe Garamond Pro" w:eastAsia="Times New Roman" w:hAnsi="Adobe Garamond Pro"/>
                <w:noProof/>
                <w:color w:val="595959" w:themeColor="text1" w:themeTint="A6"/>
                <w:sz w:val="20"/>
                <w:szCs w:val="20"/>
                <w:lang/>
              </w:rPr>
            </w:pPr>
            <w:r w:rsidRPr="0098335E">
              <w:rPr>
                <w:rFonts w:ascii="Adobe Garamond Pro" w:eastAsia="Times New Roman" w:hAnsi="Adobe Garamond Pro"/>
                <w:noProof/>
                <w:color w:val="595959" w:themeColor="text1" w:themeTint="A6"/>
                <w:sz w:val="20"/>
                <w:szCs w:val="20"/>
                <w:lang/>
              </w:rPr>
              <w:t>Na samitu u Kopenhagenu usvojen je paket uslova koje treba ispuniti svaka država kako bi postala punopravna članica Unije a to su: postojanje stabilnih institrucija koje garantuju demokratiju, vladavinu zakona, poštovanje ljudskih prava i zaštitu prava manjina; postojanje funkcionalne tržišne privrede sposobne da se nosi sa konkurencijom na zajedničkom tržištu EU; sposobnost da se primijeni pravna tekovina EU (acquis communautaire) i preuzmu sve obaveze punopravne članice kao i odanost ciljevima političke, ekonomske i monetarne unije;</w:t>
            </w:r>
          </w:p>
        </w:tc>
      </w:tr>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t>Novembar, 1995.</w:t>
            </w:r>
          </w:p>
        </w:tc>
        <w:tc>
          <w:tcPr>
            <w:tcW w:w="3856" w:type="pct"/>
          </w:tcPr>
          <w:p w:rsidR="0098335E" w:rsidRPr="0098335E" w:rsidRDefault="0098335E" w:rsidP="0098335E">
            <w:pPr>
              <w:jc w:val="both"/>
              <w:rPr>
                <w:rFonts w:ascii="Adobe Garamond Pro" w:eastAsia="Times New Roman" w:hAnsi="Adobe Garamond Pro"/>
                <w:noProof/>
                <w:color w:val="595959" w:themeColor="text1" w:themeTint="A6"/>
                <w:sz w:val="20"/>
                <w:szCs w:val="20"/>
                <w:lang/>
              </w:rPr>
            </w:pPr>
            <w:r w:rsidRPr="0098335E">
              <w:rPr>
                <w:rFonts w:ascii="Adobe Garamond Pro" w:eastAsia="Times New Roman" w:hAnsi="Adobe Garamond Pro"/>
                <w:noProof/>
                <w:color w:val="595959" w:themeColor="text1" w:themeTint="A6"/>
                <w:sz w:val="20"/>
                <w:szCs w:val="20"/>
                <w:lang/>
              </w:rPr>
              <w:t>Dejtonskim sporazumom je zaustavljen četvorogodišnji rat, a BiH je formirana kao složena država od dva ravnopravna entiteta Federacije BiH i Republike Srpske.</w:t>
            </w:r>
          </w:p>
        </w:tc>
      </w:tr>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t>Decembar, 1996.</w:t>
            </w:r>
          </w:p>
        </w:tc>
        <w:tc>
          <w:tcPr>
            <w:tcW w:w="3856" w:type="pct"/>
          </w:tcPr>
          <w:p w:rsidR="0098335E" w:rsidRDefault="0098335E" w:rsidP="0098335E">
            <w:pPr>
              <w:jc w:val="both"/>
              <w:rPr>
                <w:rFonts w:ascii="Adobe Garamond Pro" w:eastAsia="Times New Roman" w:hAnsi="Adobe Garamond Pro"/>
                <w:noProof/>
                <w:color w:val="595959" w:themeColor="text1" w:themeTint="A6"/>
                <w:sz w:val="20"/>
                <w:szCs w:val="20"/>
                <w:lang/>
              </w:rPr>
            </w:pPr>
            <w:r w:rsidRPr="0098335E">
              <w:rPr>
                <w:rFonts w:ascii="Adobe Garamond Pro" w:eastAsia="Times New Roman" w:hAnsi="Adobe Garamond Pro"/>
                <w:noProof/>
                <w:color w:val="595959" w:themeColor="text1" w:themeTint="A6"/>
                <w:sz w:val="20"/>
                <w:szCs w:val="20"/>
                <w:lang/>
              </w:rPr>
              <w:t>Francusko predsjedništvo EU je predložilo regionalnu politiku EU u cilju stabilizacije Zapadnog Balkana.</w:t>
            </w:r>
          </w:p>
          <w:p w:rsidR="0098335E" w:rsidRPr="0098335E" w:rsidRDefault="0098335E" w:rsidP="0098335E">
            <w:pPr>
              <w:jc w:val="both"/>
              <w:rPr>
                <w:rFonts w:ascii="Adobe Garamond Pro" w:eastAsia="Times New Roman" w:hAnsi="Adobe Garamond Pro"/>
                <w:noProof/>
                <w:color w:val="595959" w:themeColor="text1" w:themeTint="A6"/>
                <w:sz w:val="20"/>
                <w:szCs w:val="20"/>
                <w:lang/>
              </w:rPr>
            </w:pPr>
          </w:p>
        </w:tc>
      </w:tr>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lastRenderedPageBreak/>
              <w:t>April, 1997.</w:t>
            </w:r>
          </w:p>
        </w:tc>
        <w:tc>
          <w:tcPr>
            <w:tcW w:w="3856" w:type="pct"/>
          </w:tcPr>
          <w:p w:rsidR="0098335E" w:rsidRPr="0098335E" w:rsidRDefault="0098335E" w:rsidP="0098335E">
            <w:pPr>
              <w:jc w:val="both"/>
              <w:rPr>
                <w:rFonts w:ascii="Adobe Garamond Pro" w:eastAsia="Times New Roman" w:hAnsi="Adobe Garamond Pro"/>
                <w:noProof/>
                <w:color w:val="595959" w:themeColor="text1" w:themeTint="A6"/>
                <w:sz w:val="20"/>
                <w:szCs w:val="20"/>
                <w:lang/>
              </w:rPr>
            </w:pPr>
            <w:r w:rsidRPr="0098335E">
              <w:rPr>
                <w:rFonts w:ascii="Adobe Garamond Pro" w:eastAsia="Times New Roman" w:hAnsi="Adobe Garamond Pro"/>
                <w:noProof/>
                <w:color w:val="595959" w:themeColor="text1" w:themeTint="A6"/>
                <w:sz w:val="20"/>
                <w:szCs w:val="20"/>
                <w:lang/>
              </w:rPr>
              <w:t>Ministri spoljnih poslova EU su odobrili novu strategiju za Zapadni Balkan poznatu kao Regionalni pristup. Riječ je o listi političkih i ekonomskih preduslova za uspostavljanje i razvoj bilateralnih odnosa između EU i šest zemalja Zapadnog Balkana: Albanije, BiH, Hrvatske, Crne Gore, Makedonije i Srbije.</w:t>
            </w:r>
          </w:p>
        </w:tc>
      </w:tr>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t>April, 1998.</w:t>
            </w:r>
          </w:p>
        </w:tc>
        <w:tc>
          <w:tcPr>
            <w:tcW w:w="3856" w:type="pct"/>
          </w:tcPr>
          <w:p w:rsidR="0098335E" w:rsidRPr="0098335E" w:rsidRDefault="0098335E" w:rsidP="0098335E">
            <w:pPr>
              <w:jc w:val="both"/>
              <w:rPr>
                <w:rFonts w:ascii="Adobe Garamond Pro" w:eastAsia="Times New Roman" w:hAnsi="Adobe Garamond Pro"/>
                <w:noProof/>
                <w:color w:val="595959" w:themeColor="text1" w:themeTint="A6"/>
                <w:sz w:val="20"/>
                <w:szCs w:val="20"/>
                <w:lang/>
              </w:rPr>
            </w:pPr>
            <w:r w:rsidRPr="0098335E">
              <w:rPr>
                <w:rFonts w:ascii="Adobe Garamond Pro" w:eastAsia="Times New Roman" w:hAnsi="Adobe Garamond Pro"/>
                <w:noProof/>
                <w:color w:val="595959" w:themeColor="text1" w:themeTint="A6"/>
                <w:sz w:val="20"/>
                <w:szCs w:val="20"/>
                <w:lang/>
              </w:rPr>
              <w:t>U Luksemburgu je uspostavljena EU-BiH konsultativna radna grupa radi tehničke i stručne pomoći u izgradnji državnih institucija, zajedničke administracije i zakonskog okvira prilagođenog standardima EU.</w:t>
            </w:r>
          </w:p>
        </w:tc>
      </w:tr>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t>Mart, 1999.</w:t>
            </w:r>
          </w:p>
        </w:tc>
        <w:tc>
          <w:tcPr>
            <w:tcW w:w="3856" w:type="pct"/>
          </w:tcPr>
          <w:p w:rsidR="0098335E" w:rsidRPr="0098335E" w:rsidRDefault="0098335E" w:rsidP="0098335E">
            <w:pPr>
              <w:jc w:val="both"/>
              <w:rPr>
                <w:rFonts w:ascii="Adobe Garamond Pro" w:eastAsia="Times New Roman" w:hAnsi="Adobe Garamond Pro"/>
                <w:noProof/>
                <w:color w:val="595959" w:themeColor="text1" w:themeTint="A6"/>
                <w:sz w:val="20"/>
                <w:szCs w:val="20"/>
                <w:lang/>
              </w:rPr>
            </w:pPr>
            <w:r w:rsidRPr="0098335E">
              <w:rPr>
                <w:rFonts w:ascii="Adobe Garamond Pro" w:eastAsia="Times New Roman" w:hAnsi="Adobe Garamond Pro"/>
                <w:noProof/>
                <w:color w:val="595959" w:themeColor="text1" w:themeTint="A6"/>
                <w:sz w:val="20"/>
                <w:szCs w:val="20"/>
                <w:lang/>
              </w:rPr>
              <w:t>Savjet ministara BiH usvojio je odluku o pokretanju inicijative za pristupanje BiH, EU.</w:t>
            </w:r>
          </w:p>
        </w:tc>
      </w:tr>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t>Avgust, 1999.</w:t>
            </w:r>
          </w:p>
        </w:tc>
        <w:tc>
          <w:tcPr>
            <w:tcW w:w="3856" w:type="pct"/>
          </w:tcPr>
          <w:p w:rsidR="0098335E" w:rsidRPr="0098335E" w:rsidRDefault="0098335E" w:rsidP="0098335E">
            <w:pPr>
              <w:jc w:val="both"/>
              <w:rPr>
                <w:rFonts w:ascii="Adobe Garamond Pro" w:eastAsia="Times New Roman" w:hAnsi="Adobe Garamond Pro"/>
                <w:noProof/>
                <w:color w:val="595959" w:themeColor="text1" w:themeTint="A6"/>
                <w:sz w:val="20"/>
                <w:szCs w:val="20"/>
                <w:lang/>
              </w:rPr>
            </w:pPr>
            <w:r w:rsidRPr="0098335E">
              <w:rPr>
                <w:rFonts w:ascii="Adobe Garamond Pro" w:eastAsia="Times New Roman" w:hAnsi="Adobe Garamond Pro"/>
                <w:noProof/>
                <w:color w:val="595959" w:themeColor="text1" w:themeTint="A6"/>
                <w:sz w:val="20"/>
                <w:szCs w:val="20"/>
                <w:lang/>
              </w:rPr>
              <w:t>Usvojena je Rezolucija o evropskim integracijama i Paktu stabilnosti. Parlamentarna skupština BiH izražava punu opredijeljenost ka evropskim integracijama.</w:t>
            </w:r>
          </w:p>
        </w:tc>
      </w:tr>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t>Mart,  2000.</w:t>
            </w:r>
          </w:p>
        </w:tc>
        <w:tc>
          <w:tcPr>
            <w:tcW w:w="3856" w:type="pct"/>
          </w:tcPr>
          <w:p w:rsidR="0098335E" w:rsidRPr="0098335E" w:rsidRDefault="0098335E" w:rsidP="0098335E">
            <w:pPr>
              <w:jc w:val="both"/>
              <w:rPr>
                <w:rFonts w:ascii="Adobe Garamond Pro" w:eastAsia="Times New Roman" w:hAnsi="Adobe Garamond Pro"/>
                <w:noProof/>
                <w:color w:val="595959" w:themeColor="text1" w:themeTint="A6"/>
                <w:sz w:val="20"/>
                <w:szCs w:val="20"/>
                <w:lang/>
              </w:rPr>
            </w:pPr>
            <w:r w:rsidRPr="0098335E">
              <w:rPr>
                <w:rFonts w:ascii="Adobe Garamond Pro" w:eastAsia="Times New Roman" w:hAnsi="Adobe Garamond Pro"/>
                <w:noProof/>
                <w:color w:val="595959" w:themeColor="text1" w:themeTint="A6"/>
                <w:sz w:val="20"/>
                <w:szCs w:val="20"/>
                <w:lang/>
              </w:rPr>
              <w:t>Usvojene su smjernice za BiH poznate i kao „Mape puta“. Smjernice sadrže 18 uslova za početak pregovora o studiji o izvodljivosti. Riječ je o izvještaju Evropske komisije o pripremljenosti pojedine države za pristupanje prvoj fazi ugovornih odnosa sa EU a to je potpisivanje Sporazuma o stabilizaciji i pridruživanju. Na ispunjavanju ovih uslova BiH je radila pune dvije i po godine.</w:t>
            </w:r>
          </w:p>
        </w:tc>
      </w:tr>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t>Maj, 2000.</w:t>
            </w:r>
          </w:p>
        </w:tc>
        <w:tc>
          <w:tcPr>
            <w:tcW w:w="3856" w:type="pct"/>
          </w:tcPr>
          <w:p w:rsidR="0098335E" w:rsidRPr="0098335E" w:rsidRDefault="0098335E" w:rsidP="0098335E">
            <w:pPr>
              <w:jc w:val="both"/>
              <w:rPr>
                <w:rFonts w:ascii="Adobe Garamond Pro" w:eastAsia="Times New Roman" w:hAnsi="Adobe Garamond Pro"/>
                <w:noProof/>
                <w:color w:val="595959" w:themeColor="text1" w:themeTint="A6"/>
                <w:sz w:val="20"/>
                <w:szCs w:val="20"/>
                <w:lang/>
              </w:rPr>
            </w:pPr>
            <w:r w:rsidRPr="0098335E">
              <w:rPr>
                <w:rFonts w:ascii="Adobe Garamond Pro" w:eastAsia="Times New Roman" w:hAnsi="Adobe Garamond Pro"/>
                <w:noProof/>
                <w:color w:val="595959" w:themeColor="text1" w:themeTint="A6"/>
                <w:sz w:val="20"/>
                <w:szCs w:val="20"/>
                <w:lang/>
              </w:rPr>
              <w:t>Evropska komisija je usvojila novi program pomoći za obnovu, razvoj i stabilizaciju CARDS (*eng..Community programme for Assistance, Reconstruction, Development and Stabilisation ).</w:t>
            </w:r>
          </w:p>
        </w:tc>
      </w:tr>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t>Juni, 2000.</w:t>
            </w:r>
          </w:p>
        </w:tc>
        <w:tc>
          <w:tcPr>
            <w:tcW w:w="3856" w:type="pct"/>
          </w:tcPr>
          <w:p w:rsidR="0098335E" w:rsidRPr="0098335E" w:rsidRDefault="0098335E" w:rsidP="0098335E">
            <w:pPr>
              <w:jc w:val="both"/>
              <w:rPr>
                <w:rFonts w:ascii="Adobe Garamond Pro" w:eastAsia="Times New Roman" w:hAnsi="Adobe Garamond Pro"/>
                <w:noProof/>
                <w:color w:val="595959" w:themeColor="text1" w:themeTint="A6"/>
                <w:sz w:val="20"/>
                <w:szCs w:val="20"/>
                <w:lang/>
              </w:rPr>
            </w:pPr>
            <w:r w:rsidRPr="0098335E">
              <w:rPr>
                <w:rFonts w:ascii="Adobe Garamond Pro" w:eastAsia="Times New Roman" w:hAnsi="Adobe Garamond Pro"/>
                <w:noProof/>
                <w:color w:val="595959" w:themeColor="text1" w:themeTint="A6"/>
                <w:sz w:val="20"/>
                <w:szCs w:val="20"/>
                <w:lang/>
              </w:rPr>
              <w:t>Na samitu u Portugalu potvrđeno je da su zemlje obuhvaćene procesom stabilizacije i pridruživanja „potencijalni kandidati“ za članstvo u EU.</w:t>
            </w:r>
          </w:p>
        </w:tc>
      </w:tr>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t>Novembar, 2000.</w:t>
            </w:r>
          </w:p>
        </w:tc>
        <w:tc>
          <w:tcPr>
            <w:tcW w:w="3856" w:type="pct"/>
          </w:tcPr>
          <w:p w:rsidR="0098335E" w:rsidRPr="0098335E" w:rsidRDefault="0098335E" w:rsidP="0098335E">
            <w:pPr>
              <w:jc w:val="both"/>
              <w:rPr>
                <w:rFonts w:ascii="Adobe Garamond Pro" w:eastAsia="Times New Roman" w:hAnsi="Adobe Garamond Pro"/>
                <w:noProof/>
                <w:color w:val="595959" w:themeColor="text1" w:themeTint="A6"/>
                <w:sz w:val="20"/>
                <w:szCs w:val="20"/>
                <w:lang/>
              </w:rPr>
            </w:pPr>
            <w:r w:rsidRPr="0098335E">
              <w:rPr>
                <w:rFonts w:ascii="Adobe Garamond Pro" w:eastAsia="Times New Roman" w:hAnsi="Adobe Garamond Pro"/>
                <w:noProof/>
                <w:color w:val="595959" w:themeColor="text1" w:themeTint="A6"/>
                <w:sz w:val="20"/>
                <w:szCs w:val="20"/>
                <w:lang/>
              </w:rPr>
              <w:t>Zagrebački samit kao prvi evropsko-balkanski samit potvrđuje evropsku perspektivu za BiH i ostale zemlje obuhvaćene Procesom stabilizacije i pridruživanja.</w:t>
            </w:r>
          </w:p>
        </w:tc>
      </w:tr>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t>Oktobar, 2001.</w:t>
            </w:r>
          </w:p>
        </w:tc>
        <w:tc>
          <w:tcPr>
            <w:tcW w:w="3856" w:type="pct"/>
          </w:tcPr>
          <w:p w:rsidR="0098335E" w:rsidRPr="0098335E" w:rsidRDefault="0098335E" w:rsidP="0098335E">
            <w:pPr>
              <w:jc w:val="both"/>
              <w:rPr>
                <w:rFonts w:ascii="Adobe Garamond Pro" w:eastAsia="Times New Roman" w:hAnsi="Adobe Garamond Pro"/>
                <w:noProof/>
                <w:color w:val="595959" w:themeColor="text1" w:themeTint="A6"/>
                <w:sz w:val="20"/>
                <w:szCs w:val="20"/>
                <w:lang/>
              </w:rPr>
            </w:pPr>
            <w:r w:rsidRPr="0098335E">
              <w:rPr>
                <w:rFonts w:ascii="Adobe Garamond Pro" w:eastAsia="Times New Roman" w:hAnsi="Adobe Garamond Pro"/>
                <w:noProof/>
                <w:color w:val="595959" w:themeColor="text1" w:themeTint="A6"/>
                <w:sz w:val="20"/>
                <w:szCs w:val="20"/>
                <w:lang/>
              </w:rPr>
              <w:t>Savjet ministara EU je odobrio program CARDS kojim je za period 2002-2006. godine predviđen budžet od 4,6 milijardi eura za šest zemalja Zapadnog Balkana.</w:t>
            </w:r>
          </w:p>
        </w:tc>
      </w:tr>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t>Septembar, 2002.</w:t>
            </w:r>
          </w:p>
        </w:tc>
        <w:tc>
          <w:tcPr>
            <w:tcW w:w="3856" w:type="pct"/>
          </w:tcPr>
          <w:p w:rsidR="0098335E" w:rsidRPr="0098335E" w:rsidRDefault="0098335E" w:rsidP="0098335E">
            <w:pPr>
              <w:jc w:val="both"/>
              <w:rPr>
                <w:rFonts w:ascii="Adobe Garamond Pro" w:eastAsia="Times New Roman" w:hAnsi="Adobe Garamond Pro"/>
                <w:noProof/>
                <w:color w:val="595959" w:themeColor="text1" w:themeTint="A6"/>
                <w:sz w:val="20"/>
                <w:szCs w:val="20"/>
                <w:lang/>
              </w:rPr>
            </w:pPr>
            <w:r w:rsidRPr="0098335E">
              <w:rPr>
                <w:rFonts w:ascii="Adobe Garamond Pro" w:eastAsia="Times New Roman" w:hAnsi="Adobe Garamond Pro"/>
                <w:noProof/>
                <w:color w:val="595959" w:themeColor="text1" w:themeTint="A6"/>
                <w:sz w:val="20"/>
                <w:szCs w:val="20"/>
                <w:lang/>
              </w:rPr>
              <w:t>Evropska komisija je potvrdila da je svih 18 uslova iz Mape puta o približavanju BiH ka EU ispunjeno.</w:t>
            </w:r>
          </w:p>
        </w:tc>
      </w:tr>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t>Mart, 2004.</w:t>
            </w:r>
          </w:p>
        </w:tc>
        <w:tc>
          <w:tcPr>
            <w:tcW w:w="3856" w:type="pct"/>
          </w:tcPr>
          <w:p w:rsidR="0098335E" w:rsidRPr="0098335E" w:rsidRDefault="0098335E" w:rsidP="0098335E">
            <w:pPr>
              <w:jc w:val="both"/>
              <w:rPr>
                <w:rFonts w:ascii="Adobe Garamond Pro" w:eastAsia="Times New Roman" w:hAnsi="Adobe Garamond Pro"/>
                <w:noProof/>
                <w:color w:val="595959" w:themeColor="text1" w:themeTint="A6"/>
                <w:sz w:val="20"/>
                <w:szCs w:val="20"/>
                <w:lang/>
              </w:rPr>
            </w:pPr>
            <w:r w:rsidRPr="0098335E">
              <w:rPr>
                <w:rFonts w:ascii="Adobe Garamond Pro" w:eastAsia="Times New Roman" w:hAnsi="Adobe Garamond Pro"/>
                <w:noProof/>
                <w:color w:val="595959" w:themeColor="text1" w:themeTint="A6"/>
                <w:sz w:val="20"/>
                <w:szCs w:val="20"/>
                <w:lang/>
              </w:rPr>
              <w:t>Evropska unija se odlučuje za prvo Evropsko partnerstvo sa BiH.</w:t>
            </w:r>
          </w:p>
        </w:tc>
      </w:tr>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t>Oktobar, 2005.</w:t>
            </w:r>
          </w:p>
        </w:tc>
        <w:tc>
          <w:tcPr>
            <w:tcW w:w="3856" w:type="pct"/>
          </w:tcPr>
          <w:p w:rsidR="0098335E" w:rsidRPr="0098335E" w:rsidRDefault="0098335E" w:rsidP="0098335E">
            <w:pPr>
              <w:jc w:val="both"/>
              <w:rPr>
                <w:rFonts w:ascii="Adobe Garamond Pro" w:eastAsia="Times New Roman" w:hAnsi="Adobe Garamond Pro"/>
                <w:noProof/>
                <w:color w:val="595959" w:themeColor="text1" w:themeTint="A6"/>
                <w:sz w:val="20"/>
                <w:szCs w:val="20"/>
                <w:lang/>
              </w:rPr>
            </w:pPr>
            <w:r w:rsidRPr="0098335E">
              <w:rPr>
                <w:rFonts w:ascii="Adobe Garamond Pro" w:eastAsia="Times New Roman" w:hAnsi="Adobe Garamond Pro"/>
                <w:noProof/>
                <w:color w:val="595959" w:themeColor="text1" w:themeTint="A6"/>
                <w:sz w:val="20"/>
                <w:szCs w:val="20"/>
                <w:lang/>
              </w:rPr>
              <w:t>Evropska komisija je dala preporuku Savjetu EU da otvori pregovore o Sporazumu o stabilizaciji i pridruživanju (SSP) sa BiH.</w:t>
            </w:r>
          </w:p>
        </w:tc>
      </w:tr>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t>25. novembra 2005.</w:t>
            </w:r>
          </w:p>
        </w:tc>
        <w:tc>
          <w:tcPr>
            <w:tcW w:w="3856" w:type="pct"/>
          </w:tcPr>
          <w:p w:rsidR="0098335E" w:rsidRDefault="0098335E" w:rsidP="0098335E">
            <w:pPr>
              <w:jc w:val="both"/>
              <w:rPr>
                <w:rFonts w:ascii="Adobe Garamond Pro" w:eastAsia="Times New Roman" w:hAnsi="Adobe Garamond Pro"/>
                <w:noProof/>
                <w:color w:val="595959" w:themeColor="text1" w:themeTint="A6"/>
                <w:sz w:val="20"/>
                <w:szCs w:val="20"/>
                <w:lang/>
              </w:rPr>
            </w:pPr>
            <w:r w:rsidRPr="0098335E">
              <w:rPr>
                <w:rFonts w:ascii="Adobe Garamond Pro" w:eastAsia="Times New Roman" w:hAnsi="Adobe Garamond Pro"/>
                <w:noProof/>
                <w:color w:val="595959" w:themeColor="text1" w:themeTint="A6"/>
                <w:sz w:val="20"/>
                <w:szCs w:val="20"/>
                <w:lang/>
              </w:rPr>
              <w:t>U Sarajevu su zvanično pokrenuti pregovori o SSP-u.</w:t>
            </w:r>
          </w:p>
          <w:p w:rsidR="0098335E" w:rsidRDefault="0098335E" w:rsidP="0098335E">
            <w:pPr>
              <w:jc w:val="both"/>
              <w:rPr>
                <w:rFonts w:ascii="Adobe Garamond Pro" w:eastAsia="Times New Roman" w:hAnsi="Adobe Garamond Pro"/>
                <w:noProof/>
                <w:color w:val="595959" w:themeColor="text1" w:themeTint="A6"/>
                <w:sz w:val="20"/>
                <w:szCs w:val="20"/>
                <w:lang/>
              </w:rPr>
            </w:pPr>
          </w:p>
          <w:p w:rsidR="0098335E" w:rsidRDefault="0098335E" w:rsidP="0098335E">
            <w:pPr>
              <w:jc w:val="both"/>
              <w:rPr>
                <w:rFonts w:ascii="Adobe Garamond Pro" w:eastAsia="Times New Roman" w:hAnsi="Adobe Garamond Pro"/>
                <w:noProof/>
                <w:color w:val="595959" w:themeColor="text1" w:themeTint="A6"/>
                <w:sz w:val="20"/>
                <w:szCs w:val="20"/>
                <w:lang/>
              </w:rPr>
            </w:pPr>
          </w:p>
          <w:p w:rsidR="0098335E" w:rsidRPr="0098335E" w:rsidRDefault="0098335E" w:rsidP="0098335E">
            <w:pPr>
              <w:jc w:val="both"/>
              <w:rPr>
                <w:rFonts w:ascii="Adobe Garamond Pro" w:eastAsia="Times New Roman" w:hAnsi="Adobe Garamond Pro"/>
                <w:noProof/>
                <w:color w:val="595959" w:themeColor="text1" w:themeTint="A6"/>
                <w:sz w:val="20"/>
                <w:szCs w:val="20"/>
                <w:lang/>
              </w:rPr>
            </w:pPr>
          </w:p>
        </w:tc>
      </w:tr>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lastRenderedPageBreak/>
              <w:t>4. decembar 2007.</w:t>
            </w:r>
          </w:p>
        </w:tc>
        <w:tc>
          <w:tcPr>
            <w:tcW w:w="3856" w:type="pct"/>
          </w:tcPr>
          <w:p w:rsidR="0098335E" w:rsidRPr="0098335E" w:rsidRDefault="0098335E" w:rsidP="0098335E">
            <w:pPr>
              <w:jc w:val="both"/>
              <w:rPr>
                <w:rFonts w:ascii="Adobe Garamond Pro" w:eastAsia="Times New Roman" w:hAnsi="Adobe Garamond Pro"/>
                <w:noProof/>
                <w:color w:val="595959" w:themeColor="text1" w:themeTint="A6"/>
                <w:sz w:val="20"/>
                <w:szCs w:val="20"/>
                <w:lang/>
              </w:rPr>
            </w:pPr>
            <w:r w:rsidRPr="0098335E">
              <w:rPr>
                <w:rFonts w:ascii="Adobe Garamond Pro" w:eastAsia="Times New Roman" w:hAnsi="Adobe Garamond Pro"/>
                <w:noProof/>
                <w:color w:val="595959" w:themeColor="text1" w:themeTint="A6"/>
                <w:sz w:val="20"/>
                <w:szCs w:val="20"/>
                <w:lang/>
              </w:rPr>
              <w:t>BiH je parafirala Sporazum o stabilizaciji i pridruživanju.</w:t>
            </w:r>
          </w:p>
        </w:tc>
      </w:tr>
      <w:tr w:rsidR="0098335E" w:rsidRPr="0098335E" w:rsidTr="0098335E">
        <w:tc>
          <w:tcPr>
            <w:tcW w:w="1144" w:type="pct"/>
          </w:tcPr>
          <w:p w:rsidR="0098335E" w:rsidRPr="0098335E" w:rsidRDefault="0098335E" w:rsidP="0098335E">
            <w:pPr>
              <w:jc w:val="center"/>
              <w:rPr>
                <w:rFonts w:ascii="Adobe Garamond Pro" w:eastAsia="Times New Roman" w:hAnsi="Adobe Garamond Pro"/>
                <w:b/>
                <w:bCs/>
                <w:noProof/>
                <w:color w:val="595959" w:themeColor="text1" w:themeTint="A6"/>
                <w:sz w:val="20"/>
                <w:szCs w:val="20"/>
                <w:lang/>
              </w:rPr>
            </w:pPr>
            <w:r w:rsidRPr="0098335E">
              <w:rPr>
                <w:rFonts w:ascii="Adobe Garamond Pro" w:eastAsia="Times New Roman" w:hAnsi="Adobe Garamond Pro"/>
                <w:b/>
                <w:bCs/>
                <w:noProof/>
                <w:color w:val="595959" w:themeColor="text1" w:themeTint="A6"/>
                <w:sz w:val="20"/>
                <w:szCs w:val="20"/>
                <w:lang/>
              </w:rPr>
              <w:t>16. juni 2008.</w:t>
            </w:r>
          </w:p>
        </w:tc>
        <w:tc>
          <w:tcPr>
            <w:tcW w:w="3856" w:type="pct"/>
          </w:tcPr>
          <w:p w:rsidR="0098335E" w:rsidRPr="0098335E" w:rsidRDefault="0098335E" w:rsidP="0098335E">
            <w:pPr>
              <w:jc w:val="both"/>
              <w:rPr>
                <w:rFonts w:ascii="Adobe Garamond Pro" w:eastAsia="Times New Roman" w:hAnsi="Adobe Garamond Pro"/>
                <w:noProof/>
                <w:color w:val="595959" w:themeColor="text1" w:themeTint="A6"/>
                <w:sz w:val="20"/>
                <w:szCs w:val="20"/>
                <w:lang/>
              </w:rPr>
            </w:pPr>
            <w:r w:rsidRPr="0098335E">
              <w:rPr>
                <w:rFonts w:ascii="Adobe Garamond Pro" w:eastAsia="Times New Roman" w:hAnsi="Adobe Garamond Pro"/>
                <w:noProof/>
                <w:color w:val="595959" w:themeColor="text1" w:themeTint="A6"/>
                <w:sz w:val="20"/>
                <w:szCs w:val="20"/>
                <w:lang/>
              </w:rPr>
              <w:t>BiH je potpisala Sporazum o stabilizaciji i pridruživanju u Luksemburgu.</w:t>
            </w:r>
            <w:r w:rsidRPr="0098335E">
              <w:rPr>
                <w:rStyle w:val="FootnoteReference"/>
                <w:rFonts w:ascii="Adobe Garamond Pro" w:eastAsia="Times New Roman" w:hAnsi="Adobe Garamond Pro"/>
                <w:noProof/>
                <w:color w:val="595959" w:themeColor="text1" w:themeTint="A6"/>
                <w:sz w:val="20"/>
                <w:szCs w:val="20"/>
                <w:lang/>
              </w:rPr>
              <w:footnoteReference w:id="9"/>
            </w:r>
          </w:p>
        </w:tc>
      </w:tr>
    </w:tbl>
    <w:p w:rsidR="0098335E" w:rsidRPr="0098335E" w:rsidRDefault="0098335E" w:rsidP="0098335E">
      <w:pPr>
        <w:spacing w:after="0" w:line="240" w:lineRule="auto"/>
        <w:jc w:val="both"/>
        <w:rPr>
          <w:rFonts w:ascii="Adobe Garamond Pro" w:eastAsia="Times New Roman" w:hAnsi="Adobe Garamond Pro"/>
          <w:noProof/>
          <w:sz w:val="20"/>
          <w:szCs w:val="20"/>
          <w:lang/>
        </w:rPr>
      </w:pPr>
      <w:r w:rsidRPr="0098335E">
        <w:rPr>
          <w:rFonts w:ascii="Adobe Garamond Pro" w:eastAsia="Times New Roman" w:hAnsi="Adobe Garamond Pro"/>
          <w:noProof/>
          <w:sz w:val="20"/>
          <w:szCs w:val="20"/>
          <w:lang/>
        </w:rPr>
        <w:t xml:space="preserve">   </w:t>
      </w:r>
    </w:p>
    <w:p w:rsidR="0098335E" w:rsidRDefault="0098335E" w:rsidP="0098335E">
      <w:pPr>
        <w:spacing w:after="0" w:line="240" w:lineRule="auto"/>
        <w:jc w:val="both"/>
        <w:rPr>
          <w:rFonts w:ascii="Adobe Garamond Pro" w:eastAsia="Times New Roman" w:hAnsi="Adobe Garamond Pro"/>
          <w:b/>
          <w:noProof/>
          <w:lang/>
        </w:rPr>
      </w:pPr>
      <w:r w:rsidRPr="0098335E">
        <w:rPr>
          <w:rFonts w:ascii="Adobe Garamond Pro" w:eastAsia="Times New Roman" w:hAnsi="Adobe Garamond Pro"/>
          <w:b/>
          <w:noProof/>
          <w:lang/>
        </w:rPr>
        <w:t xml:space="preserve">Ključni bezbjednosni rizici i izazovi u </w:t>
      </w:r>
      <w:r>
        <w:rPr>
          <w:rFonts w:ascii="Adobe Garamond Pro" w:eastAsia="Times New Roman" w:hAnsi="Adobe Garamond Pro"/>
          <w:b/>
          <w:noProof/>
          <w:lang/>
        </w:rPr>
        <w:t>B</w:t>
      </w:r>
      <w:r w:rsidRPr="0098335E">
        <w:rPr>
          <w:rFonts w:ascii="Adobe Garamond Pro" w:eastAsia="Times New Roman" w:hAnsi="Adobe Garamond Pro"/>
          <w:b/>
          <w:noProof/>
          <w:lang/>
        </w:rPr>
        <w:t xml:space="preserve">osni i </w:t>
      </w:r>
      <w:r>
        <w:rPr>
          <w:rFonts w:ascii="Adobe Garamond Pro" w:eastAsia="Times New Roman" w:hAnsi="Adobe Garamond Pro"/>
          <w:b/>
          <w:noProof/>
          <w:lang/>
        </w:rPr>
        <w:t>H</w:t>
      </w:r>
      <w:r w:rsidRPr="0098335E">
        <w:rPr>
          <w:rFonts w:ascii="Adobe Garamond Pro" w:eastAsia="Times New Roman" w:hAnsi="Adobe Garamond Pro"/>
          <w:b/>
          <w:noProof/>
          <w:lang/>
        </w:rPr>
        <w:t>ercegovini</w:t>
      </w:r>
    </w:p>
    <w:p w:rsidR="0098335E" w:rsidRPr="0098335E" w:rsidRDefault="0098335E" w:rsidP="0098335E">
      <w:pPr>
        <w:spacing w:after="0" w:line="240" w:lineRule="auto"/>
        <w:jc w:val="both"/>
        <w:rPr>
          <w:rFonts w:ascii="Adobe Garamond Pro" w:eastAsia="Times New Roman" w:hAnsi="Adobe Garamond Pro"/>
          <w:b/>
          <w:noProof/>
          <w:lang/>
        </w:rPr>
      </w:pPr>
    </w:p>
    <w:p w:rsid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Zemlje zapadnog Balkana su se značajno promijenile od ratova iz 90-ih godina. Države regiona su se okrenule ka demokratiji i borbi sa izazovima tranzicije i obezbjeđivanju adekvatnog životnog standarda svojim građanima. Sigurnost i stabilnost, nekada cijenjene rijetkosti sada se sve više uzimaju zdravo za gotovo od strane građana. Iako je ovo zaista znak promjene društvene i političke klime u zemljama Zapadnog Balkana, događaji od 90-ih, ipak, pokazuju da bezbjednost i stabilnost u regionu nikako ne treba uzimati zdravo za gotovo. Teški socijalno-ekonomski uslovi preovladavaju u cijelom regionu poput dugotrajnih bezbjednosnih izazova predstavljenih kao dio rastuće globalizacije.</w:t>
      </w:r>
      <w:r w:rsidRPr="0098335E">
        <w:rPr>
          <w:rFonts w:ascii="Adobe Garamond Pro" w:eastAsia="Times New Roman" w:hAnsi="Adobe Garamond Pro"/>
          <w:noProof/>
          <w:sz w:val="20"/>
          <w:szCs w:val="20"/>
          <w:vertAlign w:val="superscript"/>
          <w:lang/>
        </w:rPr>
        <w:footnoteReference w:id="10"/>
      </w:r>
      <w:r w:rsidRPr="0098335E">
        <w:rPr>
          <w:rFonts w:ascii="Adobe Garamond Pro" w:eastAsia="Times New Roman" w:hAnsi="Adobe Garamond Pro"/>
          <w:noProof/>
          <w:sz w:val="20"/>
          <w:szCs w:val="20"/>
          <w:lang/>
        </w:rPr>
        <w:t xml:space="preserve"> </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Bosna i Hercegovina, ranije sinonim za krvoprolića i sukobe, nije izuzetak u odnosu na napredak koji su zemlje Zapadnog Balkana dostigle. Ključni bezbjednosni rizici i izazovi sa kojima se suočava Bosna i Hercegovina mogu se podijeliti u tri grupe, globalne opasnosti, regionalne prijetnje i unutrašnje prijetnje.</w:t>
      </w:r>
      <w:r w:rsidRPr="0098335E">
        <w:rPr>
          <w:rStyle w:val="FootnoteReference"/>
          <w:rFonts w:ascii="Adobe Garamond Pro" w:eastAsia="Times New Roman" w:hAnsi="Adobe Garamond Pro"/>
          <w:noProof/>
          <w:sz w:val="20"/>
          <w:szCs w:val="20"/>
          <w:lang/>
        </w:rPr>
        <w:footnoteReference w:id="11"/>
      </w:r>
      <w:r w:rsidRPr="0098335E">
        <w:rPr>
          <w:rFonts w:ascii="Adobe Garamond Pro" w:eastAsia="Times New Roman" w:hAnsi="Adobe Garamond Pro"/>
          <w:noProof/>
          <w:sz w:val="20"/>
          <w:szCs w:val="20"/>
          <w:lang/>
        </w:rPr>
        <w:t xml:space="preserve">  Globalne prijetnje sa kojima se suočava Bosna i Hercegovina se razmatraju u okviru konteksta ukupnih globalnih dešavanja u međunarodnim odnosima. Globalizacija je dovela do veoma brzog društvenog i ekonomskog razvoja u skoro svim zemljama svijeta. Dinamika ovog procesa i povećanje nivoa međuzavisnosti često predstavljaju bezbjednosne izazove i prijetnje miru i stabilnosti, kao i pravima grupa i pojedinaca. U tom kontekstu, Bosna i Hercegovina ističe kao posebnu opasnost po njenu bezbjednost: međunarodni terorizam, proliferaciju biološkog, hemijskog i nuklearnog oružja, ilegalnu trgovinu različitim tehnologijama, trgovinu ljudima i narkoticima kao i povećana migracija koja proizilazi iz oružanog sukoba i diskriminacije. </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 xml:space="preserve">Ove prijetnje se vide kao posebno važne za Bosnu i Hercegovinu u svjetlu geografske blizine zapadne Evrope i slabih institucionalnih i graničnih kontrola, koje ga čine posebno osjetljivim na takve prijetnje. Neuspjeh u odbijanju ovih prijetnji, pored potencijalno direktnog ugrožavanja bezbjednosti i sigurnosti građana, takođe će dovesti do </w:t>
      </w:r>
      <w:r w:rsidRPr="0098335E">
        <w:rPr>
          <w:rFonts w:ascii="Adobe Garamond Pro" w:eastAsia="Times New Roman" w:hAnsi="Adobe Garamond Pro"/>
          <w:noProof/>
          <w:sz w:val="20"/>
          <w:szCs w:val="20"/>
          <w:lang/>
        </w:rPr>
        <w:lastRenderedPageBreak/>
        <w:t>akumulacije i time izazvati i  povećati nivo prijetnji.</w:t>
      </w:r>
      <w:r w:rsidRPr="0098335E">
        <w:rPr>
          <w:rStyle w:val="FootnoteReference"/>
          <w:rFonts w:ascii="Adobe Garamond Pro" w:eastAsia="Times New Roman" w:hAnsi="Adobe Garamond Pro"/>
          <w:noProof/>
          <w:sz w:val="20"/>
          <w:szCs w:val="20"/>
          <w:lang/>
        </w:rPr>
        <w:footnoteReference w:id="12"/>
      </w:r>
      <w:r>
        <w:rPr>
          <w:rFonts w:ascii="Adobe Garamond Pro" w:eastAsia="Times New Roman" w:hAnsi="Adobe Garamond Pro"/>
          <w:noProof/>
          <w:sz w:val="20"/>
          <w:szCs w:val="20"/>
          <w:lang/>
        </w:rPr>
        <w:t xml:space="preserve"> </w:t>
      </w:r>
      <w:r w:rsidRPr="0098335E">
        <w:rPr>
          <w:rFonts w:ascii="Adobe Garamond Pro" w:eastAsia="Times New Roman" w:hAnsi="Adobe Garamond Pro"/>
          <w:noProof/>
          <w:sz w:val="20"/>
          <w:szCs w:val="20"/>
          <w:lang/>
        </w:rPr>
        <w:t xml:space="preserve">Izazovi sa kojima se suočava Bosna i Hercegovina na regionalnom bezbjednosnom planu vezani su za njena iskustva u tranziciji od centralizovane ka slobodnoj tržišnoj ekonomiji. Unutrašnji izazovi Bosne i Hercegovine su povezani sa različitim političkim faktorima u zemlji koji predstavljaju značajne izazove u pogledu stabilnosti zemlje u političkim, socijalnim i drugim sektorima. </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 xml:space="preserve">Faktori koji podupiru unutrašnje probleme bezbjednosti svode se na: nepotpuno sprovođenje Dejtonskog mirovnog sporazuma, nemogućnost da se u zemlji obezbijedi održivi proces povratka izbjeglica, loše upravljanje granicom, samim tim otežana borba protiv organizovanog kriminala, visoka stopa nezaposlenosti, velike količine sačuvanog oružja i municije.  Značajna prijetnja bezbjednosti Bosne i Hercegovine je njena politika u vezi sa procesom povratka izbjeglih i interno raseljenih lica. Oblasti opustošene ratom u Bosni i Hercegovini smatraju se veoma nestabilnim, jer život u njima još nije normalizovan. Nerazvijenost i ekonomske teškoće dovele su do toga da u njima zavlada ogorčenje i ekstremizam koji je doveo do isključenosti umjesto mogućnosti za razvoj. </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Kada je riječ o globalnim i bezbjednosnim izazovima Bosne i Hercegovine u regionu Zapadnog Balkana Bosna i Hercegovina je usvojila nekoliko strateških dokumenata.  Predsjedništvo Bosne i Hercegovine je 26. marta 2003. godine, usvojilo Opšte smjernice i prioritete za spoljnu politiku kao aktivni element u naporima zemlje da se poboljša bezbjednost. Prema sadržaju Direktiva u Bosni i Hercegovini spoljna politika ima za cilj da:</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Default="0098335E" w:rsidP="0098335E">
      <w:pPr>
        <w:numPr>
          <w:ilvl w:val="0"/>
          <w:numId w:val="40"/>
        </w:numPr>
        <w:spacing w:after="0" w:line="240" w:lineRule="auto"/>
        <w:jc w:val="both"/>
        <w:rPr>
          <w:rFonts w:ascii="Adobe Garamond Pro" w:eastAsia="Times New Roman" w:hAnsi="Adobe Garamond Pro"/>
          <w:noProof/>
          <w:sz w:val="20"/>
          <w:szCs w:val="20"/>
          <w:lang/>
        </w:rPr>
      </w:pPr>
      <w:r w:rsidRPr="0098335E">
        <w:rPr>
          <w:rFonts w:ascii="Adobe Garamond Pro" w:eastAsia="Times New Roman" w:hAnsi="Adobe Garamond Pro"/>
          <w:noProof/>
          <w:sz w:val="20"/>
          <w:szCs w:val="20"/>
          <w:lang/>
        </w:rPr>
        <w:t>obezbijedi promovisanje i očuvanje trajnog mira, sigurnosti i stabilne demokratije u Bosni i Hercegovini kao i razvoj zemlje, odnosno, želi da obezbijedi njeno pristupanje u savremene evropske, političke, ekonomske i bezbjednosne integracione procese;</w:t>
      </w:r>
    </w:p>
    <w:p w:rsidR="0098335E" w:rsidRPr="0098335E" w:rsidRDefault="0098335E" w:rsidP="0098335E">
      <w:pPr>
        <w:spacing w:after="0" w:line="240" w:lineRule="auto"/>
        <w:ind w:left="720"/>
        <w:jc w:val="both"/>
        <w:rPr>
          <w:rFonts w:ascii="Adobe Garamond Pro" w:eastAsia="Times New Roman" w:hAnsi="Adobe Garamond Pro"/>
          <w:noProof/>
          <w:sz w:val="20"/>
          <w:szCs w:val="20"/>
          <w:lang/>
        </w:rPr>
      </w:pPr>
    </w:p>
    <w:p w:rsidR="0098335E" w:rsidRDefault="0098335E" w:rsidP="0098335E">
      <w:pPr>
        <w:spacing w:after="0" w:line="240" w:lineRule="auto"/>
        <w:jc w:val="both"/>
        <w:rPr>
          <w:rFonts w:ascii="Adobe Garamond Pro" w:eastAsia="Times New Roman" w:hAnsi="Adobe Garamond Pro"/>
          <w:noProof/>
          <w:sz w:val="20"/>
          <w:szCs w:val="20"/>
          <w:lang/>
        </w:rPr>
      </w:pPr>
      <w:r w:rsidRPr="0098335E">
        <w:rPr>
          <w:rFonts w:ascii="Adobe Garamond Pro" w:eastAsia="Times New Roman" w:hAnsi="Adobe Garamond Pro"/>
          <w:noProof/>
          <w:sz w:val="20"/>
          <w:szCs w:val="20"/>
          <w:lang/>
        </w:rPr>
        <w:t>Ključni prioriteti utvrđeni za spoljnu politiku Bosne i Hercegovine obuhvataju:</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Pr="0098335E" w:rsidRDefault="0098335E" w:rsidP="0098335E">
      <w:pPr>
        <w:numPr>
          <w:ilvl w:val="0"/>
          <w:numId w:val="41"/>
        </w:numPr>
        <w:spacing w:after="0" w:line="240" w:lineRule="auto"/>
        <w:jc w:val="both"/>
        <w:rPr>
          <w:rFonts w:ascii="Adobe Garamond Pro" w:eastAsia="Times New Roman" w:hAnsi="Adobe Garamond Pro"/>
          <w:noProof/>
          <w:sz w:val="20"/>
          <w:szCs w:val="20"/>
          <w:lang/>
        </w:rPr>
      </w:pPr>
      <w:r w:rsidRPr="0098335E">
        <w:rPr>
          <w:rFonts w:ascii="Adobe Garamond Pro" w:eastAsia="Times New Roman" w:hAnsi="Adobe Garamond Pro"/>
          <w:noProof/>
          <w:sz w:val="20"/>
          <w:szCs w:val="20"/>
          <w:lang/>
        </w:rPr>
        <w:t>očuvanje i zaštitu nezavisnosti, suvereniteta i teritorijalnog integriteta Bosne i Hercegovine u međunarodno priznatim granicama;</w:t>
      </w:r>
    </w:p>
    <w:p w:rsidR="0098335E" w:rsidRPr="0098335E" w:rsidRDefault="0098335E" w:rsidP="0098335E">
      <w:pPr>
        <w:numPr>
          <w:ilvl w:val="0"/>
          <w:numId w:val="41"/>
        </w:numPr>
        <w:spacing w:after="0" w:line="240" w:lineRule="auto"/>
        <w:jc w:val="both"/>
        <w:rPr>
          <w:rFonts w:ascii="Adobe Garamond Pro" w:eastAsia="Times New Roman" w:hAnsi="Adobe Garamond Pro"/>
          <w:noProof/>
          <w:sz w:val="20"/>
          <w:szCs w:val="20"/>
          <w:lang/>
        </w:rPr>
      </w:pPr>
      <w:r w:rsidRPr="0098335E">
        <w:rPr>
          <w:rFonts w:ascii="Adobe Garamond Pro" w:eastAsia="Times New Roman" w:hAnsi="Adobe Garamond Pro"/>
          <w:noProof/>
          <w:sz w:val="20"/>
          <w:szCs w:val="20"/>
          <w:lang/>
        </w:rPr>
        <w:t>potpunu i dosljednu primjenu Opšteg mirovnog sporazuma;</w:t>
      </w:r>
    </w:p>
    <w:p w:rsidR="0098335E" w:rsidRPr="0098335E" w:rsidRDefault="0098335E" w:rsidP="0098335E">
      <w:pPr>
        <w:numPr>
          <w:ilvl w:val="0"/>
          <w:numId w:val="41"/>
        </w:numPr>
        <w:spacing w:after="0" w:line="240" w:lineRule="auto"/>
        <w:jc w:val="both"/>
        <w:rPr>
          <w:rFonts w:ascii="Adobe Garamond Pro" w:eastAsia="Times New Roman" w:hAnsi="Adobe Garamond Pro"/>
          <w:noProof/>
          <w:sz w:val="20"/>
          <w:szCs w:val="20"/>
          <w:lang/>
        </w:rPr>
      </w:pPr>
      <w:r w:rsidRPr="0098335E">
        <w:rPr>
          <w:rFonts w:ascii="Adobe Garamond Pro" w:eastAsia="Times New Roman" w:hAnsi="Adobe Garamond Pro"/>
          <w:noProof/>
          <w:sz w:val="20"/>
          <w:szCs w:val="20"/>
          <w:lang/>
        </w:rPr>
        <w:t>uključivanje Bosne i Hercegovine u evropske integracione procese;</w:t>
      </w:r>
    </w:p>
    <w:p w:rsidR="0098335E" w:rsidRPr="0098335E" w:rsidRDefault="0098335E" w:rsidP="0098335E">
      <w:pPr>
        <w:numPr>
          <w:ilvl w:val="0"/>
          <w:numId w:val="41"/>
        </w:numPr>
        <w:spacing w:after="0" w:line="240" w:lineRule="auto"/>
        <w:jc w:val="both"/>
        <w:rPr>
          <w:rFonts w:ascii="Adobe Garamond Pro" w:eastAsia="Times New Roman" w:hAnsi="Adobe Garamond Pro"/>
          <w:noProof/>
          <w:sz w:val="20"/>
          <w:szCs w:val="20"/>
          <w:lang/>
        </w:rPr>
      </w:pPr>
      <w:r w:rsidRPr="0098335E">
        <w:rPr>
          <w:rFonts w:ascii="Adobe Garamond Pro" w:eastAsia="Times New Roman" w:hAnsi="Adobe Garamond Pro"/>
          <w:noProof/>
          <w:sz w:val="20"/>
          <w:szCs w:val="20"/>
          <w:lang/>
        </w:rPr>
        <w:t>učešće Bosne i Hercegovine u multilateralnim aktivnostima, kao dio sistema Ujedinjenih nacija (UN-a), Savjeta Evrope, Organizacije za bezbjednost i saradnju u Evropi (OEBS-a) itd.;</w:t>
      </w:r>
    </w:p>
    <w:p w:rsidR="0098335E" w:rsidRDefault="0098335E" w:rsidP="0098335E">
      <w:pPr>
        <w:numPr>
          <w:ilvl w:val="0"/>
          <w:numId w:val="41"/>
        </w:numPr>
        <w:spacing w:after="0" w:line="240" w:lineRule="auto"/>
        <w:jc w:val="both"/>
        <w:rPr>
          <w:rFonts w:ascii="Adobe Garamond Pro" w:eastAsia="Times New Roman" w:hAnsi="Adobe Garamond Pro"/>
          <w:noProof/>
          <w:sz w:val="20"/>
          <w:szCs w:val="20"/>
          <w:lang/>
        </w:rPr>
      </w:pPr>
      <w:r w:rsidRPr="0098335E">
        <w:rPr>
          <w:rFonts w:ascii="Adobe Garamond Pro" w:eastAsia="Times New Roman" w:hAnsi="Adobe Garamond Pro"/>
          <w:noProof/>
          <w:sz w:val="20"/>
          <w:szCs w:val="20"/>
          <w:lang/>
        </w:rPr>
        <w:lastRenderedPageBreak/>
        <w:t xml:space="preserve">promocija Bosne i Hercegovine kao partnera u međunarodnim ekonomskim odnosima, kao i promocija aktivnosti u cilju prijema Bosne i Hercegovine u Svjetsku trgovinsku organizaciju. </w:t>
      </w:r>
    </w:p>
    <w:p w:rsidR="0098335E" w:rsidRPr="0098335E" w:rsidRDefault="0098335E" w:rsidP="0098335E">
      <w:pPr>
        <w:spacing w:after="0" w:line="240" w:lineRule="auto"/>
        <w:ind w:left="720"/>
        <w:jc w:val="both"/>
        <w:rPr>
          <w:rFonts w:ascii="Adobe Garamond Pro" w:eastAsia="Times New Roman" w:hAnsi="Adobe Garamond Pro"/>
          <w:noProof/>
          <w:sz w:val="20"/>
          <w:szCs w:val="20"/>
          <w:lang/>
        </w:rPr>
      </w:pPr>
    </w:p>
    <w:p w:rsid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Da bi se ispunili ciljevi politike bezbjednosti u Bosni i Hercegovini, Ministarstvo inostranih poslova formiralo je odjeljenje za mir i bezbjednost, kao dio svog Sektora za multilateralne poslove. Odjeljenje za mir i bezbjednost sprovodi sve aktivnosti od značaja za rad i inicijative međunarodnih organizacija.  Kao dio ukupnog napora za smanjenje rizika od globalnih izazova sa kojima se suočavaju zemlje Zapadnog Balkana, Bosna i Hercegovina je uključena u različite aktivnosti, uključujući i učešće u međunarodnim mirovnim misijama. Bosna i Hercegovina je slala trupe u mirovne misije UN-a u Kongu, Istočnom Timoru, Eritreji, Etiopiji, Liberiji, Sijera Leoneu i Iraku. Ostale aktivnosti usmjerene ka minimiziranju globalne opasnosti uključuju pružanje podrške međunarodnim sudovima za ratne zločine te usvajanje i proglašenje instrumenata za zaštitu ljudskih prava. Bosanskohercegovačka nacionalna bezbjednosna politika kroz intenzivnu saradnju i izgradnju povjerenja i bezbjednosti nastoji da unaprijedi odnose sa drugim državama i time doprinese međunarodnoj i regionalnoj bezbjednosti.</w:t>
      </w:r>
      <w:r w:rsidRPr="0098335E">
        <w:rPr>
          <w:rStyle w:val="FootnoteReference"/>
          <w:rFonts w:ascii="Adobe Garamond Pro" w:eastAsia="Times New Roman" w:hAnsi="Adobe Garamond Pro"/>
          <w:noProof/>
          <w:sz w:val="20"/>
          <w:szCs w:val="20"/>
          <w:lang/>
        </w:rPr>
        <w:footnoteReference w:id="13"/>
      </w:r>
      <w:r w:rsidRPr="0098335E">
        <w:rPr>
          <w:rFonts w:ascii="Adobe Garamond Pro" w:eastAsia="Times New Roman" w:hAnsi="Adobe Garamond Pro"/>
          <w:noProof/>
          <w:sz w:val="20"/>
          <w:szCs w:val="20"/>
          <w:lang/>
        </w:rPr>
        <w:t xml:space="preserve">  </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Bosna i Hercegovina je, na primjer, uspostavila saradnju u okviru Procesa saradnje u Jugoistočnoj Evropi što je dovelo do intenziviranja saradnje između zemalja regiona u poslednjoj deceniji, posebno u oblasti pravosuđa i unutrašnjih poslova. Redovni sastanci su organizovani u regionu. Vlada Bosne i Hercegovine je ustanovila Sekretarijat za Savjet za regionalnu saradnju, koji bi trebalo da dodatno ojača savremeni koncept kolektivne bezbjednosti u regionu.</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 xml:space="preserve">Istovremeno, Ministarstvo odbrane je u partnerskim odnosima sa Ministarstvima odbrane Hrvatske, Crne Gore i Srbije što je rezultiralo u izradi godišnjih planova za saradnju između ministarstava. Do sada su ovi planovi bili usmjereni na posjete i konferencije, ali postoje planovi za buduće proširenje saradnje na više materijalne oblasti. </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Dio izazova Bosne i Hercegovine u postizanju unutrašnje bezbjednosti je potkrijepljen činjenicom da nadležnost za različita pitanja leži u različitim nivoima vlasti.</w:t>
      </w:r>
      <w:r w:rsidRPr="0098335E">
        <w:rPr>
          <w:rStyle w:val="FootnoteReference"/>
          <w:rFonts w:ascii="Adobe Garamond Pro" w:eastAsia="Times New Roman" w:hAnsi="Adobe Garamond Pro"/>
          <w:noProof/>
          <w:sz w:val="20"/>
          <w:szCs w:val="20"/>
          <w:lang/>
        </w:rPr>
        <w:footnoteReference w:id="14"/>
      </w:r>
      <w:r w:rsidRPr="0098335E">
        <w:rPr>
          <w:rFonts w:ascii="Adobe Garamond Pro" w:eastAsia="Times New Roman" w:hAnsi="Adobe Garamond Pro"/>
          <w:noProof/>
          <w:sz w:val="20"/>
          <w:szCs w:val="20"/>
          <w:lang/>
        </w:rPr>
        <w:t xml:space="preserve"> </w:t>
      </w:r>
      <w:r>
        <w:rPr>
          <w:rFonts w:ascii="Adobe Garamond Pro" w:eastAsia="Times New Roman" w:hAnsi="Adobe Garamond Pro"/>
          <w:noProof/>
          <w:sz w:val="20"/>
          <w:szCs w:val="20"/>
          <w:lang/>
        </w:rPr>
        <w:lastRenderedPageBreak/>
        <w:tab/>
      </w:r>
      <w:r w:rsidRPr="0098335E">
        <w:rPr>
          <w:rFonts w:ascii="Adobe Garamond Pro" w:eastAsia="Times New Roman" w:hAnsi="Adobe Garamond Pro"/>
          <w:noProof/>
          <w:sz w:val="20"/>
          <w:szCs w:val="20"/>
          <w:lang/>
        </w:rPr>
        <w:t>Tako, na primjer, odgovornost za borbu protiv degradacije životne sredine leži u četiri različita nivoa vlasti, koji često imaju različita gledišta i prioritete kako bi trebalo da se problem riješi. Sličan problem postoji u pogledu smanjenja nezaposlenosti. Da bi se riješio ovaj problem, vlade treba da se prilagode i sinhronizaciju promociju investicija, obrazovanje, oporezivanje i industrijsku politiku kako bi postigli željeni ishod. U većini centralizovanih država, bavljenje ovim izazovom podrazumijeva veliki broj pokušaja.  U Bosni i Hercegovini problem je još veći izazov, jer odgovornost za svako od navedenih pitanja se dijeli na različite nivoe vlasti. Na primjer, fiskalna politika i promocija investicija je vršena od strane državne vlasti, oporezivanje i industrijska politika od strane vlada entiteta, politika zapošljavanja od strane kantonalnih vlasti i lokalni porezi od strane opštinskih vlasti. Zato nije iznenađujuće da su nastojanja Vlade da riješi unutrašnje probleme npr. nezaposlenost za posljedicu imala širok niz mjera koje nisu uvijek komplementarne i time proizvode različite efekte.</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 xml:space="preserve">U drugim oblastima, kao što su kontrola granica i oružja gdje je podjela odgovornosti jednostavnija, rezultati su bili pozitivni. Bosna i Hercegovina je posvetila veliku pažnju odnosima sa susjednim državama kao dijelu svojih napora da poboljša svoje granice. Regionalna bezbjednosna saradnja je posebno fokusirana na granični monitoring i kontrolu. Cilj je borba protiv prekograničnog kriminala, terorizma, organizovanog kriminala i ilegalne migracije. Povećana saradnja između Bosne i Hercegovine i susjednih zemalja je primarno vezana za primjenu standarda propisanim Šengenskim sporazumom. Međutim, takođe je proizvela značajne rezultate u pogledu efikasnosti i efektivnosti granice  kroz praćenje i kontrolu. Čak i viši nivo uspjeha je postignut u pogledu eliminisanja problema rudnika, oružja i municije. Trenutno, 3,6% teritorije Bosne i Hercegovine je pod prijetnjom od zaostalih mina. UNDP je 1998. godine, pokrenuo program za razvijanje Centra za razminiranje u cilju koordinacije akcija uklanjanja mina. Ista organizacija je u 2002. godini pružila pomoć u izradi Nacionalne strategije za uklanjanje mina.  Strategija za Bosnu i Hercegovinu je bila usklađena sa ciljevima Konvencije iz Otave i usmjerena na zemlju bez mina do 2009. godine. Sličan uspjeh je registrovan u naporima za smanjenje zaliha oružja i municije. U 2004. godini, Ministarstvo odbrane potpisalo je projekat vrijedan 11,5 miliona dolara sa UNDP-om za pomoć za odstranjivanje viška naoružanja i municije. U to vrijeme, </w:t>
      </w:r>
      <w:r w:rsidRPr="0098335E">
        <w:rPr>
          <w:rFonts w:ascii="Adobe Garamond Pro" w:eastAsia="Times New Roman" w:hAnsi="Adobe Garamond Pro"/>
          <w:noProof/>
          <w:sz w:val="20"/>
          <w:szCs w:val="20"/>
          <w:lang/>
        </w:rPr>
        <w:lastRenderedPageBreak/>
        <w:t>prema procjenama Bosne i Hercegovine postojao je višak od 380,000 komada oružja i nekoliko desetina tona viška municije.</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Pr="0098335E" w:rsidRDefault="0098335E" w:rsidP="0098335E">
      <w:pPr>
        <w:spacing w:after="0" w:line="240" w:lineRule="auto"/>
        <w:jc w:val="both"/>
        <w:rPr>
          <w:rFonts w:ascii="Adobe Garamond Pro" w:eastAsia="Times New Roman" w:hAnsi="Adobe Garamond Pro"/>
          <w:b/>
          <w:noProof/>
          <w:lang/>
        </w:rPr>
      </w:pPr>
      <w:r w:rsidRPr="0098335E">
        <w:rPr>
          <w:rFonts w:ascii="Adobe Garamond Pro" w:eastAsia="Times New Roman" w:hAnsi="Adobe Garamond Pro"/>
          <w:b/>
          <w:noProof/>
          <w:lang/>
        </w:rPr>
        <w:t>Normativno</w:t>
      </w:r>
      <w:r>
        <w:rPr>
          <w:rFonts w:ascii="Adobe Garamond Pro" w:eastAsia="Times New Roman" w:hAnsi="Adobe Garamond Pro"/>
          <w:b/>
          <w:noProof/>
          <w:lang/>
        </w:rPr>
        <w:t xml:space="preserve"> </w:t>
      </w:r>
      <w:r w:rsidRPr="0098335E">
        <w:rPr>
          <w:rFonts w:ascii="Adobe Garamond Pro" w:eastAsia="Times New Roman" w:hAnsi="Adobe Garamond Pro"/>
          <w:b/>
          <w:noProof/>
          <w:lang/>
        </w:rPr>
        <w:t>regulisanj</w:t>
      </w:r>
      <w:r>
        <w:rPr>
          <w:rFonts w:ascii="Adobe Garamond Pro" w:eastAsia="Times New Roman" w:hAnsi="Adobe Garamond Pro"/>
          <w:b/>
          <w:noProof/>
          <w:lang/>
        </w:rPr>
        <w:t xml:space="preserve">e </w:t>
      </w:r>
      <w:r w:rsidRPr="0098335E">
        <w:rPr>
          <w:rFonts w:ascii="Adobe Garamond Pro" w:eastAsia="Times New Roman" w:hAnsi="Adobe Garamond Pro"/>
          <w:b/>
          <w:noProof/>
          <w:lang/>
        </w:rPr>
        <w:t>bezbjednosnog sistema</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Mirovni sporazum nastajao  je  u specifičnim  uslovima  zaustavljanja  rata i zadovoljavanja interesa kako ratujućih  strana tako i  strana duboko  involviranih u ovaj sukob. Prema  obimu vojnog, političkog, ekonomskog, diplomatskog, vjerskog i drugog uplitanja  i odmjeravanja snaga  na  Balkanu  može  se skoro  govoriti  o  regionalnom ako ne i malom svjetskom konfliktu. Dakle, Mirovni sporazum predstavlja koherentnu  strukturnu  cjelinu koja se  samo kao takva može smatrati konzistentnom. Ovo  stoji  i  iz razloga što su  se  oko svih  bitnih  pitanja  i  elemenata  strukture  sporazuma  voljno  ili nevoljno dogovorili protagonisti ove  Mirovne  konferencije. Ukoliko  bismo odvojeno analizirali  separate  sporazuma, pojedinačno  bi  se  stvarala predodžba o  funkcionalnijim  rješenjima. Tako  izdvojeno  bezbjednosna  komponenta izvan konteksta duha Mirovnog  sporazuma teško da  je  po volji  i  unutrašnjih  i  vanjskih  funkcionalnih  premisa. Radi  boljeg  razumijevanja  funkcionalnosti  bezbjednosnih  sistema  i  njihovog  značaja  neophodno  je razmotriti  dva  aspekta.</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 xml:space="preserve">Unutrašnji  zahtjevi  ovom  suštinski  važnom segmentu  društva  polaze  od  veoma značajnog dokumenta. To  je  Procjena  ugroženosti, ili  izvora  opasnosti  i  ugrožavanja.  Na  bazi  tih  procjena  izrađuje  se  niz  dokumenata  od  najvišeg  značaja. Shodno  tim  procjenama  formira  se  organizuje, osposobljava, obučava i  oprema  bezbjednosna  struktura društva. U našim  uslovima  ovo  je  veoma  ranjiv  segment  društvenog  sistema. Prvi  razlog  leži  u  svježim  ratnim  događajima  kod  nas  i u  bližem  okruženju. Drugi bitan  razlog  jeste  nemogućnost  donošenja  objektivnog  procjenjivanja  izvora  ugrožavanja. Bolje  reći  postizanja  saglasnosti  o  potencijalnoj  opasnosti   i  eventualno  procjena  i  imenovanje  okruženja  iz  kog  može  doći  opasnost po  narode  u  Bosni  i  Hercegovini. Ovo  je  naročito  nezahvalan  problem  i  iz  razloga  što  se  Bosna  i  Hercegovina  graniči  sa  državama  koje  su  matice  za  dva  od  tri konstitutivna  naroda  u  Bosni  i  Hercegovini. Treća  dimenzija  ovog  problema  jeste  što  ovu  državu  čine  tri  konstitutivna  naroda  različitih  civilizacija  koje  u  širem  globalnom  kontekstu  opterećuju  brojne  protivriječnosti. Ako  se  tome  doda  unutrašnja  netrpeljivost  i  neprijateljstvo  proteklih  petnaest  godina  situacija  je  još  složenija. Četvrti  problem  i  kad  bi  bilo  političke  volje  za  početne  impulse  normativnog  ustrojstva  zaglavili  bih  se  u  glib  ekonomskih  nemogućnosti  nepostojanja  privrede  da  isfinansira  respektabilan  sistem. Peti problem vezan  je  za  postizanje  unutrašnjih  standarda  neophodnih  za  integrisanje  u  evropske  i  euroatlantske  integracije. Sijaset  je  problema  koje  ovdje  taksativno  možemo nabrajati  za  čije  rješavanje  ne  postoji  unutrašnja  kritična  masa motivisana da  odgovorno  i  savjesno  pristupi  reformama. Bitan unutrašnji faktor razvoja postalo je spoljne oblikovanje  identiteta  istog u okviru  paradigme zavisnog razvoja  i neovazalnog položaja  u odnosu na glavne centre moći  u Evropi i svijetu. To uplitanje  išlo je tako  daleko da je stvaranje </w:t>
      </w:r>
      <w:r w:rsidRPr="0098335E">
        <w:rPr>
          <w:rFonts w:ascii="Adobe Garamond Pro" w:eastAsia="Times New Roman" w:hAnsi="Adobe Garamond Pro"/>
          <w:noProof/>
          <w:sz w:val="20"/>
          <w:szCs w:val="20"/>
          <w:lang/>
        </w:rPr>
        <w:lastRenderedPageBreak/>
        <w:t>Balkanskih država zavisilo više od spoljnih činilaca nego stvarnih unutrašnjih snaga i realnih nacionalnih ciljeva.</w:t>
      </w:r>
      <w:r>
        <w:rPr>
          <w:rFonts w:ascii="Adobe Garamond Pro" w:eastAsia="Times New Roman" w:hAnsi="Adobe Garamond Pro"/>
          <w:noProof/>
          <w:sz w:val="20"/>
          <w:szCs w:val="20"/>
          <w:lang/>
        </w:rPr>
        <w:t xml:space="preserve"> </w:t>
      </w:r>
      <w:r w:rsidRPr="0098335E">
        <w:rPr>
          <w:rFonts w:ascii="Adobe Garamond Pro" w:eastAsia="Times New Roman" w:hAnsi="Adobe Garamond Pro"/>
          <w:noProof/>
          <w:sz w:val="20"/>
          <w:szCs w:val="20"/>
          <w:lang/>
        </w:rPr>
        <w:t xml:space="preserve">Na  spoljne  faktore, koji  su  kako  kroz  istoriju  tako  i  danas  bitno  uticali  na  sudbine  naših  naroda, treba  motriti  sa  najvećom  pažnjom, ozbiljnošću  i  odgovornošću  za  sudbinu  svog  naroda. To  podrazumijeva  praćenje i predviđanje  procesa  u  međunarodnoj  zajednici, naročito  onih procesa  koji  se  direktno  ili  indirektno  mogu  odraziti  na  nas. </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P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Usklađivanje  i  prilagođavanje  svojih  interesa sa globalnim  procesima  i  integracijama,  izvlačenje  što  više  koristi  za unutrašnji razvoj  i  napredak  mora  biti  ideja  vodilja  i  politička  vizija. Na  pozicioniranje  naših  prostora  devedesetih  godina  20-tog vijeka  bitno  su  uticali  krupni  događaji koji  su  označeni  kao  turboglobalizacija. Dobri  poznavaoci  prilika u  bližem i daljem  okruženju  predviđali  su i ukazivali  na  moguće  posljedice  tragičnog  raspleta  dezintegracije socjalističkih  društava. Proces  dezintegracije  tekao  je  munjevitom  brzinom, događaji  su  se  smjenjivali  kao  da  je  isteklo  vrijeme.</w:t>
      </w:r>
    </w:p>
    <w:p w:rsidR="0098335E" w:rsidRDefault="0098335E" w:rsidP="0098335E">
      <w:pPr>
        <w:spacing w:after="0" w:line="240" w:lineRule="auto"/>
        <w:jc w:val="both"/>
        <w:rPr>
          <w:rFonts w:ascii="Adobe Garamond Pro" w:eastAsia="Times New Roman" w:hAnsi="Adobe Garamond Pro"/>
          <w:noProof/>
          <w:sz w:val="20"/>
          <w:szCs w:val="20"/>
          <w:lang/>
        </w:rPr>
      </w:pPr>
      <w:r w:rsidRPr="0098335E">
        <w:rPr>
          <w:rFonts w:ascii="Adobe Garamond Pro" w:eastAsia="Times New Roman" w:hAnsi="Adobe Garamond Pro"/>
          <w:noProof/>
          <w:sz w:val="20"/>
          <w:szCs w:val="20"/>
          <w:lang/>
        </w:rPr>
        <w:t>Druga  bitna  dimenzija događaja koji  opredjeljuju našu poziciju  jeste  kraj  bipolarne  politike  na globalnom planu  koja  je  Jugoslaviji pridavao geostrategijski  značaj tampon  zone  ili mostobrana između  blokova. Nestankom bipolarne podjele svijeta Jugoslavija gubi  prvobitan  značaj  zbog  kog je  i  formirana.</w:t>
      </w:r>
      <w:r w:rsidRPr="0098335E">
        <w:rPr>
          <w:rStyle w:val="FootnoteReference"/>
          <w:rFonts w:ascii="Adobe Garamond Pro" w:eastAsia="Times New Roman" w:hAnsi="Adobe Garamond Pro"/>
          <w:noProof/>
          <w:sz w:val="20"/>
          <w:szCs w:val="20"/>
          <w:lang/>
        </w:rPr>
        <w:footnoteReference w:id="15"/>
      </w:r>
      <w:r w:rsidRPr="0098335E">
        <w:rPr>
          <w:rFonts w:ascii="Adobe Garamond Pro" w:eastAsia="Times New Roman" w:hAnsi="Adobe Garamond Pro"/>
          <w:noProof/>
          <w:sz w:val="20"/>
          <w:szCs w:val="20"/>
          <w:lang/>
        </w:rPr>
        <w:t xml:space="preserve"> </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P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 xml:space="preserve">Kroz  uspostavljanje  novog svjetskog poretka teče  i proces ograničenja nacionalnog  suvereniteta. Nestankom  bipolarizma  akcenat  se  stavlja  na kolektivnu  bezbjednost. Tako  za rešavanje  kriza van domena NATO formiraju  se snage za brze intervencije od evropskih  članica. OEBS je takođe okupio  52 zemlje a od 1990. godine Pariskom poveljom za novu Evropu obezbijedio je zaštitu interesa manjina u državama članicama. Ove činjenice  predstavljaju  ozbiljne signale o promjenama na našem kontinentu i na globalnom planu. U  skladu  sa projekcijom  i  vizijom tih  promjena rješavana je i kriza i rat u prethodnoj državi  odnosno  Bosni  i  Hercegovini. Obzirom  da  su  se  prelamali  različiti  interesi  regionalnih  i  vanregionalnih sila istorijskih i naslijeđenih animoziteta te vjerskih i civilizacijskih obrazaca  života  nismo  dovoljno  sagledali  vanjske  faktore  u  traganju  za budućim  rješenjima  kako u unutrašnjim političkim pregovorima na početku krize tako i internacionalizacijom  krize. </w:t>
      </w:r>
    </w:p>
    <w:p w:rsidR="0098335E" w:rsidRDefault="0098335E" w:rsidP="0098335E">
      <w:pPr>
        <w:spacing w:after="0" w:line="240" w:lineRule="auto"/>
        <w:jc w:val="both"/>
        <w:rPr>
          <w:rFonts w:ascii="Adobe Garamond Pro" w:eastAsia="Times New Roman" w:hAnsi="Adobe Garamond Pro"/>
          <w:noProof/>
          <w:sz w:val="20"/>
          <w:szCs w:val="20"/>
          <w:lang/>
        </w:rPr>
      </w:pPr>
      <w:r w:rsidRPr="0098335E">
        <w:rPr>
          <w:rFonts w:ascii="Adobe Garamond Pro" w:eastAsia="Times New Roman" w:hAnsi="Adobe Garamond Pro"/>
          <w:noProof/>
          <w:sz w:val="20"/>
          <w:szCs w:val="20"/>
          <w:lang/>
        </w:rPr>
        <w:t xml:space="preserve">     Koliko  je  to  složen  problem  međunarodne  saglasnosti  i  unutrašnjeg  konsenzusa  govore  i  brojne  međunarodne  konferencije  o  implementaciji  naročito  vojnog odnosno  bezbjednosnog  aspekta Dejtonskog  sporazuma. Godinu  za  godinom  održavane  su  konferencije  u  Sintri, zatim Madridska, pa Lisabonska pa Bonska deklaracija  koje  su  dalje  operacionalizovale  i  razrađivale  pojedine  aspekte  Mirovnog  sporazuma dajući  sve  veća  ovlaštenja visokom predstavniku.</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lastRenderedPageBreak/>
        <w:tab/>
      </w:r>
      <w:r w:rsidRPr="0098335E">
        <w:rPr>
          <w:rFonts w:ascii="Adobe Garamond Pro" w:eastAsia="Times New Roman" w:hAnsi="Adobe Garamond Pro"/>
          <w:noProof/>
          <w:sz w:val="20"/>
          <w:szCs w:val="20"/>
          <w:lang/>
        </w:rPr>
        <w:t>Mislim  da  će  u  vrijeme koje  je  neposredno  pred  nama obzirom  na  pokretačke  snage  razvoja društva ovaj faktor igrati presudnu  ulogu  na domaće prilike  i  da  će  po  Darvinovoj teoriji  opstati  i izboriti  se  za svoje mjesto u zajednici naroda samo sposobni za opstanak i prilagođavanje.</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Preobražaj bezbjednosne sfere kao i drugih podsistema društvenog sistema mora se sagledavati, planirati, organizovati, predviđati da funkcioniše na principima i načelima  propisa i struke u funkciji čovjeka, institucija i društva u cjelini. Takođe kao  proces ova bitna funkcija sistema kao i druge funkcije svoje usavršavanje, osposobljavanje, obuku, opremanje standardizaciju i usklađivanje sa potrebama koje se nameću moraju biti utemeljene i konzistentne.</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Planiranje, predviđanje, organizacija bezbjednosne funkcije treba ići uvažavanjem prethodnih principa, konzistentno preobražaju drugih podsaistema paralelnog procesa tranzicije društvenog sistema u cjelini.</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Pr="0098335E" w:rsidRDefault="0098335E" w:rsidP="0098335E">
      <w:pPr>
        <w:spacing w:after="0" w:line="240" w:lineRule="auto"/>
        <w:jc w:val="both"/>
        <w:rPr>
          <w:rFonts w:ascii="Adobe Garamond Pro" w:eastAsia="Times New Roman" w:hAnsi="Adobe Garamond Pro"/>
          <w:noProof/>
          <w:sz w:val="20"/>
          <w:szCs w:val="20"/>
          <w:lang/>
        </w:rPr>
      </w:pPr>
      <w:r>
        <w:rPr>
          <w:rFonts w:ascii="Adobe Garamond Pro" w:eastAsia="Times New Roman" w:hAnsi="Adobe Garamond Pro"/>
          <w:noProof/>
          <w:sz w:val="20"/>
          <w:szCs w:val="20"/>
          <w:lang/>
        </w:rPr>
        <w:tab/>
      </w:r>
      <w:r w:rsidRPr="0098335E">
        <w:rPr>
          <w:rFonts w:ascii="Adobe Garamond Pro" w:eastAsia="Times New Roman" w:hAnsi="Adobe Garamond Pro"/>
          <w:noProof/>
          <w:sz w:val="20"/>
          <w:szCs w:val="20"/>
          <w:lang/>
        </w:rPr>
        <w:t>Opremanje osposobljavanje, standardizacija i uvezivanje mora biti usklađeno sa integracionim procesima Evropske unije i zemalja u bližem okruženju, potrebama i zahtjevima naših građana i institucija sistema.</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Pr="0098335E" w:rsidRDefault="0098335E" w:rsidP="0098335E">
      <w:pPr>
        <w:spacing w:after="0" w:line="240" w:lineRule="auto"/>
        <w:jc w:val="both"/>
        <w:rPr>
          <w:rFonts w:ascii="Adobe Garamond Pro" w:eastAsia="Times New Roman" w:hAnsi="Adobe Garamond Pro"/>
          <w:b/>
          <w:noProof/>
          <w:lang/>
        </w:rPr>
      </w:pPr>
      <w:r w:rsidRPr="0098335E">
        <w:rPr>
          <w:rFonts w:ascii="Adobe Garamond Pro" w:eastAsia="Times New Roman" w:hAnsi="Adobe Garamond Pro"/>
          <w:b/>
          <w:noProof/>
          <w:lang/>
        </w:rPr>
        <w:t>ZAKLJUČAK</w:t>
      </w:r>
    </w:p>
    <w:p w:rsidR="0098335E" w:rsidRPr="0098335E" w:rsidRDefault="0098335E" w:rsidP="0098335E">
      <w:pPr>
        <w:spacing w:after="0" w:line="240" w:lineRule="auto"/>
        <w:jc w:val="both"/>
        <w:rPr>
          <w:rFonts w:ascii="Adobe Garamond Pro" w:eastAsia="Times New Roman" w:hAnsi="Adobe Garamond Pro"/>
          <w:noProof/>
          <w:sz w:val="20"/>
          <w:szCs w:val="20"/>
          <w:lang/>
        </w:rPr>
      </w:pPr>
    </w:p>
    <w:p w:rsidR="0098335E" w:rsidRDefault="0098335E" w:rsidP="0098335E">
      <w:pPr>
        <w:spacing w:after="0" w:line="240" w:lineRule="auto"/>
        <w:jc w:val="both"/>
        <w:rPr>
          <w:rFonts w:ascii="Adobe Garamond Pro" w:hAnsi="Adobe Garamond Pro"/>
          <w:noProof/>
          <w:sz w:val="20"/>
          <w:szCs w:val="20"/>
          <w:lang/>
        </w:rPr>
      </w:pPr>
      <w:r>
        <w:rPr>
          <w:rFonts w:ascii="Adobe Garamond Pro" w:hAnsi="Adobe Garamond Pro"/>
          <w:noProof/>
          <w:sz w:val="20"/>
          <w:szCs w:val="20"/>
          <w:lang/>
        </w:rPr>
        <w:tab/>
      </w:r>
      <w:r w:rsidRPr="0098335E">
        <w:rPr>
          <w:rFonts w:ascii="Adobe Garamond Pro" w:hAnsi="Adobe Garamond Pro"/>
          <w:noProof/>
          <w:sz w:val="20"/>
          <w:szCs w:val="20"/>
          <w:lang/>
        </w:rPr>
        <w:t>Sumirajući rezultate istraživanja o bezbjednosnoj situaciji u Bosni i Hercegovini kroz prizmu evropske integracije može se zaključiti da je pristup, koji je pokrenula Unija 1996. godine, u vrijeme kada ni termin „Zapadni Balkan“ nije postojao, bio namijenjen povezivanju država regiona kroz snažnu mrežu međusobnih odnosa, u cilju stabilizacije i postizanja mira u regionu. Uspostavljanje čvrste saradnje predstavljalo je imperativ dalje integracije u evropske strukture što je posljedično imalo uticaj na izjednačavanje ekonomskog rasta i razvoja, uspostavljanje i jačanje političkih i društvenih veza te odnosa pojedinih regiona u Evropskoj uniji.</w:t>
      </w:r>
    </w:p>
    <w:p w:rsidR="0098335E" w:rsidRPr="0098335E" w:rsidRDefault="0098335E" w:rsidP="0098335E">
      <w:pPr>
        <w:spacing w:after="0" w:line="240" w:lineRule="auto"/>
        <w:jc w:val="both"/>
        <w:rPr>
          <w:rFonts w:ascii="Adobe Garamond Pro" w:hAnsi="Adobe Garamond Pro"/>
          <w:noProof/>
          <w:sz w:val="20"/>
          <w:szCs w:val="20"/>
          <w:lang/>
        </w:rPr>
      </w:pPr>
    </w:p>
    <w:p w:rsidR="0098335E" w:rsidRDefault="0098335E" w:rsidP="0098335E">
      <w:pPr>
        <w:spacing w:after="0" w:line="240" w:lineRule="auto"/>
        <w:jc w:val="both"/>
        <w:rPr>
          <w:rFonts w:ascii="Adobe Garamond Pro" w:hAnsi="Adobe Garamond Pro"/>
          <w:noProof/>
          <w:sz w:val="20"/>
          <w:szCs w:val="20"/>
          <w:lang/>
        </w:rPr>
      </w:pPr>
      <w:r>
        <w:rPr>
          <w:rFonts w:ascii="Adobe Garamond Pro" w:hAnsi="Adobe Garamond Pro"/>
          <w:noProof/>
          <w:sz w:val="20"/>
          <w:szCs w:val="20"/>
          <w:lang/>
        </w:rPr>
        <w:tab/>
      </w:r>
      <w:r w:rsidRPr="0098335E">
        <w:rPr>
          <w:rFonts w:ascii="Adobe Garamond Pro" w:hAnsi="Adobe Garamond Pro"/>
          <w:noProof/>
          <w:sz w:val="20"/>
          <w:szCs w:val="20"/>
          <w:lang/>
        </w:rPr>
        <w:t>Specifičan položaj Bosne i Hercegovine u Procesu stabilizacije i pridruživanja, pokrenutog 1999. godine, uticao je na povećanje angažovanja zemalja regiona u procesu saradnje. Evropska unija je kroz sam Proces stabilizacije i pridruživanja izbrisala razliku bilateralnog i multilateralnog pristupa.</w:t>
      </w:r>
      <w:r w:rsidRPr="0098335E">
        <w:rPr>
          <w:rStyle w:val="FootnoteReference"/>
          <w:rFonts w:ascii="Adobe Garamond Pro" w:hAnsi="Adobe Garamond Pro"/>
          <w:noProof/>
          <w:sz w:val="20"/>
          <w:szCs w:val="20"/>
          <w:lang/>
        </w:rPr>
        <w:footnoteReference w:id="16"/>
      </w:r>
      <w:r w:rsidRPr="0098335E">
        <w:rPr>
          <w:rFonts w:ascii="Adobe Garamond Pro" w:hAnsi="Adobe Garamond Pro"/>
          <w:noProof/>
          <w:sz w:val="20"/>
          <w:szCs w:val="20"/>
          <w:lang/>
        </w:rPr>
        <w:t xml:space="preserve"> Osnovni princip pristupa Evropske unije prema regionu jeste stvaranje jednakog okvira za sve države. Današnje stanje i pozicija u kontekstu odnosa sa susjednim državama ukazuju na niz uspješno izvršenih reformi i značajnu ekonomsku, institucionalnu i konsultantsku pomoć u procesima rekonstrukcije infrastrukture, povratka raseljenih lica, demokratizacije, socijalne kohezije, izgradnje </w:t>
      </w:r>
      <w:r w:rsidRPr="0098335E">
        <w:rPr>
          <w:rFonts w:ascii="Adobe Garamond Pro" w:hAnsi="Adobe Garamond Pro"/>
          <w:noProof/>
          <w:sz w:val="20"/>
          <w:szCs w:val="20"/>
          <w:lang/>
        </w:rPr>
        <w:lastRenderedPageBreak/>
        <w:t>institucionalnih kapaciteta te oporavka regiona Zapadnog Balkana. Evropska unija se i sama ističe kao najuspješniji slučaj regionalne integracije. Njeno iskustvo pokazuje kako regionalna saradnja koja se u početku zasnivala na povezivanju iz ekonomskih interesa, može pomoći u prevazilaženju ne samo ekonomskih problema, već i političkih i bezbjednosnih problema i razlika. Unija je koncept koji već 60 godina daje okvir za trajan mir. Opšti napredak Bosne i Hercegovine je nemoguć ukoliko se zanemari borba protiv korupcije i prekograničnog kriminala kako na nacionalnom tako i na regionalnom nivou. Upravo je region centar za šverc narkotika, oružja i cigareta u Evropsku uniju pa je jačanje saradnje policijskih struktura i tužilaštava od suštinskog značaja. Odnosi Evropske unije sa Bosnom i Hercegovinom su ojačani na samitima i sastancima počev od Zagreba 2000. godine, pa do sastanka Evropskog savjeta u Solunu kada je dato formalno obećanje o budućnosti ove zemlje u Uniji. Pripreme za integraciju u evropske strukture i konačno članstvo tekle su kroz usvajanje evropskih standarda, koji su predstavljali veliki izazov. U novembru 2005. godine Evropska komisija je priznala da je put ka članstvu vrijednost sama po sebi, čak i u slučajevima gdje je pristupanje još uvijek daleko.</w:t>
      </w:r>
    </w:p>
    <w:p w:rsidR="0098335E" w:rsidRPr="0098335E" w:rsidRDefault="0098335E" w:rsidP="0098335E">
      <w:pPr>
        <w:spacing w:after="0" w:line="240" w:lineRule="auto"/>
        <w:jc w:val="both"/>
        <w:rPr>
          <w:rFonts w:ascii="Adobe Garamond Pro" w:hAnsi="Adobe Garamond Pro"/>
          <w:noProof/>
          <w:sz w:val="20"/>
          <w:szCs w:val="20"/>
          <w:lang/>
        </w:rPr>
      </w:pPr>
      <w:r w:rsidRPr="0098335E">
        <w:rPr>
          <w:rFonts w:ascii="Adobe Garamond Pro" w:hAnsi="Adobe Garamond Pro"/>
          <w:noProof/>
          <w:sz w:val="20"/>
          <w:szCs w:val="20"/>
          <w:lang/>
        </w:rPr>
        <w:t xml:space="preserve"> </w:t>
      </w:r>
    </w:p>
    <w:p w:rsidR="0098335E" w:rsidRPr="0098335E" w:rsidRDefault="00871B3D" w:rsidP="0098335E">
      <w:pPr>
        <w:spacing w:after="0" w:line="240" w:lineRule="auto"/>
        <w:jc w:val="both"/>
        <w:rPr>
          <w:rFonts w:ascii="Adobe Garamond Pro" w:hAnsi="Adobe Garamond Pro"/>
          <w:noProof/>
          <w:sz w:val="20"/>
          <w:szCs w:val="20"/>
          <w:lang/>
        </w:rPr>
      </w:pPr>
      <w:r>
        <w:rPr>
          <w:rFonts w:ascii="Adobe Garamond Pro" w:hAnsi="Adobe Garamond Pro"/>
          <w:noProof/>
          <w:sz w:val="20"/>
          <w:szCs w:val="20"/>
          <w:lang/>
        </w:rPr>
        <w:tab/>
      </w:r>
      <w:r w:rsidR="0098335E" w:rsidRPr="0098335E">
        <w:rPr>
          <w:rFonts w:ascii="Adobe Garamond Pro" w:hAnsi="Adobe Garamond Pro"/>
          <w:noProof/>
          <w:sz w:val="20"/>
          <w:szCs w:val="20"/>
          <w:lang/>
        </w:rPr>
        <w:t xml:space="preserve">Dugoročna stabilnost u Bosni i Hercegovini je prioritetni cilj saradnje među zemljaama regiona. Pored već navedenih, saradnja Bosne i Hercegovine sa zemljama iz okruženja je potrebna iz još nekoliko razloga: kao ključni element stabilnosti, kao katalizator za pomirenje, dobrosusjedske odnose i dobre političke odnose i kao pomoć u prevazilaženju nacionalizma i netolerancije i promovisanja međusobnog razumijevanja i političkog dijaloga u regionu. Evropska komisija kroz politiku proširenja pokazuje svoju moć transformacije u regionu gdje su države slabe i društva podijeljena.  </w:t>
      </w:r>
    </w:p>
    <w:p w:rsidR="0098335E" w:rsidRPr="0098335E" w:rsidRDefault="0098335E" w:rsidP="0098335E">
      <w:pPr>
        <w:spacing w:after="0" w:line="240" w:lineRule="auto"/>
        <w:jc w:val="both"/>
        <w:rPr>
          <w:rFonts w:ascii="Adobe Garamond Pro" w:hAnsi="Adobe Garamond Pro"/>
          <w:noProof/>
          <w:sz w:val="20"/>
          <w:szCs w:val="20"/>
          <w:lang/>
        </w:rPr>
      </w:pPr>
      <w:r w:rsidRPr="0098335E">
        <w:rPr>
          <w:rFonts w:ascii="Adobe Garamond Pro" w:hAnsi="Adobe Garamond Pro"/>
          <w:noProof/>
          <w:sz w:val="20"/>
          <w:szCs w:val="20"/>
          <w:lang/>
        </w:rPr>
        <w:t xml:space="preserve">  </w:t>
      </w:r>
    </w:p>
    <w:p w:rsidR="0098335E" w:rsidRDefault="0098335E" w:rsidP="0098335E">
      <w:pPr>
        <w:spacing w:after="0" w:line="240" w:lineRule="auto"/>
        <w:jc w:val="both"/>
        <w:rPr>
          <w:rFonts w:ascii="Adobe Garamond Pro" w:hAnsi="Adobe Garamond Pro"/>
          <w:b/>
          <w:noProof/>
          <w:lang/>
        </w:rPr>
      </w:pPr>
      <w:r w:rsidRPr="00871B3D">
        <w:rPr>
          <w:rFonts w:ascii="Adobe Garamond Pro" w:hAnsi="Adobe Garamond Pro"/>
          <w:b/>
          <w:noProof/>
          <w:lang/>
        </w:rPr>
        <w:t>LITERATURA</w:t>
      </w:r>
    </w:p>
    <w:p w:rsidR="00871B3D" w:rsidRDefault="00871B3D" w:rsidP="0098335E">
      <w:pPr>
        <w:spacing w:after="0" w:line="240" w:lineRule="auto"/>
        <w:jc w:val="both"/>
        <w:rPr>
          <w:rFonts w:ascii="Adobe Garamond Pro" w:hAnsi="Adobe Garamond Pro"/>
          <w:b/>
          <w:noProof/>
          <w:lang/>
        </w:rPr>
      </w:pPr>
    </w:p>
    <w:p w:rsidR="0098335E" w:rsidRPr="0098335E" w:rsidRDefault="0098335E" w:rsidP="00871B3D">
      <w:pPr>
        <w:numPr>
          <w:ilvl w:val="0"/>
          <w:numId w:val="42"/>
        </w:numPr>
        <w:spacing w:after="0" w:line="240" w:lineRule="auto"/>
        <w:ind w:left="284" w:hanging="284"/>
        <w:jc w:val="both"/>
        <w:rPr>
          <w:rFonts w:ascii="Adobe Garamond Pro" w:hAnsi="Adobe Garamond Pro"/>
          <w:noProof/>
          <w:sz w:val="20"/>
          <w:szCs w:val="20"/>
          <w:lang/>
        </w:rPr>
      </w:pPr>
      <w:r w:rsidRPr="0098335E">
        <w:rPr>
          <w:rFonts w:ascii="Adobe Garamond Pro" w:hAnsi="Adobe Garamond Pro"/>
          <w:noProof/>
          <w:sz w:val="20"/>
          <w:szCs w:val="20"/>
          <w:lang/>
        </w:rPr>
        <w:t xml:space="preserve">Bechev, D. </w:t>
      </w:r>
      <w:r w:rsidRPr="0098335E">
        <w:rPr>
          <w:rFonts w:ascii="Adobe Garamond Pro" w:hAnsi="Adobe Garamond Pro"/>
          <w:i/>
          <w:noProof/>
          <w:sz w:val="20"/>
          <w:szCs w:val="20"/>
          <w:lang/>
        </w:rPr>
        <w:t>Carrots, sticks and norms: the EU and regional cooperation in Southeast Europe</w:t>
      </w:r>
      <w:r w:rsidRPr="0098335E">
        <w:rPr>
          <w:rFonts w:ascii="Adobe Garamond Pro" w:hAnsi="Adobe Garamond Pro"/>
          <w:noProof/>
          <w:sz w:val="20"/>
          <w:szCs w:val="20"/>
          <w:lang/>
        </w:rPr>
        <w:t xml:space="preserve">, Communication From the Commission to the Council on Operational Conclusions EU Stabilisation and Association process for countries of South Eastern Europe: Bosnia and Herzegovina, Croatia, Federal Republic of Yugoslavia, Former Yugoslav Republic of Macedonia and Albania, Brussels, 02.03.2000. COM (2000) 49 final/2 </w:t>
      </w:r>
    </w:p>
    <w:p w:rsidR="0098335E" w:rsidRPr="0098335E" w:rsidRDefault="0098335E" w:rsidP="00871B3D">
      <w:pPr>
        <w:numPr>
          <w:ilvl w:val="0"/>
          <w:numId w:val="42"/>
        </w:numPr>
        <w:spacing w:after="0" w:line="240" w:lineRule="auto"/>
        <w:ind w:left="284" w:hanging="284"/>
        <w:jc w:val="both"/>
        <w:rPr>
          <w:rFonts w:ascii="Adobe Garamond Pro" w:hAnsi="Adobe Garamond Pro"/>
          <w:noProof/>
          <w:sz w:val="20"/>
          <w:szCs w:val="20"/>
          <w:lang/>
        </w:rPr>
      </w:pPr>
      <w:r w:rsidRPr="0098335E">
        <w:rPr>
          <w:rFonts w:ascii="Adobe Garamond Pro" w:hAnsi="Adobe Garamond Pro"/>
          <w:i/>
          <w:noProof/>
          <w:sz w:val="20"/>
          <w:szCs w:val="20"/>
          <w:lang/>
        </w:rPr>
        <w:t>Corruption in the Western Balkans: Bribery as experienced by the population</w:t>
      </w:r>
      <w:r w:rsidRPr="0098335E">
        <w:rPr>
          <w:rFonts w:ascii="Adobe Garamond Pro" w:hAnsi="Adobe Garamond Pro"/>
          <w:noProof/>
          <w:sz w:val="20"/>
          <w:szCs w:val="20"/>
          <w:lang/>
        </w:rPr>
        <w:t xml:space="preserve">, Cofinanced by the European Commission, UNODC - United Nations Office on Drugs and Crime: 2011. </w:t>
      </w:r>
    </w:p>
    <w:p w:rsidR="0098335E" w:rsidRPr="0098335E" w:rsidRDefault="0098335E" w:rsidP="00871B3D">
      <w:pPr>
        <w:numPr>
          <w:ilvl w:val="0"/>
          <w:numId w:val="42"/>
        </w:numPr>
        <w:spacing w:after="0" w:line="240" w:lineRule="auto"/>
        <w:ind w:left="284" w:hanging="284"/>
        <w:jc w:val="both"/>
        <w:rPr>
          <w:rFonts w:ascii="Adobe Garamond Pro" w:hAnsi="Adobe Garamond Pro"/>
          <w:noProof/>
          <w:sz w:val="20"/>
          <w:szCs w:val="20"/>
          <w:lang/>
        </w:rPr>
      </w:pPr>
      <w:r w:rsidRPr="0098335E">
        <w:rPr>
          <w:rFonts w:ascii="Adobe Garamond Pro" w:hAnsi="Adobe Garamond Pro"/>
          <w:noProof/>
          <w:sz w:val="20"/>
          <w:szCs w:val="20"/>
          <w:lang/>
        </w:rPr>
        <w:t xml:space="preserve">Đukanović, D. </w:t>
      </w:r>
      <w:r w:rsidRPr="0098335E">
        <w:rPr>
          <w:rFonts w:ascii="Adobe Garamond Pro" w:hAnsi="Adobe Garamond Pro"/>
          <w:i/>
          <w:noProof/>
          <w:sz w:val="20"/>
          <w:szCs w:val="20"/>
          <w:lang/>
        </w:rPr>
        <w:t>Zapadni Balkan: od sukoba do evrointegracija</w:t>
      </w:r>
      <w:r w:rsidRPr="0098335E">
        <w:rPr>
          <w:rFonts w:ascii="Adobe Garamond Pro" w:hAnsi="Adobe Garamond Pro"/>
          <w:noProof/>
          <w:sz w:val="20"/>
          <w:szCs w:val="20"/>
          <w:lang/>
        </w:rPr>
        <w:t xml:space="preserve">, Beograd: Godišnjak Fakulteta političkih nauka, br. 3, 2009.  </w:t>
      </w:r>
    </w:p>
    <w:p w:rsidR="0098335E" w:rsidRPr="0098335E" w:rsidRDefault="0098335E" w:rsidP="00871B3D">
      <w:pPr>
        <w:numPr>
          <w:ilvl w:val="0"/>
          <w:numId w:val="42"/>
        </w:numPr>
        <w:spacing w:after="0" w:line="240" w:lineRule="auto"/>
        <w:ind w:left="284" w:hanging="284"/>
        <w:jc w:val="both"/>
        <w:rPr>
          <w:rFonts w:ascii="Adobe Garamond Pro" w:hAnsi="Adobe Garamond Pro"/>
          <w:noProof/>
          <w:sz w:val="20"/>
          <w:szCs w:val="20"/>
          <w:lang/>
        </w:rPr>
      </w:pPr>
      <w:r w:rsidRPr="0098335E">
        <w:rPr>
          <w:rFonts w:ascii="Adobe Garamond Pro" w:hAnsi="Adobe Garamond Pro"/>
          <w:noProof/>
          <w:sz w:val="20"/>
          <w:szCs w:val="20"/>
          <w:lang/>
        </w:rPr>
        <w:t xml:space="preserve">Juncos, A. </w:t>
      </w:r>
      <w:r w:rsidRPr="0098335E">
        <w:rPr>
          <w:rFonts w:ascii="Adobe Garamond Pro" w:hAnsi="Adobe Garamond Pro"/>
          <w:i/>
          <w:noProof/>
          <w:sz w:val="20"/>
          <w:szCs w:val="20"/>
          <w:lang/>
        </w:rPr>
        <w:t>The EU’s post-Conflict Intervention in Bosnia and Herzegovina: (re)Integrating the Balkans and/or (re)Inventing the EU?</w:t>
      </w:r>
      <w:r w:rsidRPr="0098335E">
        <w:rPr>
          <w:rFonts w:ascii="Adobe Garamond Pro" w:hAnsi="Adobe Garamond Pro"/>
          <w:noProof/>
          <w:sz w:val="20"/>
          <w:szCs w:val="20"/>
          <w:lang/>
        </w:rPr>
        <w:t xml:space="preserve"> Southeast European Politics, 2005. </w:t>
      </w:r>
    </w:p>
    <w:p w:rsidR="0098335E" w:rsidRPr="0098335E" w:rsidRDefault="0098335E" w:rsidP="00871B3D">
      <w:pPr>
        <w:numPr>
          <w:ilvl w:val="0"/>
          <w:numId w:val="42"/>
        </w:numPr>
        <w:spacing w:after="0" w:line="240" w:lineRule="auto"/>
        <w:ind w:left="284" w:hanging="284"/>
        <w:jc w:val="both"/>
        <w:rPr>
          <w:rFonts w:ascii="Adobe Garamond Pro" w:hAnsi="Adobe Garamond Pro"/>
          <w:noProof/>
          <w:sz w:val="20"/>
          <w:szCs w:val="20"/>
          <w:lang/>
        </w:rPr>
      </w:pPr>
      <w:r w:rsidRPr="0098335E">
        <w:rPr>
          <w:rFonts w:ascii="Adobe Garamond Pro" w:hAnsi="Adobe Garamond Pro"/>
          <w:noProof/>
          <w:sz w:val="20"/>
          <w:szCs w:val="20"/>
          <w:lang/>
        </w:rPr>
        <w:t xml:space="preserve">Knezović, S. </w:t>
      </w:r>
      <w:r w:rsidRPr="0098335E">
        <w:rPr>
          <w:rFonts w:ascii="Adobe Garamond Pro" w:hAnsi="Adobe Garamond Pro"/>
          <w:i/>
          <w:noProof/>
          <w:sz w:val="20"/>
          <w:szCs w:val="20"/>
          <w:lang/>
        </w:rPr>
        <w:t>Postkonfliktni okviri regionalne sigurnosti i suradnje u jugoistočnoj Europi – inicijative Europske Unije</w:t>
      </w:r>
      <w:r w:rsidRPr="0098335E">
        <w:rPr>
          <w:rFonts w:ascii="Adobe Garamond Pro" w:hAnsi="Adobe Garamond Pro"/>
          <w:noProof/>
          <w:sz w:val="20"/>
          <w:szCs w:val="20"/>
          <w:lang/>
        </w:rPr>
        <w:t xml:space="preserve">, Zagreb: Politička misao, Vol. 43, Br.2, 2006. </w:t>
      </w:r>
    </w:p>
    <w:p w:rsidR="0098335E" w:rsidRPr="0098335E" w:rsidRDefault="0098335E" w:rsidP="00871B3D">
      <w:pPr>
        <w:numPr>
          <w:ilvl w:val="0"/>
          <w:numId w:val="42"/>
        </w:numPr>
        <w:spacing w:after="0" w:line="240" w:lineRule="auto"/>
        <w:ind w:left="284" w:hanging="284"/>
        <w:jc w:val="both"/>
        <w:rPr>
          <w:rFonts w:ascii="Adobe Garamond Pro" w:hAnsi="Adobe Garamond Pro"/>
          <w:noProof/>
          <w:sz w:val="20"/>
          <w:szCs w:val="20"/>
          <w:lang/>
        </w:rPr>
      </w:pPr>
      <w:r w:rsidRPr="0098335E">
        <w:rPr>
          <w:rFonts w:ascii="Adobe Garamond Pro" w:hAnsi="Adobe Garamond Pro"/>
          <w:noProof/>
          <w:sz w:val="20"/>
          <w:szCs w:val="20"/>
          <w:lang/>
        </w:rPr>
        <w:t xml:space="preserve">Koneska, C. </w:t>
      </w:r>
      <w:r w:rsidRPr="0098335E">
        <w:rPr>
          <w:rFonts w:ascii="Adobe Garamond Pro" w:hAnsi="Adobe Garamond Pro"/>
          <w:i/>
          <w:noProof/>
          <w:sz w:val="20"/>
          <w:szCs w:val="20"/>
          <w:lang/>
        </w:rPr>
        <w:t>Regional Identity: The Missing Element in Western Balkans Security Cooperation</w:t>
      </w:r>
      <w:r w:rsidRPr="0098335E">
        <w:rPr>
          <w:rFonts w:ascii="Adobe Garamond Pro" w:hAnsi="Adobe Garamond Pro"/>
          <w:noProof/>
          <w:sz w:val="20"/>
          <w:szCs w:val="20"/>
          <w:lang/>
        </w:rPr>
        <w:t xml:space="preserve">, Western Balkans Security Observer. No.7-8, october 2007 – march 2008. </w:t>
      </w:r>
    </w:p>
    <w:p w:rsidR="0098335E" w:rsidRPr="0098335E" w:rsidRDefault="0098335E" w:rsidP="00871B3D">
      <w:pPr>
        <w:numPr>
          <w:ilvl w:val="0"/>
          <w:numId w:val="42"/>
        </w:numPr>
        <w:spacing w:after="0" w:line="240" w:lineRule="auto"/>
        <w:ind w:left="284" w:hanging="284"/>
        <w:jc w:val="both"/>
        <w:rPr>
          <w:rFonts w:ascii="Adobe Garamond Pro" w:hAnsi="Adobe Garamond Pro"/>
          <w:noProof/>
          <w:sz w:val="20"/>
          <w:szCs w:val="20"/>
          <w:lang/>
        </w:rPr>
      </w:pPr>
      <w:r w:rsidRPr="0098335E">
        <w:rPr>
          <w:rFonts w:ascii="Adobe Garamond Pro" w:hAnsi="Adobe Garamond Pro"/>
          <w:noProof/>
          <w:sz w:val="20"/>
          <w:szCs w:val="20"/>
          <w:lang/>
        </w:rPr>
        <w:lastRenderedPageBreak/>
        <w:t xml:space="preserve">Miščević, T. </w:t>
      </w:r>
      <w:r w:rsidRPr="0098335E">
        <w:rPr>
          <w:rFonts w:ascii="Adobe Garamond Pro" w:hAnsi="Adobe Garamond Pro"/>
          <w:i/>
          <w:noProof/>
          <w:sz w:val="20"/>
          <w:szCs w:val="20"/>
          <w:lang/>
        </w:rPr>
        <w:t>Pridruživanje Evropskoj uniji</w:t>
      </w:r>
      <w:r w:rsidRPr="0098335E">
        <w:rPr>
          <w:rFonts w:ascii="Adobe Garamond Pro" w:hAnsi="Adobe Garamond Pro"/>
          <w:noProof/>
          <w:sz w:val="20"/>
          <w:szCs w:val="20"/>
          <w:lang/>
        </w:rPr>
        <w:t xml:space="preserve">, Beograd: Službeni glasnik, 2009. </w:t>
      </w:r>
    </w:p>
    <w:p w:rsidR="0098335E" w:rsidRPr="0098335E" w:rsidRDefault="0098335E" w:rsidP="00871B3D">
      <w:pPr>
        <w:numPr>
          <w:ilvl w:val="0"/>
          <w:numId w:val="42"/>
        </w:numPr>
        <w:spacing w:after="0" w:line="240" w:lineRule="auto"/>
        <w:ind w:left="284" w:hanging="284"/>
        <w:jc w:val="both"/>
        <w:rPr>
          <w:rFonts w:ascii="Adobe Garamond Pro" w:hAnsi="Adobe Garamond Pro"/>
          <w:noProof/>
          <w:sz w:val="20"/>
          <w:szCs w:val="20"/>
          <w:lang/>
        </w:rPr>
      </w:pPr>
      <w:r w:rsidRPr="0098335E">
        <w:rPr>
          <w:rFonts w:ascii="Adobe Garamond Pro" w:hAnsi="Adobe Garamond Pro"/>
          <w:noProof/>
          <w:sz w:val="20"/>
          <w:szCs w:val="20"/>
          <w:lang/>
        </w:rPr>
        <w:t xml:space="preserve">Sitarski, M. Marko Vujačić, Ivana Bartulović Karastojković (urs), </w:t>
      </w:r>
      <w:r w:rsidRPr="0098335E">
        <w:rPr>
          <w:rFonts w:ascii="Adobe Garamond Pro" w:hAnsi="Adobe Garamond Pro"/>
          <w:i/>
          <w:noProof/>
          <w:sz w:val="20"/>
          <w:szCs w:val="20"/>
          <w:lang/>
        </w:rPr>
        <w:t>Iščekujući Evropsku Uniju: Stabilizacija međuetničkih i međureligijskih odnosa na Zapadnom Balkanu</w:t>
      </w:r>
      <w:r w:rsidRPr="0098335E">
        <w:rPr>
          <w:rFonts w:ascii="Adobe Garamond Pro" w:hAnsi="Adobe Garamond Pro"/>
          <w:noProof/>
          <w:sz w:val="20"/>
          <w:szCs w:val="20"/>
          <w:lang/>
        </w:rPr>
        <w:t>, Beogradska otvorena škola, Beograd, 2010.</w:t>
      </w:r>
    </w:p>
    <w:p w:rsidR="0098335E" w:rsidRPr="0098335E" w:rsidRDefault="0098335E" w:rsidP="00871B3D">
      <w:pPr>
        <w:numPr>
          <w:ilvl w:val="0"/>
          <w:numId w:val="42"/>
        </w:numPr>
        <w:spacing w:after="0" w:line="240" w:lineRule="auto"/>
        <w:ind w:left="284" w:hanging="284"/>
        <w:jc w:val="both"/>
        <w:rPr>
          <w:rFonts w:ascii="Adobe Garamond Pro" w:hAnsi="Adobe Garamond Pro"/>
          <w:noProof/>
          <w:sz w:val="20"/>
          <w:szCs w:val="20"/>
          <w:lang/>
        </w:rPr>
      </w:pPr>
      <w:r w:rsidRPr="0098335E">
        <w:rPr>
          <w:rFonts w:ascii="Adobe Garamond Pro" w:hAnsi="Adobe Garamond Pro"/>
          <w:noProof/>
          <w:sz w:val="20"/>
          <w:szCs w:val="20"/>
          <w:lang/>
        </w:rPr>
        <w:t xml:space="preserve">Western Balkans: </w:t>
      </w:r>
      <w:r w:rsidRPr="0098335E">
        <w:rPr>
          <w:rFonts w:ascii="Adobe Garamond Pro" w:hAnsi="Adobe Garamond Pro"/>
          <w:i/>
          <w:noProof/>
          <w:sz w:val="20"/>
          <w:szCs w:val="20"/>
          <w:lang/>
        </w:rPr>
        <w:t>Annual Risk Analysis 2012</w:t>
      </w:r>
      <w:r w:rsidRPr="0098335E">
        <w:rPr>
          <w:rFonts w:ascii="Adobe Garamond Pro" w:hAnsi="Adobe Garamond Pro"/>
          <w:noProof/>
          <w:sz w:val="20"/>
          <w:szCs w:val="20"/>
          <w:lang/>
        </w:rPr>
        <w:t>, (Report), FRONTEX: European Agency for the Management of Operational Co-operation at the External Borders of the Member States of the European Union, Warsaw, Poland, April 2012.</w:t>
      </w:r>
    </w:p>
    <w:p w:rsidR="00E47223" w:rsidRDefault="00E47223" w:rsidP="0098335E">
      <w:pPr>
        <w:spacing w:after="0" w:line="240" w:lineRule="auto"/>
        <w:rPr>
          <w:rFonts w:ascii="Adobe Garamond Pro" w:hAnsi="Adobe Garamond Pro"/>
        </w:rPr>
      </w:pPr>
    </w:p>
    <w:sectPr w:rsidR="00E47223" w:rsidSect="00160878">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7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21E" w:rsidRDefault="0005121E" w:rsidP="000C691C">
      <w:pPr>
        <w:spacing w:after="0" w:line="240" w:lineRule="auto"/>
      </w:pPr>
      <w:r>
        <w:separator/>
      </w:r>
    </w:p>
  </w:endnote>
  <w:endnote w:type="continuationSeparator" w:id="1">
    <w:p w:rsidR="0005121E" w:rsidRDefault="0005121E"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7957CA">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160878">
      <w:rPr>
        <w:rFonts w:ascii="Adobe Garamond Pro" w:hAnsi="Adobe Garamond Pro" w:cs="Times New Roman"/>
        <w:noProof/>
        <w:sz w:val="20"/>
        <w:szCs w:val="20"/>
      </w:rPr>
      <w:t>758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7957CA"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7957CA" w:rsidRPr="00FE57C1">
      <w:rPr>
        <w:rFonts w:ascii="Adobe Garamond Pro" w:hAnsi="Adobe Garamond Pro" w:cs="Times New Roman"/>
        <w:sz w:val="20"/>
        <w:szCs w:val="20"/>
      </w:rPr>
      <w:fldChar w:fldCharType="separate"/>
    </w:r>
    <w:r w:rsidR="00160878">
      <w:rPr>
        <w:rFonts w:ascii="Adobe Garamond Pro" w:hAnsi="Adobe Garamond Pro" w:cs="Times New Roman"/>
        <w:noProof/>
        <w:sz w:val="20"/>
        <w:szCs w:val="20"/>
      </w:rPr>
      <w:t>757</w:t>
    </w:r>
    <w:r w:rsidR="007957CA"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7957CA"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160878">
      <w:rPr>
        <w:rFonts w:ascii="Adobe Garamond Pro" w:hAnsi="Adobe Garamond Pro" w:cs="Times New Roman"/>
        <w:noProof/>
        <w:sz w:val="20"/>
        <w:szCs w:val="20"/>
      </w:rPr>
      <w:t>745</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21E" w:rsidRDefault="0005121E" w:rsidP="000C691C">
      <w:pPr>
        <w:spacing w:after="0" w:line="240" w:lineRule="auto"/>
      </w:pPr>
      <w:r>
        <w:separator/>
      </w:r>
    </w:p>
  </w:footnote>
  <w:footnote w:type="continuationSeparator" w:id="1">
    <w:p w:rsidR="0005121E" w:rsidRDefault="0005121E" w:rsidP="000C691C">
      <w:pPr>
        <w:spacing w:after="0" w:line="240" w:lineRule="auto"/>
      </w:pPr>
      <w:r>
        <w:continuationSeparator/>
      </w:r>
    </w:p>
  </w:footnote>
  <w:footnote w:id="2">
    <w:p w:rsidR="0098335E" w:rsidRPr="0098335E" w:rsidRDefault="0098335E" w:rsidP="0098335E">
      <w:pPr>
        <w:pStyle w:val="FootnoteText"/>
        <w:jc w:val="both"/>
        <w:rPr>
          <w:rFonts w:ascii="Adobe Garamond Pro" w:hAnsi="Adobe Garamond Pro"/>
          <w:lang/>
        </w:rPr>
      </w:pPr>
      <w:r w:rsidRPr="0098335E">
        <w:rPr>
          <w:rStyle w:val="FootnoteReference"/>
          <w:rFonts w:ascii="Adobe Garamond Pro" w:hAnsi="Adobe Garamond Pro"/>
        </w:rPr>
        <w:footnoteRef/>
      </w:r>
      <w:r w:rsidRPr="0098335E">
        <w:rPr>
          <w:rFonts w:ascii="Adobe Garamond Pro" w:hAnsi="Adobe Garamond Pro"/>
        </w:rPr>
        <w:t xml:space="preserve"> Dragan  Đukanović. Zapadni Balkan: od sukoba do evrointegracija, </w:t>
      </w:r>
      <w:smartTag w:uri="urn:schemas-microsoft-com:office:smarttags" w:element="place">
        <w:r w:rsidRPr="0098335E">
          <w:rPr>
            <w:rFonts w:ascii="Adobe Garamond Pro" w:hAnsi="Adobe Garamond Pro"/>
          </w:rPr>
          <w:t>Beograd</w:t>
        </w:r>
      </w:smartTag>
      <w:r w:rsidRPr="0098335E">
        <w:rPr>
          <w:rFonts w:ascii="Adobe Garamond Pro" w:hAnsi="Adobe Garamond Pro"/>
        </w:rPr>
        <w:t>: Godišnjak Fakulteta političkih nauka, br. 3, 2009. str.496.</w:t>
      </w:r>
    </w:p>
  </w:footnote>
  <w:footnote w:id="3">
    <w:p w:rsidR="0098335E" w:rsidRPr="0098335E" w:rsidRDefault="0098335E" w:rsidP="0098335E">
      <w:pPr>
        <w:pStyle w:val="FootnoteText"/>
        <w:jc w:val="both"/>
        <w:rPr>
          <w:rFonts w:ascii="Adobe Garamond Pro" w:hAnsi="Adobe Garamond Pro"/>
          <w:lang/>
        </w:rPr>
      </w:pPr>
      <w:r w:rsidRPr="0098335E">
        <w:rPr>
          <w:rStyle w:val="FootnoteReference"/>
          <w:rFonts w:ascii="Adobe Garamond Pro" w:hAnsi="Adobe Garamond Pro"/>
        </w:rPr>
        <w:footnoteRef/>
      </w:r>
      <w:r w:rsidRPr="0098335E">
        <w:rPr>
          <w:rFonts w:ascii="Adobe Garamond Pro" w:hAnsi="Adobe Garamond Pro"/>
        </w:rPr>
        <w:t xml:space="preserve"> Dimitar Bechev, Carrots, sticks and norms: the EU and regional cooperation in Southeast Europe, Journal of Southern Europe and the Balkans, Volume 8, Number 1, 2006.</w:t>
      </w:r>
    </w:p>
  </w:footnote>
  <w:footnote w:id="4">
    <w:p w:rsidR="0098335E" w:rsidRPr="0098335E" w:rsidRDefault="0098335E" w:rsidP="0098335E">
      <w:pPr>
        <w:pStyle w:val="FootnoteText"/>
        <w:jc w:val="both"/>
        <w:rPr>
          <w:rFonts w:ascii="Adobe Garamond Pro" w:hAnsi="Adobe Garamond Pro"/>
          <w:lang/>
        </w:rPr>
      </w:pPr>
      <w:r w:rsidRPr="0098335E">
        <w:rPr>
          <w:rStyle w:val="FootnoteReference"/>
          <w:rFonts w:ascii="Adobe Garamond Pro" w:hAnsi="Adobe Garamond Pro"/>
        </w:rPr>
        <w:footnoteRef/>
      </w:r>
      <w:r w:rsidRPr="0098335E">
        <w:rPr>
          <w:rFonts w:ascii="Adobe Garamond Pro" w:hAnsi="Adobe Garamond Pro"/>
          <w:lang/>
        </w:rPr>
        <w:t xml:space="preserve"> Tanja Miščević: Pridruživanje Evropskoj uniji, Beograd: Službeni glasnik, 2009. str.150-166.</w:t>
      </w:r>
    </w:p>
  </w:footnote>
  <w:footnote w:id="5">
    <w:p w:rsidR="0098335E" w:rsidRPr="0098335E" w:rsidRDefault="0098335E" w:rsidP="0098335E">
      <w:pPr>
        <w:pStyle w:val="FootnoteText"/>
        <w:rPr>
          <w:rFonts w:ascii="Adobe Garamond Pro" w:hAnsi="Adobe Garamond Pro"/>
          <w:lang/>
        </w:rPr>
      </w:pPr>
    </w:p>
    <w:p w:rsidR="0098335E" w:rsidRPr="0098335E" w:rsidRDefault="0098335E" w:rsidP="0098335E">
      <w:pPr>
        <w:pStyle w:val="FootnoteText"/>
        <w:jc w:val="both"/>
        <w:rPr>
          <w:rFonts w:ascii="Adobe Garamond Pro" w:hAnsi="Adobe Garamond Pro"/>
          <w:lang/>
        </w:rPr>
      </w:pPr>
      <w:r w:rsidRPr="0098335E">
        <w:rPr>
          <w:rStyle w:val="FootnoteReference"/>
          <w:rFonts w:ascii="Adobe Garamond Pro" w:hAnsi="Adobe Garamond Pro"/>
        </w:rPr>
        <w:footnoteRef/>
      </w:r>
      <w:r w:rsidRPr="0098335E">
        <w:rPr>
          <w:rFonts w:ascii="Adobe Garamond Pro" w:hAnsi="Adobe Garamond Pro"/>
          <w:lang w:val="sr-Latn-BA"/>
        </w:rPr>
        <w:t xml:space="preserve"> </w:t>
      </w:r>
      <w:r w:rsidRPr="0098335E">
        <w:rPr>
          <w:rFonts w:ascii="Adobe Garamond Pro" w:hAnsi="Adobe Garamond Pro"/>
          <w:lang/>
        </w:rPr>
        <w:t xml:space="preserve">Slučaj Sejdić-Finci se odnosi na sudski predmet vođen na Evropskom sudu za ljudska prava u Strazburu, po tužbi pripadnika nacionalnih manjina (romske i jevrejske) Derve Sejdića i Jakoba Fincija zbog onemogućavanja izbora u organe vlasti (Predsjedništvo Bosne i Hercegovine i Dom naroda Bosne i Hercegovine). Bosna i Hercegovina 2002. godine postala članica Savjeta Evrope i tada je preuzela obavezu usklađivanja izbornog zakonodavstva koje je diskriminisalo pripadnike nacionalnih manjina. Bosna i Hercegovina se obavezala na ove izmjene i potpisivanjem Sporazuma o stabilizaciji i pridruživanju 2008. godine kada je za izmjene dobila rok od dvije godine. Izmjene do danas nisu stupile na snagu. </w:t>
      </w:r>
    </w:p>
  </w:footnote>
  <w:footnote w:id="6">
    <w:p w:rsidR="0098335E" w:rsidRPr="0098335E" w:rsidRDefault="0098335E" w:rsidP="0098335E">
      <w:pPr>
        <w:pStyle w:val="FootnoteText"/>
        <w:rPr>
          <w:rFonts w:ascii="Adobe Garamond Pro" w:hAnsi="Adobe Garamond Pro"/>
          <w:lang/>
        </w:rPr>
      </w:pPr>
      <w:r w:rsidRPr="0098335E">
        <w:rPr>
          <w:rStyle w:val="FootnoteReference"/>
          <w:rFonts w:ascii="Adobe Garamond Pro" w:hAnsi="Adobe Garamond Pro"/>
        </w:rPr>
        <w:footnoteRef/>
      </w:r>
      <w:r w:rsidRPr="0098335E">
        <w:rPr>
          <w:rFonts w:ascii="Adobe Garamond Pro" w:hAnsi="Adobe Garamond Pro"/>
          <w:lang/>
        </w:rPr>
        <w:t xml:space="preserve"> Pogledati: Izvještaj o napretku Bosne i Hercegovine u 2013. godini koji izdaje Evropska komisija. </w:t>
      </w:r>
    </w:p>
  </w:footnote>
  <w:footnote w:id="7">
    <w:p w:rsidR="0098335E" w:rsidRPr="0098335E" w:rsidRDefault="0098335E" w:rsidP="0098335E">
      <w:pPr>
        <w:pStyle w:val="FootnoteText"/>
        <w:jc w:val="both"/>
        <w:rPr>
          <w:rFonts w:ascii="Adobe Garamond Pro" w:hAnsi="Adobe Garamond Pro"/>
          <w:i/>
          <w:lang/>
        </w:rPr>
      </w:pPr>
      <w:r w:rsidRPr="0098335E">
        <w:rPr>
          <w:rStyle w:val="FootnoteReference"/>
          <w:rFonts w:ascii="Adobe Garamond Pro" w:hAnsi="Adobe Garamond Pro"/>
          <w:i/>
        </w:rPr>
        <w:footnoteRef/>
      </w:r>
      <w:r w:rsidRPr="0098335E">
        <w:rPr>
          <w:rFonts w:ascii="Adobe Garamond Pro" w:hAnsi="Adobe Garamond Pro"/>
          <w:i/>
          <w:lang/>
        </w:rPr>
        <w:t xml:space="preserve"> </w:t>
      </w:r>
      <w:r w:rsidRPr="0098335E">
        <w:rPr>
          <w:rFonts w:cs="Adobe Arabic"/>
          <w:i/>
          <w:color w:val="595959" w:themeColor="text1" w:themeTint="A6"/>
          <w:lang w:val="ru-MO"/>
        </w:rPr>
        <w:t>Тренутно</w:t>
      </w:r>
      <w:r w:rsidRPr="0098335E">
        <w:rPr>
          <w:rFonts w:ascii="Adobe Arabic" w:hAnsi="Adobe Arabic" w:cs="Adobe Arabic"/>
          <w:i/>
          <w:color w:val="595959" w:themeColor="text1" w:themeTint="A6"/>
          <w:lang/>
        </w:rPr>
        <w:t xml:space="preserve"> </w:t>
      </w:r>
      <w:r w:rsidRPr="0098335E">
        <w:rPr>
          <w:rFonts w:cs="Adobe Arabic"/>
          <w:i/>
          <w:color w:val="595959" w:themeColor="text1" w:themeTint="A6"/>
          <w:lang w:val="ru-MO"/>
        </w:rPr>
        <w:t>дужност</w:t>
      </w:r>
      <w:r w:rsidRPr="0098335E">
        <w:rPr>
          <w:rFonts w:ascii="Adobe Arabic" w:hAnsi="Adobe Arabic" w:cs="Adobe Arabic"/>
          <w:i/>
          <w:color w:val="595959" w:themeColor="text1" w:themeTint="A6"/>
          <w:lang/>
        </w:rPr>
        <w:t xml:space="preserve"> </w:t>
      </w:r>
      <w:r w:rsidRPr="0098335E">
        <w:rPr>
          <w:rFonts w:cs="Adobe Arabic"/>
          <w:i/>
          <w:color w:val="595959" w:themeColor="text1" w:themeTint="A6"/>
          <w:lang w:val="ru-MO"/>
        </w:rPr>
        <w:t>високог</w:t>
      </w:r>
      <w:r w:rsidRPr="0098335E">
        <w:rPr>
          <w:rFonts w:ascii="Adobe Arabic" w:hAnsi="Adobe Arabic" w:cs="Adobe Arabic"/>
          <w:i/>
          <w:color w:val="595959" w:themeColor="text1" w:themeTint="A6"/>
          <w:lang/>
        </w:rPr>
        <w:t xml:space="preserve"> </w:t>
      </w:r>
      <w:r w:rsidRPr="0098335E">
        <w:rPr>
          <w:rFonts w:cs="Adobe Arabic"/>
          <w:i/>
          <w:color w:val="595959" w:themeColor="text1" w:themeTint="A6"/>
          <w:lang w:val="ru-MO"/>
        </w:rPr>
        <w:t>представника</w:t>
      </w:r>
      <w:r w:rsidRPr="0098335E">
        <w:rPr>
          <w:rFonts w:ascii="Adobe Arabic" w:hAnsi="Adobe Arabic" w:cs="Adobe Arabic"/>
          <w:i/>
          <w:color w:val="595959" w:themeColor="text1" w:themeTint="A6"/>
          <w:lang/>
        </w:rPr>
        <w:t xml:space="preserve"> </w:t>
      </w:r>
      <w:r w:rsidRPr="0098335E">
        <w:rPr>
          <w:rFonts w:cs="Adobe Arabic"/>
          <w:i/>
          <w:color w:val="595959" w:themeColor="text1" w:themeTint="A6"/>
          <w:lang w:val="ru-MO"/>
        </w:rPr>
        <w:t>обавља</w:t>
      </w:r>
      <w:r w:rsidRPr="0098335E">
        <w:rPr>
          <w:rFonts w:ascii="Adobe Arabic" w:hAnsi="Adobe Arabic" w:cs="Adobe Arabic"/>
          <w:i/>
          <w:color w:val="595959" w:themeColor="text1" w:themeTint="A6"/>
          <w:lang/>
        </w:rPr>
        <w:t xml:space="preserve"> </w:t>
      </w:r>
      <w:r w:rsidRPr="0098335E">
        <w:rPr>
          <w:rFonts w:cs="Adobe Arabic"/>
          <w:i/>
          <w:color w:val="595959" w:themeColor="text1" w:themeTint="A6"/>
          <w:lang w:val="ru-MO"/>
        </w:rPr>
        <w:t>Питер</w:t>
      </w:r>
      <w:r w:rsidRPr="0098335E">
        <w:rPr>
          <w:rFonts w:ascii="Adobe Arabic" w:hAnsi="Adobe Arabic" w:cs="Adobe Arabic"/>
          <w:i/>
          <w:color w:val="595959" w:themeColor="text1" w:themeTint="A6"/>
          <w:lang/>
        </w:rPr>
        <w:t xml:space="preserve"> </w:t>
      </w:r>
      <w:r w:rsidRPr="0098335E">
        <w:rPr>
          <w:rFonts w:cs="Adobe Arabic"/>
          <w:i/>
          <w:color w:val="595959" w:themeColor="text1" w:themeTint="A6"/>
          <w:lang w:val="ru-MO"/>
        </w:rPr>
        <w:t>Соренсен</w:t>
      </w:r>
      <w:r w:rsidRPr="0098335E">
        <w:rPr>
          <w:rFonts w:ascii="Adobe Arabic" w:hAnsi="Adobe Arabic" w:cs="Adobe Arabic"/>
          <w:i/>
          <w:color w:val="595959" w:themeColor="text1" w:themeTint="A6"/>
          <w:lang/>
        </w:rPr>
        <w:t xml:space="preserve"> </w:t>
      </w:r>
      <w:r w:rsidRPr="0098335E">
        <w:rPr>
          <w:rFonts w:cs="Adobe Arabic"/>
          <w:i/>
          <w:color w:val="595959" w:themeColor="text1" w:themeTint="A6"/>
          <w:lang w:val="ru-MO"/>
        </w:rPr>
        <w:t>за</w:t>
      </w:r>
      <w:r w:rsidRPr="0098335E">
        <w:rPr>
          <w:rFonts w:ascii="Adobe Arabic" w:hAnsi="Adobe Arabic" w:cs="Adobe Arabic"/>
          <w:i/>
          <w:color w:val="595959" w:themeColor="text1" w:themeTint="A6"/>
          <w:lang/>
        </w:rPr>
        <w:t xml:space="preserve"> </w:t>
      </w:r>
      <w:r w:rsidRPr="0098335E">
        <w:rPr>
          <w:rFonts w:cs="Adobe Arabic"/>
          <w:i/>
          <w:color w:val="595959" w:themeColor="text1" w:themeTint="A6"/>
          <w:lang w:val="ru-MO"/>
        </w:rPr>
        <w:t>период</w:t>
      </w:r>
      <w:r w:rsidRPr="0098335E">
        <w:rPr>
          <w:rFonts w:ascii="Adobe Arabic" w:hAnsi="Adobe Arabic" w:cs="Adobe Arabic"/>
          <w:i/>
          <w:color w:val="595959" w:themeColor="text1" w:themeTint="A6"/>
          <w:lang/>
        </w:rPr>
        <w:t xml:space="preserve"> </w:t>
      </w:r>
      <w:r w:rsidRPr="0098335E">
        <w:rPr>
          <w:rFonts w:cs="Adobe Arabic"/>
          <w:i/>
          <w:color w:val="595959" w:themeColor="text1" w:themeTint="A6"/>
          <w:lang w:val="ru-MO"/>
        </w:rPr>
        <w:t>од</w:t>
      </w:r>
      <w:r w:rsidRPr="0098335E">
        <w:rPr>
          <w:rFonts w:ascii="Adobe Arabic" w:hAnsi="Adobe Arabic" w:cs="Adobe Arabic"/>
          <w:i/>
          <w:color w:val="595959" w:themeColor="text1" w:themeTint="A6"/>
          <w:lang/>
        </w:rPr>
        <w:t xml:space="preserve"> 1. </w:t>
      </w:r>
      <w:r w:rsidRPr="0098335E">
        <w:rPr>
          <w:rFonts w:cs="Adobe Arabic"/>
          <w:i/>
          <w:color w:val="595959" w:themeColor="text1" w:themeTint="A6"/>
          <w:lang w:val="ru-MO"/>
        </w:rPr>
        <w:t>септембра</w:t>
      </w:r>
      <w:r w:rsidRPr="0098335E">
        <w:rPr>
          <w:rFonts w:ascii="Adobe Arabic" w:hAnsi="Adobe Arabic" w:cs="Adobe Arabic"/>
          <w:i/>
          <w:color w:val="595959" w:themeColor="text1" w:themeTint="A6"/>
          <w:lang/>
        </w:rPr>
        <w:t xml:space="preserve"> 2011. </w:t>
      </w:r>
      <w:r w:rsidRPr="0098335E">
        <w:rPr>
          <w:rFonts w:cs="Adobe Arabic"/>
          <w:i/>
          <w:color w:val="595959" w:themeColor="text1" w:themeTint="A6"/>
          <w:lang w:val="ru-MO"/>
        </w:rPr>
        <w:t>године</w:t>
      </w:r>
      <w:r w:rsidRPr="0098335E">
        <w:rPr>
          <w:rFonts w:ascii="Adobe Arabic" w:hAnsi="Adobe Arabic" w:cs="Adobe Arabic"/>
          <w:i/>
          <w:color w:val="595959" w:themeColor="text1" w:themeTint="A6"/>
          <w:lang/>
        </w:rPr>
        <w:t xml:space="preserve"> </w:t>
      </w:r>
      <w:r w:rsidRPr="0098335E">
        <w:rPr>
          <w:rFonts w:cs="Adobe Arabic"/>
          <w:i/>
          <w:color w:val="595959" w:themeColor="text1" w:themeTint="A6"/>
          <w:lang w:val="ru-MO"/>
        </w:rPr>
        <w:t>до</w:t>
      </w:r>
      <w:r w:rsidRPr="0098335E">
        <w:rPr>
          <w:rFonts w:ascii="Adobe Arabic" w:hAnsi="Adobe Arabic" w:cs="Adobe Arabic"/>
          <w:i/>
          <w:color w:val="595959" w:themeColor="text1" w:themeTint="A6"/>
          <w:lang/>
        </w:rPr>
        <w:t xml:space="preserve"> 30. </w:t>
      </w:r>
      <w:r w:rsidRPr="0098335E">
        <w:rPr>
          <w:rFonts w:cs="Adobe Arabic"/>
          <w:i/>
          <w:color w:val="595959" w:themeColor="text1" w:themeTint="A6"/>
          <w:lang w:val="ru-MO"/>
        </w:rPr>
        <w:t>јуна</w:t>
      </w:r>
      <w:r w:rsidRPr="0098335E">
        <w:rPr>
          <w:rFonts w:ascii="Adobe Arabic" w:hAnsi="Adobe Arabic" w:cs="Adobe Arabic"/>
          <w:i/>
          <w:color w:val="595959" w:themeColor="text1" w:themeTint="A6"/>
          <w:lang/>
        </w:rPr>
        <w:t xml:space="preserve"> 2015. </w:t>
      </w:r>
      <w:r w:rsidRPr="0098335E">
        <w:rPr>
          <w:rFonts w:cs="Adobe Arabic"/>
          <w:i/>
          <w:color w:val="595959" w:themeColor="text1" w:themeTint="A6"/>
          <w:lang w:val="ru-MO"/>
        </w:rPr>
        <w:t>године</w:t>
      </w:r>
      <w:r w:rsidRPr="0098335E">
        <w:rPr>
          <w:rFonts w:ascii="Adobe Arabic" w:hAnsi="Adobe Arabic" w:cs="Adobe Arabic"/>
          <w:i/>
          <w:color w:val="595959" w:themeColor="text1" w:themeTint="A6"/>
          <w:lang/>
        </w:rPr>
        <w:t>.</w:t>
      </w:r>
    </w:p>
  </w:footnote>
  <w:footnote w:id="8">
    <w:p w:rsidR="0098335E" w:rsidRPr="0098335E" w:rsidRDefault="0098335E" w:rsidP="0098335E">
      <w:pPr>
        <w:pStyle w:val="FootnoteText"/>
        <w:jc w:val="both"/>
        <w:rPr>
          <w:rFonts w:ascii="Adobe Garamond Pro" w:hAnsi="Adobe Garamond Pro"/>
          <w:lang/>
        </w:rPr>
      </w:pPr>
      <w:r w:rsidRPr="0098335E">
        <w:rPr>
          <w:rStyle w:val="FootnoteReference"/>
          <w:rFonts w:ascii="Adobe Garamond Pro" w:hAnsi="Adobe Garamond Pro"/>
        </w:rPr>
        <w:footnoteRef/>
      </w:r>
      <w:r w:rsidRPr="0098335E">
        <w:rPr>
          <w:rFonts w:ascii="Adobe Garamond Pro" w:hAnsi="Adobe Garamond Pro"/>
          <w:lang/>
        </w:rPr>
        <w:t xml:space="preserve"> Podijeljene škole ili “Dvije škole pod istim krovom“ predstavljaju vid segregacije u nekim školama u Bosni i Hercegovini. Djeca Bošnjaci i djeca Hrvati imaju nastavu u istoj školskoj zgradi ali sa posebnim ulazom u školu i fizički odvojeni jedni od drugih. Bošnjačka djeca uče prema federalnom nastavnom planu i programu a djeca hrvatske nacionalnosti prema planu i programu republike Hrvatske. Ovakve škole postoje u Čapljini, Mostaru, Gornjem Vakufu, Stocu i dr. gradovima.</w:t>
      </w:r>
    </w:p>
  </w:footnote>
  <w:footnote w:id="9">
    <w:p w:rsidR="0098335E" w:rsidRPr="0098335E" w:rsidRDefault="0098335E" w:rsidP="0098335E">
      <w:pPr>
        <w:pStyle w:val="FootnoteText"/>
        <w:jc w:val="both"/>
        <w:rPr>
          <w:rFonts w:ascii="Adobe Garamond Pro" w:hAnsi="Adobe Garamond Pro"/>
          <w:lang/>
        </w:rPr>
      </w:pPr>
      <w:r w:rsidRPr="0098335E">
        <w:rPr>
          <w:rStyle w:val="FootnoteReference"/>
          <w:rFonts w:ascii="Adobe Garamond Pro" w:hAnsi="Adobe Garamond Pro"/>
        </w:rPr>
        <w:footnoteRef/>
      </w:r>
      <w:r w:rsidRPr="0098335E">
        <w:rPr>
          <w:rFonts w:ascii="Adobe Garamond Pro" w:hAnsi="Adobe Garamond Pro"/>
          <w:lang/>
        </w:rPr>
        <w:t xml:space="preserve"> Za podatke iz tabele kao izvor su poslužili podaci Direkcije za evropske integracije BiH.</w:t>
      </w:r>
    </w:p>
  </w:footnote>
  <w:footnote w:id="10">
    <w:p w:rsidR="0098335E" w:rsidRPr="0098335E" w:rsidRDefault="0098335E" w:rsidP="0098335E">
      <w:pPr>
        <w:pStyle w:val="FootnoteText"/>
        <w:jc w:val="both"/>
        <w:rPr>
          <w:rFonts w:ascii="Adobe Garamond Pro" w:hAnsi="Adobe Garamond Pro"/>
          <w:lang/>
        </w:rPr>
      </w:pPr>
      <w:r w:rsidRPr="0098335E">
        <w:rPr>
          <w:rStyle w:val="FootnoteReference"/>
          <w:rFonts w:ascii="Adobe Garamond Pro" w:hAnsi="Adobe Garamond Pro"/>
        </w:rPr>
        <w:footnoteRef/>
      </w:r>
      <w:r w:rsidRPr="0098335E">
        <w:rPr>
          <w:rFonts w:ascii="Adobe Garamond Pro" w:hAnsi="Adobe Garamond Pro"/>
        </w:rPr>
        <w:t xml:space="preserve"> </w:t>
      </w:r>
      <w:r w:rsidRPr="0098335E">
        <w:rPr>
          <w:rFonts w:ascii="Adobe Garamond Pro" w:hAnsi="Adobe Garamond Pro"/>
          <w:lang/>
        </w:rPr>
        <w:t xml:space="preserve">Pogledati: Ana Juncos, </w:t>
      </w:r>
      <w:r w:rsidRPr="0098335E">
        <w:rPr>
          <w:rFonts w:ascii="Adobe Garamond Pro" w:hAnsi="Adobe Garamond Pro"/>
          <w:i/>
          <w:lang/>
        </w:rPr>
        <w:t>The EU’s post-Conflict Intervention in Bosnia and Herze</w:t>
      </w:r>
      <w:r w:rsidRPr="0098335E">
        <w:rPr>
          <w:rFonts w:ascii="Adobe Garamond Pro" w:hAnsi="Adobe Garamond Pro"/>
          <w:lang/>
        </w:rPr>
        <w:t>govina: (re)Integrating the Balkans and/or (re)Inventing the EU? Southeast European Politics, 2005. pp. 88-108.</w:t>
      </w:r>
    </w:p>
  </w:footnote>
  <w:footnote w:id="11">
    <w:p w:rsidR="0098335E" w:rsidRPr="0098335E" w:rsidRDefault="0098335E" w:rsidP="0098335E">
      <w:pPr>
        <w:pStyle w:val="FootnoteText"/>
        <w:jc w:val="both"/>
        <w:rPr>
          <w:rFonts w:ascii="Adobe Garamond Pro" w:hAnsi="Adobe Garamond Pro"/>
          <w:lang/>
        </w:rPr>
      </w:pPr>
      <w:r w:rsidRPr="0098335E">
        <w:rPr>
          <w:rStyle w:val="FootnoteReference"/>
          <w:rFonts w:ascii="Adobe Garamond Pro" w:hAnsi="Adobe Garamond Pro"/>
        </w:rPr>
        <w:footnoteRef/>
      </w:r>
      <w:r w:rsidRPr="0098335E">
        <w:rPr>
          <w:rFonts w:ascii="Adobe Garamond Pro" w:hAnsi="Adobe Garamond Pro"/>
          <w:lang/>
        </w:rPr>
        <w:t xml:space="preserve"> Više kod: Sandro Knezović. Postkonfliktni okviri regionalne sigurnosti i suradnje u jugoistočnoj Europi – inicijative Europske Unije, Zagreb: Politička misao, Vol. 43, Br.2, 2006. str.81.</w:t>
      </w:r>
    </w:p>
  </w:footnote>
  <w:footnote w:id="12">
    <w:p w:rsidR="0098335E" w:rsidRPr="0098335E" w:rsidRDefault="0098335E" w:rsidP="0098335E">
      <w:pPr>
        <w:pStyle w:val="FootnoteText"/>
        <w:jc w:val="both"/>
        <w:rPr>
          <w:rFonts w:ascii="Adobe Garamond Pro" w:hAnsi="Adobe Garamond Pro"/>
          <w:lang/>
        </w:rPr>
      </w:pPr>
      <w:r w:rsidRPr="0098335E">
        <w:rPr>
          <w:rStyle w:val="FootnoteReference"/>
          <w:rFonts w:ascii="Adobe Garamond Pro" w:hAnsi="Adobe Garamond Pro"/>
        </w:rPr>
        <w:footnoteRef/>
      </w:r>
      <w:r w:rsidRPr="0098335E">
        <w:rPr>
          <w:rFonts w:ascii="Adobe Garamond Pro" w:hAnsi="Adobe Garamond Pro"/>
          <w:lang/>
        </w:rPr>
        <w:t xml:space="preserve"> Pogledati: Milan Sitarski, Marko Vujačić, Ivana Bartulović Karastojković (urs), „Iščekujući Evropsku Uniju: Stabilizacija međuetničkih i međureligijskih odnosa na Zapadnom Balkanu“, Beogradska otvorena škola, Beograd, 2010.</w:t>
      </w:r>
    </w:p>
  </w:footnote>
  <w:footnote w:id="13">
    <w:p w:rsidR="0098335E" w:rsidRPr="0098335E" w:rsidRDefault="0098335E" w:rsidP="0098335E">
      <w:pPr>
        <w:pStyle w:val="FootnoteText"/>
        <w:jc w:val="both"/>
        <w:rPr>
          <w:rFonts w:ascii="Adobe Garamond Pro" w:hAnsi="Adobe Garamond Pro"/>
          <w:lang/>
        </w:rPr>
      </w:pPr>
      <w:r w:rsidRPr="0098335E">
        <w:rPr>
          <w:rStyle w:val="FootnoteReference"/>
          <w:rFonts w:ascii="Adobe Garamond Pro" w:hAnsi="Adobe Garamond Pro"/>
        </w:rPr>
        <w:footnoteRef/>
      </w:r>
      <w:r w:rsidRPr="0098335E">
        <w:rPr>
          <w:rFonts w:ascii="Adobe Garamond Pro" w:hAnsi="Adobe Garamond Pro"/>
        </w:rPr>
        <w:t xml:space="preserve"> Više o tome u:Western Balkans: Annual Risk Analysis 2012, (Report), FRONTEX: European Agency for the Management of Operational Co-operation at the External Borders of the Member States of the European Union, Warsaw, Poland, April 2012.</w:t>
      </w:r>
    </w:p>
  </w:footnote>
  <w:footnote w:id="14">
    <w:p w:rsidR="0098335E" w:rsidRPr="0098335E" w:rsidRDefault="0098335E" w:rsidP="0098335E">
      <w:pPr>
        <w:pStyle w:val="FootnoteText"/>
        <w:jc w:val="both"/>
        <w:rPr>
          <w:rFonts w:ascii="Adobe Garamond Pro" w:hAnsi="Adobe Garamond Pro"/>
        </w:rPr>
      </w:pPr>
      <w:r w:rsidRPr="0098335E">
        <w:rPr>
          <w:rStyle w:val="FootnoteReference"/>
          <w:rFonts w:ascii="Adobe Garamond Pro" w:hAnsi="Adobe Garamond Pro"/>
        </w:rPr>
        <w:footnoteRef/>
      </w:r>
      <w:r w:rsidRPr="0098335E">
        <w:rPr>
          <w:rFonts w:ascii="Adobe Garamond Pro" w:hAnsi="Adobe Garamond Pro"/>
        </w:rPr>
        <w:t xml:space="preserve"> Dejtonskim mirovnim sporazumom 1995. godine je uspostavljena složena politička struktura sa vladama na nivou države, entiteta i Brčko Distrikta. Administrativno se Bosna i Hercegovina sastoji od dva entiteta i jednog distrikta. Entiteti BiH su: Federacija Bosne i Hercegovine i Republika Srpska.      </w:t>
      </w:r>
    </w:p>
    <w:p w:rsidR="0098335E" w:rsidRPr="0098335E" w:rsidRDefault="0098335E" w:rsidP="0098335E">
      <w:pPr>
        <w:pStyle w:val="FootnoteText"/>
        <w:jc w:val="both"/>
        <w:rPr>
          <w:rFonts w:ascii="Adobe Garamond Pro" w:hAnsi="Adobe Garamond Pro"/>
          <w:lang/>
        </w:rPr>
      </w:pPr>
      <w:r w:rsidRPr="0098335E">
        <w:rPr>
          <w:rFonts w:ascii="Adobe Garamond Pro" w:hAnsi="Adobe Garamond Pro"/>
        </w:rPr>
        <w:t xml:space="preserve"> Federacija Bosne i Hercegovine zauzima 51 % teritorije i podijeljena je na 10 kantona.  Republika Srpska je jedan od dva entiteta od kojih se sastoji Bosna i Hercegovina. Osnovana je 9. januara 1992. godine. Po Dejtonskom sporazumu zauzima 49% teritorije Bosne i Hercegovine. Glavni grad Republike Srpske  po Ustavu je Istočno Sarajevo, a glavno  administrativno sjedište je </w:t>
      </w:r>
      <w:smartTag w:uri="urn:schemas-microsoft-com:office:smarttags" w:element="City">
        <w:smartTag w:uri="urn:schemas-microsoft-com:office:smarttags" w:element="place">
          <w:r w:rsidRPr="0098335E">
            <w:rPr>
              <w:rFonts w:ascii="Adobe Garamond Pro" w:hAnsi="Adobe Garamond Pro"/>
            </w:rPr>
            <w:t>Banja Luka</w:t>
          </w:r>
        </w:smartTag>
      </w:smartTag>
      <w:r w:rsidRPr="0098335E">
        <w:rPr>
          <w:rFonts w:ascii="Adobe Garamond Pro" w:hAnsi="Adobe Garamond Pro"/>
        </w:rPr>
        <w:t>. Državni nivo obuhvata tročlano rotirajuće Predsjedništvo, Vijeće ministara (izvršna vlast) i dvodomnu Parlamentarnu skupštinu koja se sastoji od Predstavničkog doma (donji dom) i Doma naroda (gornji dom). Sudska vlast, uspostavljena Dejtonskim sporazumom, sastoji se od Ustavnog suda na državnom nivou, te Suda Bosne i Hercegovine i Visokog sudskog i tužilačkog savjeta koji su uspostavljeni naknadno. Kantoni Federacije BiH su: Unsko-sanski, Posavski, Tuzlanski, Zeničko-dobojski, Bosansko-podrinjski, Srednjobosanski, Hercegovačko-neretvanski, Zapadnohercegovački, Sarajevski i Zapadnobosanski. Republika Srpska ima 5 regija i to: Regija Banja Luka, Regija Doboj, Regija Bijeljina, Sarajevsko romanijska regija, i Regija Trebinje.</w:t>
      </w:r>
    </w:p>
  </w:footnote>
  <w:footnote w:id="15">
    <w:p w:rsidR="0098335E" w:rsidRPr="0098335E" w:rsidRDefault="0098335E" w:rsidP="0098335E">
      <w:pPr>
        <w:pStyle w:val="FootnoteText"/>
        <w:rPr>
          <w:rFonts w:ascii="Adobe Garamond Pro" w:hAnsi="Adobe Garamond Pro"/>
        </w:rPr>
      </w:pPr>
      <w:r w:rsidRPr="0098335E">
        <w:rPr>
          <w:rStyle w:val="FootnoteReference"/>
          <w:rFonts w:ascii="Adobe Garamond Pro" w:hAnsi="Adobe Garamond Pro"/>
        </w:rPr>
        <w:footnoteRef/>
      </w:r>
      <w:r w:rsidRPr="0098335E">
        <w:rPr>
          <w:rFonts w:ascii="Adobe Garamond Pro" w:hAnsi="Adobe Garamond Pro"/>
        </w:rPr>
        <w:t xml:space="preserve"> Cvete Koneska. Regional Identity: The Missing Element in Western Balkans Security Cooperation, Western Balkans Security Observer. No.7-8, october 2007 – march 2008. p.82-83.</w:t>
      </w:r>
    </w:p>
  </w:footnote>
  <w:footnote w:id="16">
    <w:p w:rsidR="0098335E" w:rsidRPr="0098335E" w:rsidRDefault="0098335E" w:rsidP="0098335E">
      <w:pPr>
        <w:pStyle w:val="FootnoteText"/>
        <w:jc w:val="both"/>
        <w:rPr>
          <w:rFonts w:ascii="Adobe Garamond Pro" w:hAnsi="Adobe Garamond Pro"/>
          <w:lang/>
        </w:rPr>
      </w:pPr>
      <w:r w:rsidRPr="0098335E">
        <w:rPr>
          <w:rStyle w:val="FootnoteReference"/>
          <w:rFonts w:ascii="Adobe Garamond Pro" w:hAnsi="Adobe Garamond Pro"/>
        </w:rPr>
        <w:footnoteRef/>
      </w:r>
      <w:r w:rsidRPr="0098335E">
        <w:rPr>
          <w:rFonts w:ascii="Adobe Garamond Pro" w:hAnsi="Adobe Garamond Pro"/>
        </w:rPr>
        <w:t xml:space="preserve"> Dimitar Bechev, Carrots, sticks and norms: the EU and regional cooperation in Southeast Europe, Journal of Southern Europe and the Balkans, Volume 8, Number 1,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406E3A" w:rsidRDefault="002E19BA" w:rsidP="00375E6B">
    <w:pPr>
      <w:autoSpaceDE w:val="0"/>
      <w:autoSpaceDN w:val="0"/>
      <w:adjustRightInd w:val="0"/>
      <w:spacing w:after="0" w:line="240" w:lineRule="auto"/>
      <w:rPr>
        <w:rFonts w:ascii="Adobe Garamond Pro" w:eastAsia="Times New Roman" w:hAnsi="Adobe Garamond Pro" w:cs="Garamond"/>
        <w:b/>
        <w:color w:val="000000"/>
        <w:lang w:val="bs-Latn-BA"/>
      </w:rPr>
    </w:pPr>
    <w:r>
      <w:rPr>
        <w:rFonts w:ascii="Adobe Garamond Pro" w:eastAsia="Times New Roman" w:hAnsi="Adobe Garamond Pro" w:cs="Garamond"/>
        <w:color w:val="000000"/>
        <w:sz w:val="20"/>
        <w:szCs w:val="20"/>
        <w:lang w:val="bs-Latn-BA"/>
      </w:rPr>
      <w:t>Manja Đurić</w:t>
    </w: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BA" w:rsidRPr="002E19BA" w:rsidRDefault="002E19BA" w:rsidP="002E19BA">
    <w:pPr>
      <w:pBdr>
        <w:bottom w:val="single" w:sz="4" w:space="1" w:color="auto"/>
      </w:pBdr>
      <w:spacing w:after="0" w:line="240" w:lineRule="auto"/>
      <w:jc w:val="right"/>
      <w:rPr>
        <w:rFonts w:ascii="Adobe Garamond Pro" w:eastAsia="Times New Roman" w:hAnsi="Adobe Garamond Pro"/>
        <w:noProof/>
        <w:sz w:val="20"/>
        <w:szCs w:val="20"/>
        <w:lang/>
      </w:rPr>
    </w:pPr>
    <w:r w:rsidRPr="002E19BA">
      <w:rPr>
        <w:rFonts w:ascii="Adobe Garamond Pro" w:eastAsia="Times New Roman" w:hAnsi="Adobe Garamond Pro"/>
        <w:noProof/>
        <w:sz w:val="20"/>
        <w:szCs w:val="20"/>
        <w:lang/>
      </w:rPr>
      <w:t xml:space="preserve">Održivost bezbjednosnih rješenja u </w:t>
    </w:r>
    <w:r>
      <w:rPr>
        <w:rFonts w:ascii="Adobe Garamond Pro" w:eastAsia="Times New Roman" w:hAnsi="Adobe Garamond Pro"/>
        <w:noProof/>
        <w:sz w:val="20"/>
        <w:szCs w:val="20"/>
        <w:lang/>
      </w:rPr>
      <w:t>B</w:t>
    </w:r>
    <w:r w:rsidRPr="002E19BA">
      <w:rPr>
        <w:rFonts w:ascii="Adobe Garamond Pro" w:eastAsia="Times New Roman" w:hAnsi="Adobe Garamond Pro"/>
        <w:noProof/>
        <w:sz w:val="20"/>
        <w:szCs w:val="20"/>
        <w:lang/>
      </w:rPr>
      <w:t xml:space="preserve">osni i </w:t>
    </w:r>
    <w:r>
      <w:rPr>
        <w:rFonts w:ascii="Adobe Garamond Pro" w:eastAsia="Times New Roman" w:hAnsi="Adobe Garamond Pro"/>
        <w:noProof/>
        <w:sz w:val="20"/>
        <w:szCs w:val="20"/>
        <w:lang/>
      </w:rPr>
      <w:t>H</w:t>
    </w:r>
    <w:r w:rsidRPr="002E19BA">
      <w:rPr>
        <w:rFonts w:ascii="Adobe Garamond Pro" w:eastAsia="Times New Roman" w:hAnsi="Adobe Garamond Pro"/>
        <w:noProof/>
        <w:sz w:val="20"/>
        <w:szCs w:val="20"/>
        <w:lang/>
      </w:rPr>
      <w:t>ercegovini</w:t>
    </w:r>
    <w:r>
      <w:rPr>
        <w:rFonts w:ascii="Adobe Garamond Pro" w:eastAsia="Times New Roman" w:hAnsi="Adobe Garamond Pro"/>
        <w:noProof/>
        <w:sz w:val="20"/>
        <w:szCs w:val="20"/>
        <w:lang/>
      </w:rPr>
      <w:t xml:space="preserve"> kroz prizmu evropske integracije</w:t>
    </w:r>
  </w:p>
  <w:p w:rsidR="00FF280B" w:rsidRPr="00375E6B" w:rsidRDefault="00FF280B" w:rsidP="00375E6B">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7957CA"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375E6B">
      <w:rPr>
        <w:rFonts w:ascii="Adobe Garamond Pro" w:hAnsi="Adobe Garamond Pro" w:cs="Times New Roman"/>
        <w:b/>
        <w:sz w:val="20"/>
        <w:szCs w:val="20"/>
        <w:lang w:val="bs-Latn-BA"/>
      </w:rPr>
      <w:t>PREGLEDNI</w:t>
    </w:r>
    <w:r w:rsidR="00D85967" w:rsidRPr="00D85967">
      <w:rPr>
        <w:rFonts w:ascii="Adobe Garamond Pro" w:hAnsi="Adobe Garamond Pro" w:cs="Times New Roman"/>
        <w:b/>
        <w:sz w:val="20"/>
        <w:szCs w:val="20"/>
        <w:lang w:val="bs-Latn-BA"/>
      </w:rPr>
      <w:t xml:space="preserve"> NAUČNI RAD</w:t>
    </w:r>
  </w:p>
  <w:p w:rsidR="002E19BA" w:rsidRPr="002E19BA" w:rsidRDefault="002E19BA" w:rsidP="002E19BA">
    <w:pPr>
      <w:spacing w:after="0" w:line="240" w:lineRule="auto"/>
      <w:jc w:val="right"/>
      <w:rPr>
        <w:rFonts w:ascii="Adobe Garamond Pro" w:eastAsia="Times New Roman" w:hAnsi="Adobe Garamond Pro"/>
        <w:noProof/>
        <w:sz w:val="20"/>
        <w:szCs w:val="20"/>
        <w:lang/>
      </w:rPr>
    </w:pPr>
    <w:r w:rsidRPr="002E19BA">
      <w:rPr>
        <w:rFonts w:ascii="Adobe Garamond Pro" w:eastAsia="Times New Roman" w:hAnsi="Adobe Garamond Pro"/>
        <w:noProof/>
        <w:sz w:val="20"/>
        <w:szCs w:val="20"/>
        <w:lang/>
      </w:rPr>
      <w:t>UDK 351.78(497.6)]339.923(061.1EU)</w:t>
    </w:r>
  </w:p>
  <w:p w:rsidR="00FF280B" w:rsidRPr="00375E6B" w:rsidRDefault="00FF280B" w:rsidP="002E19BA">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C2BA2"/>
    <w:multiLevelType w:val="hybridMultilevel"/>
    <w:tmpl w:val="30769202"/>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3">
    <w:nsid w:val="112E4C6D"/>
    <w:multiLevelType w:val="hybridMultilevel"/>
    <w:tmpl w:val="754E8DCC"/>
    <w:lvl w:ilvl="0" w:tplc="14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F56603F"/>
    <w:multiLevelType w:val="hybridMultilevel"/>
    <w:tmpl w:val="07B2AA8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6">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9">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3E45AE"/>
    <w:multiLevelType w:val="hybridMultilevel"/>
    <w:tmpl w:val="AAD07A02"/>
    <w:lvl w:ilvl="0" w:tplc="47E81DC8">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5">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CD43849"/>
    <w:multiLevelType w:val="hybridMultilevel"/>
    <w:tmpl w:val="F5AE96CE"/>
    <w:lvl w:ilvl="0" w:tplc="14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1">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A83713"/>
    <w:multiLevelType w:val="hybridMultilevel"/>
    <w:tmpl w:val="A63AA84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4F360001"/>
    <w:multiLevelType w:val="hybridMultilevel"/>
    <w:tmpl w:val="0636A3C6"/>
    <w:lvl w:ilvl="0" w:tplc="9A401A02">
      <w:start w:val="6"/>
      <w:numFmt w:val="bullet"/>
      <w:lvlText w:val="-"/>
      <w:lvlJc w:val="left"/>
      <w:pPr>
        <w:ind w:left="720" w:hanging="360"/>
      </w:pPr>
      <w:rPr>
        <w:rFonts w:ascii="Times New Roman" w:eastAsia="Times New Roman"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5">
    <w:nsid w:val="52721A87"/>
    <w:multiLevelType w:val="hybridMultilevel"/>
    <w:tmpl w:val="EB48ECB8"/>
    <w:lvl w:ilvl="0" w:tplc="141A000F">
      <w:start w:val="1"/>
      <w:numFmt w:val="decimal"/>
      <w:lvlText w:val="%1."/>
      <w:lvlJc w:val="left"/>
      <w:pPr>
        <w:ind w:left="720" w:hanging="360"/>
      </w:pPr>
      <w:rPr>
        <w:rFont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6">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04B429D"/>
    <w:multiLevelType w:val="hybridMultilevel"/>
    <w:tmpl w:val="0D968E5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9">
    <w:nsid w:val="76BA08C4"/>
    <w:multiLevelType w:val="hybridMultilevel"/>
    <w:tmpl w:val="5038E56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9"/>
  </w:num>
  <w:num w:numId="2">
    <w:abstractNumId w:val="4"/>
  </w:num>
  <w:num w:numId="3">
    <w:abstractNumId w:val="33"/>
  </w:num>
  <w:num w:numId="4">
    <w:abstractNumId w:val="12"/>
  </w:num>
  <w:num w:numId="5">
    <w:abstractNumId w:val="35"/>
  </w:num>
  <w:num w:numId="6">
    <w:abstractNumId w:val="6"/>
  </w:num>
  <w:num w:numId="7">
    <w:abstractNumId w:val="10"/>
  </w:num>
  <w:num w:numId="8">
    <w:abstractNumId w:val="16"/>
  </w:num>
  <w:num w:numId="9">
    <w:abstractNumId w:val="19"/>
  </w:num>
  <w:num w:numId="10">
    <w:abstractNumId w:val="13"/>
  </w:num>
  <w:num w:numId="11">
    <w:abstractNumId w:val="8"/>
  </w:num>
  <w:num w:numId="12">
    <w:abstractNumId w:val="15"/>
  </w:num>
  <w:num w:numId="13">
    <w:abstractNumId w:val="37"/>
  </w:num>
  <w:num w:numId="14">
    <w:abstractNumId w:val="7"/>
  </w:num>
  <w:num w:numId="15">
    <w:abstractNumId w:val="2"/>
  </w:num>
  <w:num w:numId="16">
    <w:abstractNumId w:val="9"/>
  </w:num>
  <w:num w:numId="17">
    <w:abstractNumId w:val="11"/>
  </w:num>
  <w:num w:numId="18">
    <w:abstractNumId w:val="26"/>
  </w:num>
  <w:num w:numId="19">
    <w:abstractNumId w:val="18"/>
  </w:num>
  <w:num w:numId="20">
    <w:abstractNumId w:val="17"/>
  </w:num>
  <w:num w:numId="21">
    <w:abstractNumId w:val="32"/>
  </w:num>
  <w:num w:numId="22">
    <w:abstractNumId w:val="0"/>
  </w:num>
  <w:num w:numId="23">
    <w:abstractNumId w:val="40"/>
  </w:num>
  <w:num w:numId="24">
    <w:abstractNumId w:val="22"/>
  </w:num>
  <w:num w:numId="25">
    <w:abstractNumId w:val="21"/>
  </w:num>
  <w:num w:numId="26">
    <w:abstractNumId w:val="34"/>
  </w:num>
  <w:num w:numId="27">
    <w:abstractNumId w:val="38"/>
  </w:num>
  <w:num w:numId="28">
    <w:abstractNumId w:val="31"/>
  </w:num>
  <w:num w:numId="29">
    <w:abstractNumId w:val="41"/>
  </w:num>
  <w:num w:numId="30">
    <w:abstractNumId w:val="27"/>
  </w:num>
  <w:num w:numId="31">
    <w:abstractNumId w:val="28"/>
  </w:num>
  <w:num w:numId="32">
    <w:abstractNumId w:val="30"/>
  </w:num>
  <w:num w:numId="33">
    <w:abstractNumId w:val="36"/>
  </w:num>
  <w:num w:numId="34">
    <w:abstractNumId w:val="39"/>
  </w:num>
  <w:num w:numId="35">
    <w:abstractNumId w:val="23"/>
  </w:num>
  <w:num w:numId="36">
    <w:abstractNumId w:val="14"/>
  </w:num>
  <w:num w:numId="37">
    <w:abstractNumId w:val="1"/>
  </w:num>
  <w:num w:numId="38">
    <w:abstractNumId w:val="24"/>
  </w:num>
  <w:num w:numId="39">
    <w:abstractNumId w:val="5"/>
  </w:num>
  <w:num w:numId="40">
    <w:abstractNumId w:val="20"/>
  </w:num>
  <w:num w:numId="41">
    <w:abstractNumId w:val="3"/>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9746">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00054"/>
    <w:rsid w:val="000026A8"/>
    <w:rsid w:val="00010DC5"/>
    <w:rsid w:val="00034003"/>
    <w:rsid w:val="000365FB"/>
    <w:rsid w:val="00036A11"/>
    <w:rsid w:val="00044C5F"/>
    <w:rsid w:val="0005121E"/>
    <w:rsid w:val="000530A5"/>
    <w:rsid w:val="00053AA9"/>
    <w:rsid w:val="0005550E"/>
    <w:rsid w:val="000672FF"/>
    <w:rsid w:val="000733F7"/>
    <w:rsid w:val="00077FF9"/>
    <w:rsid w:val="000A0CAB"/>
    <w:rsid w:val="000A61F6"/>
    <w:rsid w:val="000B01A3"/>
    <w:rsid w:val="000C0BA7"/>
    <w:rsid w:val="000C691C"/>
    <w:rsid w:val="000D0406"/>
    <w:rsid w:val="000E1571"/>
    <w:rsid w:val="000F0373"/>
    <w:rsid w:val="000F1949"/>
    <w:rsid w:val="001017B2"/>
    <w:rsid w:val="0011022A"/>
    <w:rsid w:val="00115821"/>
    <w:rsid w:val="00120375"/>
    <w:rsid w:val="001374C4"/>
    <w:rsid w:val="0014372D"/>
    <w:rsid w:val="00144A6F"/>
    <w:rsid w:val="00160878"/>
    <w:rsid w:val="0016554A"/>
    <w:rsid w:val="001677B1"/>
    <w:rsid w:val="00170728"/>
    <w:rsid w:val="001959A4"/>
    <w:rsid w:val="001A4B4E"/>
    <w:rsid w:val="001B0A65"/>
    <w:rsid w:val="001C6DC9"/>
    <w:rsid w:val="001D4039"/>
    <w:rsid w:val="001D43AB"/>
    <w:rsid w:val="001F0AD6"/>
    <w:rsid w:val="002002DE"/>
    <w:rsid w:val="00205247"/>
    <w:rsid w:val="0023078B"/>
    <w:rsid w:val="00230AB1"/>
    <w:rsid w:val="002478E7"/>
    <w:rsid w:val="00260E15"/>
    <w:rsid w:val="0026477F"/>
    <w:rsid w:val="00264C3A"/>
    <w:rsid w:val="002675B4"/>
    <w:rsid w:val="002715B8"/>
    <w:rsid w:val="002A04A4"/>
    <w:rsid w:val="002A4A58"/>
    <w:rsid w:val="002B7D99"/>
    <w:rsid w:val="002D2430"/>
    <w:rsid w:val="002D54DB"/>
    <w:rsid w:val="002D5F3F"/>
    <w:rsid w:val="002E0C21"/>
    <w:rsid w:val="002E19BA"/>
    <w:rsid w:val="00306F6C"/>
    <w:rsid w:val="00323B9C"/>
    <w:rsid w:val="003328EE"/>
    <w:rsid w:val="00346C37"/>
    <w:rsid w:val="00351FA0"/>
    <w:rsid w:val="003619F7"/>
    <w:rsid w:val="00373213"/>
    <w:rsid w:val="00375E6B"/>
    <w:rsid w:val="003811A8"/>
    <w:rsid w:val="00383748"/>
    <w:rsid w:val="003866F8"/>
    <w:rsid w:val="00394B5C"/>
    <w:rsid w:val="003B1F07"/>
    <w:rsid w:val="003B4EB9"/>
    <w:rsid w:val="003B7072"/>
    <w:rsid w:val="003D5794"/>
    <w:rsid w:val="003F389D"/>
    <w:rsid w:val="003F67C2"/>
    <w:rsid w:val="003F7405"/>
    <w:rsid w:val="004014D9"/>
    <w:rsid w:val="004048D6"/>
    <w:rsid w:val="0041608E"/>
    <w:rsid w:val="00424836"/>
    <w:rsid w:val="00425200"/>
    <w:rsid w:val="00431A2E"/>
    <w:rsid w:val="0044666F"/>
    <w:rsid w:val="00447F34"/>
    <w:rsid w:val="00447FE0"/>
    <w:rsid w:val="004624E6"/>
    <w:rsid w:val="004725BF"/>
    <w:rsid w:val="00472D53"/>
    <w:rsid w:val="00493C49"/>
    <w:rsid w:val="004A242E"/>
    <w:rsid w:val="004A31E4"/>
    <w:rsid w:val="004A54A8"/>
    <w:rsid w:val="004A6567"/>
    <w:rsid w:val="004B37E4"/>
    <w:rsid w:val="004B3A89"/>
    <w:rsid w:val="004C4A36"/>
    <w:rsid w:val="004D6203"/>
    <w:rsid w:val="004E12C9"/>
    <w:rsid w:val="004F170C"/>
    <w:rsid w:val="00530415"/>
    <w:rsid w:val="005363EB"/>
    <w:rsid w:val="00553A82"/>
    <w:rsid w:val="00556080"/>
    <w:rsid w:val="00560AF8"/>
    <w:rsid w:val="005706BE"/>
    <w:rsid w:val="00571462"/>
    <w:rsid w:val="00592DA0"/>
    <w:rsid w:val="00596A8C"/>
    <w:rsid w:val="005B3CF2"/>
    <w:rsid w:val="005B43FA"/>
    <w:rsid w:val="005B4BE6"/>
    <w:rsid w:val="005C0F1F"/>
    <w:rsid w:val="005D698D"/>
    <w:rsid w:val="005E1FA6"/>
    <w:rsid w:val="005E23E9"/>
    <w:rsid w:val="0060537C"/>
    <w:rsid w:val="00613E74"/>
    <w:rsid w:val="0063245A"/>
    <w:rsid w:val="006510A9"/>
    <w:rsid w:val="006529B1"/>
    <w:rsid w:val="006663D5"/>
    <w:rsid w:val="00676F1F"/>
    <w:rsid w:val="0068169D"/>
    <w:rsid w:val="0068313D"/>
    <w:rsid w:val="006969FE"/>
    <w:rsid w:val="00697EAB"/>
    <w:rsid w:val="006B0527"/>
    <w:rsid w:val="006B1CD1"/>
    <w:rsid w:val="006C081B"/>
    <w:rsid w:val="006E1427"/>
    <w:rsid w:val="006E45FF"/>
    <w:rsid w:val="006E52D9"/>
    <w:rsid w:val="006E53F9"/>
    <w:rsid w:val="006E622C"/>
    <w:rsid w:val="006F2712"/>
    <w:rsid w:val="00705BAA"/>
    <w:rsid w:val="0071078B"/>
    <w:rsid w:val="00713C82"/>
    <w:rsid w:val="00713CAD"/>
    <w:rsid w:val="00714555"/>
    <w:rsid w:val="007236FD"/>
    <w:rsid w:val="0074603D"/>
    <w:rsid w:val="00747375"/>
    <w:rsid w:val="00780596"/>
    <w:rsid w:val="007806F9"/>
    <w:rsid w:val="007933BA"/>
    <w:rsid w:val="007957CA"/>
    <w:rsid w:val="007A561A"/>
    <w:rsid w:val="007B3197"/>
    <w:rsid w:val="007B7B96"/>
    <w:rsid w:val="007C24B3"/>
    <w:rsid w:val="007D053A"/>
    <w:rsid w:val="007D1016"/>
    <w:rsid w:val="007D6BA9"/>
    <w:rsid w:val="007E3554"/>
    <w:rsid w:val="007F4C0F"/>
    <w:rsid w:val="0081074D"/>
    <w:rsid w:val="00815E51"/>
    <w:rsid w:val="00821579"/>
    <w:rsid w:val="008225F3"/>
    <w:rsid w:val="008358CA"/>
    <w:rsid w:val="00850431"/>
    <w:rsid w:val="00860F7D"/>
    <w:rsid w:val="00866181"/>
    <w:rsid w:val="00871B3D"/>
    <w:rsid w:val="008945B7"/>
    <w:rsid w:val="008A1803"/>
    <w:rsid w:val="008B1D50"/>
    <w:rsid w:val="008C4302"/>
    <w:rsid w:val="008F47FC"/>
    <w:rsid w:val="008F5F52"/>
    <w:rsid w:val="009014E3"/>
    <w:rsid w:val="009063AF"/>
    <w:rsid w:val="0090750D"/>
    <w:rsid w:val="00932021"/>
    <w:rsid w:val="00942EF2"/>
    <w:rsid w:val="009469F4"/>
    <w:rsid w:val="00946D5B"/>
    <w:rsid w:val="009548B8"/>
    <w:rsid w:val="00970A7F"/>
    <w:rsid w:val="00977EC3"/>
    <w:rsid w:val="00977F0F"/>
    <w:rsid w:val="0098045E"/>
    <w:rsid w:val="0098335E"/>
    <w:rsid w:val="00985D63"/>
    <w:rsid w:val="009866B4"/>
    <w:rsid w:val="0099111C"/>
    <w:rsid w:val="00994CB2"/>
    <w:rsid w:val="00996510"/>
    <w:rsid w:val="009D12E0"/>
    <w:rsid w:val="009E3956"/>
    <w:rsid w:val="009F6487"/>
    <w:rsid w:val="00A14817"/>
    <w:rsid w:val="00A40D8E"/>
    <w:rsid w:val="00A458A5"/>
    <w:rsid w:val="00A54D12"/>
    <w:rsid w:val="00A73AFF"/>
    <w:rsid w:val="00A76D41"/>
    <w:rsid w:val="00A83BDB"/>
    <w:rsid w:val="00AA3155"/>
    <w:rsid w:val="00AC5885"/>
    <w:rsid w:val="00AD05B4"/>
    <w:rsid w:val="00AD0E8A"/>
    <w:rsid w:val="00AD5BF3"/>
    <w:rsid w:val="00B010C5"/>
    <w:rsid w:val="00B011A2"/>
    <w:rsid w:val="00B0732E"/>
    <w:rsid w:val="00B073DF"/>
    <w:rsid w:val="00B1266B"/>
    <w:rsid w:val="00B17759"/>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0FA7"/>
    <w:rsid w:val="00BE7F6D"/>
    <w:rsid w:val="00BF0675"/>
    <w:rsid w:val="00BF5820"/>
    <w:rsid w:val="00BF5AC4"/>
    <w:rsid w:val="00C17F50"/>
    <w:rsid w:val="00C3459A"/>
    <w:rsid w:val="00C35FC7"/>
    <w:rsid w:val="00C36995"/>
    <w:rsid w:val="00C608B0"/>
    <w:rsid w:val="00C87FDA"/>
    <w:rsid w:val="00C91AFD"/>
    <w:rsid w:val="00CA0ADA"/>
    <w:rsid w:val="00CA1960"/>
    <w:rsid w:val="00CB5B2F"/>
    <w:rsid w:val="00CD34F5"/>
    <w:rsid w:val="00CD4D07"/>
    <w:rsid w:val="00CD7AB1"/>
    <w:rsid w:val="00CF79B5"/>
    <w:rsid w:val="00D02705"/>
    <w:rsid w:val="00D106B5"/>
    <w:rsid w:val="00D12AEB"/>
    <w:rsid w:val="00D13677"/>
    <w:rsid w:val="00D40931"/>
    <w:rsid w:val="00D53755"/>
    <w:rsid w:val="00D54356"/>
    <w:rsid w:val="00D56704"/>
    <w:rsid w:val="00D76604"/>
    <w:rsid w:val="00D85967"/>
    <w:rsid w:val="00D92C4B"/>
    <w:rsid w:val="00D93FE7"/>
    <w:rsid w:val="00D9549C"/>
    <w:rsid w:val="00D97725"/>
    <w:rsid w:val="00DB73D7"/>
    <w:rsid w:val="00DC3D12"/>
    <w:rsid w:val="00DC55CE"/>
    <w:rsid w:val="00DE357D"/>
    <w:rsid w:val="00DF646E"/>
    <w:rsid w:val="00E02286"/>
    <w:rsid w:val="00E030D6"/>
    <w:rsid w:val="00E03447"/>
    <w:rsid w:val="00E178B6"/>
    <w:rsid w:val="00E25C98"/>
    <w:rsid w:val="00E35914"/>
    <w:rsid w:val="00E47223"/>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057FB"/>
    <w:rsid w:val="00F22211"/>
    <w:rsid w:val="00F471AB"/>
    <w:rsid w:val="00F81670"/>
    <w:rsid w:val="00F9432A"/>
    <w:rsid w:val="00F94BCA"/>
    <w:rsid w:val="00F9528C"/>
    <w:rsid w:val="00FA1370"/>
    <w:rsid w:val="00FA7F26"/>
    <w:rsid w:val="00FB1BA5"/>
    <w:rsid w:val="00FC23CB"/>
    <w:rsid w:val="00FC4CB6"/>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597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table" w:customStyle="1" w:styleId="LightShading-Accent11">
    <w:name w:val="Light Shading - Accent 11"/>
    <w:basedOn w:val="TableNormal"/>
    <w:uiPriority w:val="60"/>
    <w:rsid w:val="000026A8"/>
    <w:pPr>
      <w:spacing w:after="0" w:line="240" w:lineRule="auto"/>
    </w:pPr>
    <w:rPr>
      <w:rFonts w:eastAsiaTheme="minorEastAsia"/>
      <w:color w:val="365F91" w:themeColor="accent1" w:themeShade="BF"/>
      <w:lang w:val="bs-Latn-BA" w:eastAsia="bs-Latn-B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uiPriority w:val="60"/>
    <w:rsid w:val="000026A8"/>
    <w:pPr>
      <w:spacing w:after="0" w:line="240" w:lineRule="auto"/>
    </w:pPr>
    <w:rPr>
      <w:rFonts w:eastAsiaTheme="minorEastAsia"/>
      <w:color w:val="365F91" w:themeColor="accent1" w:themeShade="BF"/>
      <w:lang w:val="bs-Latn-BA" w:eastAsia="bs-Latn-B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026A8"/>
    <w:pPr>
      <w:spacing w:after="0" w:line="240" w:lineRule="auto"/>
    </w:pPr>
    <w:rPr>
      <w:rFonts w:eastAsiaTheme="minorEastAsia"/>
      <w:color w:val="943634" w:themeColor="accent2" w:themeShade="BF"/>
      <w:lang w:val="bs-Latn-BA" w:eastAsia="bs-Latn-B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CA19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ongtext">
    <w:name w:val="long_text"/>
    <w:rsid w:val="009833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4664</Words>
  <Characters>26586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45</cp:revision>
  <dcterms:created xsi:type="dcterms:W3CDTF">2014-04-10T20:22:00Z</dcterms:created>
  <dcterms:modified xsi:type="dcterms:W3CDTF">2014-05-01T10:37:00Z</dcterms:modified>
</cp:coreProperties>
</file>