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2D2430" w:rsidRPr="006920EC" w:rsidRDefault="006920EC" w:rsidP="009715C6">
      <w:pPr>
        <w:autoSpaceDE w:val="0"/>
        <w:autoSpaceDN w:val="0"/>
        <w:adjustRightInd w:val="0"/>
        <w:spacing w:after="0" w:line="240" w:lineRule="auto"/>
        <w:jc w:val="center"/>
        <w:rPr>
          <w:rFonts w:ascii="Adobe Garamond Pro" w:hAnsi="Adobe Garamond Pro" w:cs="Times New Roman"/>
          <w:b/>
          <w:sz w:val="28"/>
          <w:szCs w:val="28"/>
        </w:rPr>
      </w:pPr>
      <w:r w:rsidRPr="006920EC">
        <w:rPr>
          <w:rFonts w:ascii="Adobe Garamond Pro" w:hAnsi="Adobe Garamond Pro" w:cs="Times New Roman"/>
          <w:b/>
          <w:sz w:val="28"/>
          <w:szCs w:val="28"/>
        </w:rPr>
        <w:t>Konkurentnost bosanskohercegovačke ekonomije sa aspekta opterećenja plata porezima i doprinosima</w:t>
      </w:r>
    </w:p>
    <w:p w:rsidR="006920EC" w:rsidRPr="00406E3A" w:rsidRDefault="006920EC" w:rsidP="009715C6">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6920EC"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Zijad Krnjić</w:t>
      </w:r>
    </w:p>
    <w:p w:rsidR="006920EC" w:rsidRDefault="006920EC" w:rsidP="002D2430">
      <w:pPr>
        <w:pStyle w:val="NoSpacing"/>
        <w:jc w:val="center"/>
        <w:rPr>
          <w:rFonts w:ascii="Adobe Garamond Pro" w:hAnsi="Adobe Garamond Pro"/>
        </w:rPr>
      </w:pPr>
      <w:r w:rsidRPr="006920EC">
        <w:rPr>
          <w:rFonts w:ascii="Adobe Garamond Pro" w:hAnsi="Adobe Garamond Pro"/>
        </w:rPr>
        <w:t xml:space="preserve">Direktor FZ </w:t>
      </w:r>
      <w:r w:rsidR="008911A6">
        <w:rPr>
          <w:rFonts w:ascii="Adobe Garamond Pro" w:hAnsi="Adobe Garamond Pro"/>
        </w:rPr>
        <w:t>P</w:t>
      </w:r>
      <w:r w:rsidRPr="006920EC">
        <w:rPr>
          <w:rFonts w:ascii="Adobe Garamond Pro" w:hAnsi="Adobe Garamond Pro"/>
        </w:rPr>
        <w:t>IO/MIO</w:t>
      </w:r>
    </w:p>
    <w:p w:rsidR="002D2430" w:rsidRDefault="002D2430" w:rsidP="002D2430">
      <w:pPr>
        <w:pStyle w:val="NoSpacing"/>
        <w:jc w:val="center"/>
        <w:rPr>
          <w:rFonts w:ascii="Adobe Garamond Pro" w:hAnsi="Adobe Garamond Pro"/>
          <w:i/>
        </w:rPr>
      </w:pPr>
      <w:r w:rsidRPr="00415616">
        <w:rPr>
          <w:rFonts w:ascii="Adobe Garamond Pro" w:eastAsia="Times New Roman" w:hAnsi="Adobe Garamond Pro" w:cs="Garamond"/>
          <w:i/>
          <w:color w:val="000000"/>
          <w:lang w:val="bs-Latn-BA"/>
        </w:rPr>
        <w:t xml:space="preserve">Email: </w:t>
      </w:r>
      <w:r w:rsidR="006920EC">
        <w:rPr>
          <w:rFonts w:ascii="Adobe Garamond Pro" w:hAnsi="Adobe Garamond Pro"/>
          <w:i/>
        </w:rPr>
        <w:t>zijad.krnjic@fzmiopio.ba</w:t>
      </w:r>
    </w:p>
    <w:p w:rsidR="002D2430" w:rsidRPr="00406E3A" w:rsidRDefault="009A5A6C" w:rsidP="002D2430">
      <w:pPr>
        <w:pStyle w:val="NoSpacing"/>
        <w:jc w:val="center"/>
        <w:rPr>
          <w:rFonts w:ascii="Adobe Garamond Pro" w:eastAsia="Times New Roman" w:hAnsi="Adobe Garamond Pro" w:cs="Garamond"/>
          <w:i/>
          <w:color w:val="000000"/>
          <w:lang w:val="bs-Latn-BA"/>
        </w:rPr>
      </w:pPr>
      <w:r w:rsidRPr="009A5A6C">
        <w:rPr>
          <w:rFonts w:ascii="Adobe Garamond Pro" w:hAnsi="Adobe Garamond Pro"/>
          <w:i/>
          <w:noProof/>
          <w:lang w:val="bs-Latn-BA" w:eastAsia="bs-Latn-BA"/>
        </w:rPr>
        <w:pict>
          <v:rect id="_x0000_s1035" style="position:absolute;left:0;text-align:left;margin-left:-107.2pt;margin-top:7.8pt;width:441.7pt;height:486pt;z-index:-251658240" fillcolor="#f2f2f2 [3052]" stroked="f"/>
        </w:pict>
      </w:r>
      <w:r w:rsidRPr="009A5A6C">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5.8pt;margin-top:6.1pt;width:350.9pt;height:492.5pt;z-index:251657216;mso-width-relative:margin;mso-height-relative:margin" filled="f" stroked="f">
            <v:textbox style="mso-next-textbox:#_x0000_s1030">
              <w:txbxContent>
                <w:p w:rsidR="006E2929" w:rsidRDefault="006E2929" w:rsidP="006920EC">
                  <w:pPr>
                    <w:spacing w:after="0" w:line="240" w:lineRule="auto"/>
                    <w:jc w:val="both"/>
                    <w:rPr>
                      <w:rFonts w:ascii="Adobe Garamond Pro" w:hAnsi="Adobe Garamond Pro" w:cs="Times New Roman"/>
                      <w:i/>
                      <w:sz w:val="20"/>
                      <w:szCs w:val="20"/>
                      <w:lang w:val="hr-BA"/>
                    </w:rPr>
                  </w:pPr>
                  <w:r w:rsidRPr="006920EC">
                    <w:rPr>
                      <w:rFonts w:ascii="Adobe Garamond Pro" w:hAnsi="Adobe Garamond Pro" w:cs="Times New Roman"/>
                      <w:b/>
                      <w:i/>
                      <w:sz w:val="20"/>
                      <w:szCs w:val="20"/>
                      <w:lang w:val="hr-BA"/>
                    </w:rPr>
                    <w:t>Sažetak:</w:t>
                  </w:r>
                  <w:r w:rsidRPr="006920EC">
                    <w:rPr>
                      <w:rFonts w:ascii="Adobe Garamond Pro" w:hAnsi="Adobe Garamond Pro" w:cs="Times New Roman"/>
                      <w:i/>
                      <w:sz w:val="20"/>
                      <w:szCs w:val="20"/>
                      <w:lang w:val="hr-BA"/>
                    </w:rPr>
                    <w:t xml:space="preserve"> </w:t>
                  </w:r>
                  <w:r w:rsidRPr="006920EC">
                    <w:rPr>
                      <w:rFonts w:ascii="Adobe Garamond Pro" w:hAnsi="Adobe Garamond Pro" w:cs="Times New Roman"/>
                      <w:i/>
                      <w:sz w:val="20"/>
                      <w:szCs w:val="20"/>
                    </w:rPr>
                    <w:t xml:space="preserve">U našoj državi, Bosni i Hercegovini, od 1996.g., kao rezultat Ustava prihvaćenog Dejtonskim mirovinim sporazumom, sistem penzijskog i invalidskog osiguranja provode dva nosioca u dva entiteta: u FBiH FZ MIO/PIO a u RS Fond PIO RS. </w:t>
                  </w:r>
                  <w:r w:rsidRPr="006920EC">
                    <w:rPr>
                      <w:rFonts w:ascii="Adobe Garamond Pro" w:hAnsi="Adobe Garamond Pro" w:cs="Times New Roman"/>
                      <w:i/>
                      <w:sz w:val="20"/>
                      <w:szCs w:val="20"/>
                      <w:lang w:val="hr-BA"/>
                    </w:rPr>
                    <w:t>Takvo rješenje, naravno nije proizišlo po principu racionalnosti i funkcionalnosti, već kao politički kompromis. U međuvremenu to rješenje je zaživilo i funkcionira na način koji je prilično poznat široj javnosti. U cijelom tom periodu su se i propisi iz oblasti fiskalne politike u entitetima razvijali u različitim i neusklađenim pravcima, što znači različite visine i strukturu doprinosa na i iz plata. Međutim, zajedničko je to što su se stope doprinosa održale na relativno niskom nivou, naročito u Republici Srpskoj, a sve pod pritiskom nekonkurentnosti poslovnog sektora i dijagnoza „iz rukava“ o opterećenju doprinosima kao najvećem, a po nekima i jedinom, uzroku te nekonkurentnosti.Ovaj rad ima namjeru da, prvenstveno ekonomistima, a i drugima koji utiču na kreiranje poslovnog ambijenta u Bosni i Hercegovini, posebno u kreiranju porezne politike, prezentira egzaktne podatke o opterećenosti bruto plata doprinosima i ostalim davanjima na i iz plata, koja u nekim pravnim sistemima imaju drugo ime, u državama u okruženju i nekim državama EU. Sistemi socijalnog osiguranja, naročito zdravstvenog osiguranja, se značajno razlikuju u raznim državama Evrope. Razlike između anglosaksonskog i ostalih sistema su tolike da ovaj prvi nećemo niti porediti, jer bi trebalo uraditi poseban rad da se objasne razlike i geneza tih razlika, što nije namjera ovog rada. Razlike u sistemu penzijskog osiguranja, kod država „Stare Evrope“ i zemalja u tranziciji, prvenstveno u Jugoistočnoj Evropi, se svode na dvije:</w:t>
                  </w:r>
                </w:p>
                <w:p w:rsidR="006E2929" w:rsidRPr="006920EC" w:rsidRDefault="006E2929" w:rsidP="006920EC">
                  <w:pPr>
                    <w:spacing w:after="0" w:line="240" w:lineRule="auto"/>
                    <w:jc w:val="both"/>
                    <w:rPr>
                      <w:rFonts w:ascii="Adobe Garamond Pro" w:hAnsi="Adobe Garamond Pro" w:cs="Times New Roman"/>
                      <w:i/>
                      <w:sz w:val="20"/>
                      <w:szCs w:val="20"/>
                      <w:lang w:val="hr-BA"/>
                    </w:rPr>
                  </w:pPr>
                </w:p>
                <w:p w:rsidR="006E2929" w:rsidRPr="006920EC" w:rsidRDefault="006E2929" w:rsidP="00616109">
                  <w:pPr>
                    <w:pStyle w:val="ListParagraph"/>
                    <w:numPr>
                      <w:ilvl w:val="0"/>
                      <w:numId w:val="1"/>
                    </w:numPr>
                    <w:spacing w:after="0" w:line="240" w:lineRule="auto"/>
                    <w:jc w:val="both"/>
                    <w:rPr>
                      <w:rFonts w:ascii="Adobe Garamond Pro" w:hAnsi="Adobe Garamond Pro" w:cs="Times New Roman"/>
                      <w:i/>
                      <w:sz w:val="20"/>
                      <w:szCs w:val="20"/>
                      <w:lang w:val="hr-BA"/>
                    </w:rPr>
                  </w:pPr>
                  <w:r w:rsidRPr="006920EC">
                    <w:rPr>
                      <w:rFonts w:ascii="Adobe Garamond Pro" w:hAnsi="Adobe Garamond Pro" w:cs="Times New Roman"/>
                      <w:i/>
                      <w:sz w:val="20"/>
                      <w:szCs w:val="20"/>
                      <w:lang w:val="hr-BA"/>
                    </w:rPr>
                    <w:t>neke države su djelimično prešle na sistem kapitalizirajućih doprinosa, dok su druge u cjelini u sistemu međugeneracijske solidarnost,</w:t>
                  </w:r>
                </w:p>
                <w:p w:rsidR="006E2929" w:rsidRDefault="006E2929" w:rsidP="00616109">
                  <w:pPr>
                    <w:pStyle w:val="ListParagraph"/>
                    <w:numPr>
                      <w:ilvl w:val="0"/>
                      <w:numId w:val="1"/>
                    </w:numPr>
                    <w:spacing w:after="0" w:line="240" w:lineRule="auto"/>
                    <w:jc w:val="both"/>
                    <w:rPr>
                      <w:rFonts w:ascii="Adobe Garamond Pro" w:hAnsi="Adobe Garamond Pro" w:cs="Times New Roman"/>
                      <w:i/>
                      <w:sz w:val="20"/>
                      <w:szCs w:val="20"/>
                      <w:lang w:val="hr-BA"/>
                    </w:rPr>
                  </w:pPr>
                  <w:r w:rsidRPr="006920EC">
                    <w:rPr>
                      <w:rFonts w:ascii="Adobe Garamond Pro" w:hAnsi="Adobe Garamond Pro" w:cs="Times New Roman"/>
                      <w:i/>
                      <w:sz w:val="20"/>
                      <w:szCs w:val="20"/>
                      <w:lang w:val="hr-BA"/>
                    </w:rPr>
                    <w:t>gotovo svaka država ima različit nivo potpore finansiranju isplate penzija iz budžeta, tj. iz poreznih prihoda,</w:t>
                  </w:r>
                </w:p>
                <w:p w:rsidR="006E2929" w:rsidRPr="006920EC" w:rsidRDefault="006E2929" w:rsidP="006920EC">
                  <w:pPr>
                    <w:pStyle w:val="ListParagraph"/>
                    <w:spacing w:after="0" w:line="240" w:lineRule="auto"/>
                    <w:jc w:val="both"/>
                    <w:rPr>
                      <w:rFonts w:ascii="Adobe Garamond Pro" w:hAnsi="Adobe Garamond Pro" w:cs="Times New Roman"/>
                      <w:i/>
                      <w:sz w:val="20"/>
                      <w:szCs w:val="20"/>
                      <w:lang w:val="hr-BA"/>
                    </w:rPr>
                  </w:pPr>
                </w:p>
                <w:p w:rsidR="006E2929" w:rsidRPr="006920EC" w:rsidRDefault="006E2929" w:rsidP="006920EC">
                  <w:pPr>
                    <w:spacing w:after="0" w:line="240" w:lineRule="auto"/>
                    <w:jc w:val="both"/>
                    <w:rPr>
                      <w:rFonts w:ascii="Adobe Garamond Pro" w:hAnsi="Adobe Garamond Pro"/>
                      <w:i/>
                      <w:sz w:val="20"/>
                      <w:szCs w:val="20"/>
                    </w:rPr>
                  </w:pPr>
                  <w:r w:rsidRPr="006920EC">
                    <w:rPr>
                      <w:rFonts w:ascii="Adobe Garamond Pro" w:hAnsi="Adobe Garamond Pro" w:cs="Times New Roman"/>
                      <w:i/>
                      <w:sz w:val="20"/>
                      <w:szCs w:val="20"/>
                      <w:lang w:val="hr-BA"/>
                    </w:rPr>
                    <w:t xml:space="preserve">U zadnjem dijelu će se ove razlike pokušati „nivelirati“ da bi se vidjela slika opterećenja plata doprinosima za PIO.Kod zdravstvenog osiguranja su razlike u sistemima raznih država mnogo veće, toliko da su gotovo neuporedivi finansijski pokazatelji. Sve te razlike proizilaze iz različitog nivoa  dobrovoljnog zdravstvenog osiguranja i različitog nivoa obavezne zdravstvene zaštite. U suštini te razlike se poklapaju sa razlikama u nivou razvijenosti. Kod komparacije opterećenosti plata - nadnice porezima i doprinosima za države nastale iz bivše SFRJ će podaci biti uporedivi za ukupne doprinose, dok će za „stare“ države EU, uz poređenje, biti data objašnjenja.  Svrha ovog istraživanja je da eliminira, ili pokuša eliminirati, zabludu da je visina stopa doprinosa na plate osnovni, po nekima jedini, uzrok nekonkurntnosti bosanskohercegovačkog poslovnog sektora na svjetskom tržištu. </w:t>
                  </w:r>
                </w:p>
              </w:txbxContent>
            </v:textbox>
          </v:shape>
        </w:pict>
      </w:r>
      <w:r w:rsidRPr="009A5A6C">
        <w:rPr>
          <w:rFonts w:ascii="Adobe Garamond Pro" w:hAnsi="Adobe Garamond Pro"/>
          <w:b/>
          <w:noProof/>
          <w:lang w:val="bs-Latn-BA"/>
        </w:rPr>
        <w:pict>
          <v:shape id="_x0000_s1031" type="#_x0000_t202" style="position:absolute;left:0;text-align:left;margin-left:334.5pt;margin-top:5.7pt;width:80.3pt;height:249.2pt;z-index:251656192;mso-width-relative:margin;mso-height-relative:margin" stroked="f" strokecolor="white [3212]">
            <v:textbox style="mso-next-textbox:#_x0000_s1031">
              <w:txbxContent>
                <w:p w:rsidR="006E2929" w:rsidRPr="006920EC" w:rsidRDefault="006E2929" w:rsidP="009715C6">
                  <w:pPr>
                    <w:spacing w:after="0" w:line="240" w:lineRule="auto"/>
                    <w:rPr>
                      <w:rFonts w:ascii="Adobe Garamond Pro" w:hAnsi="Adobe Garamond Pro"/>
                      <w:i/>
                      <w:sz w:val="20"/>
                      <w:szCs w:val="20"/>
                    </w:rPr>
                  </w:pPr>
                  <w:r w:rsidRPr="006920EC">
                    <w:rPr>
                      <w:rFonts w:ascii="Adobe Garamond Pro" w:hAnsi="Adobe Garamond Pro"/>
                      <w:b/>
                      <w:i/>
                      <w:sz w:val="20"/>
                      <w:szCs w:val="20"/>
                    </w:rPr>
                    <w:t xml:space="preserve">Ključne riječi: </w:t>
                  </w:r>
                  <w:r w:rsidRPr="006920EC">
                    <w:rPr>
                      <w:rFonts w:ascii="Adobe Garamond Pro" w:hAnsi="Adobe Garamond Pro" w:cs="Times New Roman"/>
                      <w:i/>
                      <w:sz w:val="20"/>
                      <w:szCs w:val="20"/>
                    </w:rPr>
                    <w:t>penzijski sistem,međugeneracijska solidarnost, doprinosi na plate, BDP, realni sektor, zdravstveni sistem, budžet, porez na dohodak</w:t>
                  </w:r>
                </w:p>
                <w:p w:rsidR="006E2929" w:rsidRPr="006920EC" w:rsidRDefault="006E2929" w:rsidP="009715C6">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eastAsia="Times New Roman" w:hAnsi="Adobe Garamond Pro" w:cs="Garamond"/>
          <w:b/>
          <w:color w:val="000000"/>
          <w:lang w:val="bs-Latn-BA"/>
        </w:rPr>
      </w:pPr>
    </w:p>
    <w:p w:rsidR="002D2430" w:rsidRPr="00406E3A" w:rsidRDefault="002D2430" w:rsidP="002D2430">
      <w:pPr>
        <w:pStyle w:val="NoSpacing"/>
        <w:jc w:val="both"/>
        <w:rPr>
          <w:rFonts w:ascii="Adobe Garamond Pro" w:hAnsi="Adobe Garamond Pro"/>
          <w:lang w:val="bs-Latn-BA"/>
        </w:rPr>
      </w:pPr>
      <w:bookmarkStart w:id="0" w:name="_GoBack"/>
      <w:bookmarkEnd w:id="0"/>
    </w:p>
    <w:p w:rsidR="006920EC" w:rsidRDefault="002D2430" w:rsidP="006920EC">
      <w:pPr>
        <w:spacing w:after="0" w:line="240" w:lineRule="auto"/>
        <w:jc w:val="both"/>
        <w:rPr>
          <w:rFonts w:ascii="Adobe Garamond Pro" w:hAnsi="Adobe Garamond Pro" w:cs="Times New Roman"/>
          <w:lang w:val="bs-Latn-BA"/>
        </w:rPr>
      </w:pPr>
      <w:r w:rsidRPr="001E1181">
        <w:rPr>
          <w:rFonts w:ascii="Adobe Garamond Pro" w:hAnsi="Adobe Garamond Pro" w:cs="Times New Roman"/>
          <w:lang w:val="bs-Latn-BA"/>
        </w:rPr>
        <w:br w:type="page"/>
      </w:r>
    </w:p>
    <w:p w:rsidR="006920EC" w:rsidRDefault="009A5A6C" w:rsidP="006920EC">
      <w:pPr>
        <w:spacing w:after="0" w:line="240" w:lineRule="auto"/>
        <w:jc w:val="both"/>
        <w:rPr>
          <w:rFonts w:ascii="Adobe Garamond Pro" w:hAnsi="Adobe Garamond Pro" w:cs="Times New Roman"/>
          <w:lang w:val="bs-Latn-BA"/>
        </w:rPr>
      </w:pPr>
      <w:r>
        <w:rPr>
          <w:rFonts w:ascii="Adobe Garamond Pro" w:hAnsi="Adobe Garamond Pro" w:cs="Times New Roman"/>
          <w:noProof/>
          <w:lang w:val="bs-Latn-BA" w:eastAsia="bs-Latn-BA"/>
        </w:rPr>
        <w:lastRenderedPageBreak/>
        <w:pict>
          <v:rect id="_x0000_s1038" style="position:absolute;left:0;text-align:left;margin-left:-89pt;margin-top:-9.55pt;width:425.5pt;height:219.95pt;z-index:-251656192" fillcolor="#f2f2f2 [3052]" stroked="f"/>
        </w:pict>
      </w:r>
      <w:r>
        <w:rPr>
          <w:rFonts w:ascii="Adobe Garamond Pro" w:hAnsi="Adobe Garamond Pro" w:cs="Times New Roman"/>
          <w:noProof/>
          <w:lang w:val="bs-Latn-BA" w:eastAsia="bs-Latn-BA"/>
        </w:rPr>
        <w:pict>
          <v:shape id="_x0000_s1037" type="#_x0000_t202" style="position:absolute;left:0;text-align:left;margin-left:-12.2pt;margin-top:-11.25pt;width:349.3pt;height:221.65pt;z-index:251659264;mso-width-relative:margin;mso-height-relative:margin" filled="f" stroked="f">
            <v:textbox style="mso-next-textbox:#_x0000_s1037">
              <w:txbxContent>
                <w:p w:rsidR="006E2929" w:rsidRDefault="006E2929" w:rsidP="006920EC">
                  <w:pPr>
                    <w:spacing w:after="0" w:line="240" w:lineRule="auto"/>
                    <w:jc w:val="both"/>
                    <w:rPr>
                      <w:rFonts w:ascii="Adobe Garamond Pro" w:hAnsi="Adobe Garamond Pro" w:cs="Times New Roman"/>
                      <w:i/>
                      <w:sz w:val="20"/>
                      <w:szCs w:val="20"/>
                      <w:lang w:val="hr-BA"/>
                    </w:rPr>
                  </w:pPr>
                  <w:r w:rsidRPr="006920EC">
                    <w:rPr>
                      <w:rFonts w:ascii="Adobe Garamond Pro" w:hAnsi="Adobe Garamond Pro" w:cs="Times New Roman"/>
                      <w:b/>
                      <w:i/>
                      <w:sz w:val="20"/>
                      <w:szCs w:val="20"/>
                      <w:lang w:val="hr-BA"/>
                    </w:rPr>
                    <w:t>Sažetak</w:t>
                  </w:r>
                  <w:r>
                    <w:rPr>
                      <w:rFonts w:ascii="Adobe Garamond Pro" w:hAnsi="Adobe Garamond Pro" w:cs="Times New Roman"/>
                      <w:b/>
                      <w:i/>
                      <w:sz w:val="20"/>
                      <w:szCs w:val="20"/>
                      <w:lang w:val="hr-BA"/>
                    </w:rPr>
                    <w:t xml:space="preserve"> (nastavak)</w:t>
                  </w:r>
                  <w:r w:rsidRPr="006920EC">
                    <w:rPr>
                      <w:rFonts w:ascii="Adobe Garamond Pro" w:hAnsi="Adobe Garamond Pro" w:cs="Times New Roman"/>
                      <w:b/>
                      <w:i/>
                      <w:sz w:val="20"/>
                      <w:szCs w:val="20"/>
                      <w:lang w:val="hr-BA"/>
                    </w:rPr>
                    <w:t>:</w:t>
                  </w:r>
                  <w:r w:rsidRPr="006920EC">
                    <w:rPr>
                      <w:rFonts w:ascii="Adobe Garamond Pro" w:hAnsi="Adobe Garamond Pro" w:cs="Times New Roman"/>
                      <w:i/>
                      <w:sz w:val="20"/>
                      <w:szCs w:val="20"/>
                      <w:lang w:val="hr-BA"/>
                    </w:rPr>
                    <w:t xml:space="preserve"> Ovo istraživanja će dati naznake kakvo kretanje stopa doprinosa, primarno doprinosa za PIO, se može očekivati u skoroj budućnosti. Na kraju će biti iskazana tvrdnja, koja će biti dokazivana ovim istraživanjem, iako zvuči jeretički, da povećano izdvajanje za doprinose, a naročito sadašnje, u poređenju sa drugima i niže, nije uzrok nekonkurentnosti poslovnog sektora u BiH, te da uzroke treba tražiti na drugim mjestima.</w:t>
                  </w:r>
                </w:p>
                <w:p w:rsidR="006E2929" w:rsidRDefault="006E2929" w:rsidP="006920EC">
                  <w:pPr>
                    <w:spacing w:after="0" w:line="240" w:lineRule="auto"/>
                    <w:jc w:val="both"/>
                    <w:rPr>
                      <w:rFonts w:ascii="Adobe Garamond Pro" w:hAnsi="Adobe Garamond Pro" w:cs="Times New Roman"/>
                      <w:i/>
                      <w:sz w:val="20"/>
                      <w:szCs w:val="20"/>
                      <w:lang w:val="hr-BA"/>
                    </w:rPr>
                  </w:pPr>
                </w:p>
                <w:p w:rsidR="006E2929" w:rsidRPr="006920EC" w:rsidRDefault="006E2929" w:rsidP="006920EC">
                  <w:pPr>
                    <w:spacing w:after="0" w:line="240" w:lineRule="auto"/>
                    <w:ind w:firstLine="708"/>
                    <w:jc w:val="both"/>
                    <w:rPr>
                      <w:rFonts w:ascii="Adobe Garamond Pro" w:hAnsi="Adobe Garamond Pro" w:cs="Times New Roman"/>
                      <w:i/>
                      <w:sz w:val="20"/>
                      <w:szCs w:val="20"/>
                      <w:lang w:val="hr-BA"/>
                    </w:rPr>
                  </w:pPr>
                  <w:r w:rsidRPr="006920EC">
                    <w:rPr>
                      <w:rFonts w:ascii="Adobe Garamond Pro" w:hAnsi="Adobe Garamond Pro" w:cs="Times New Roman"/>
                      <w:i/>
                      <w:sz w:val="20"/>
                      <w:szCs w:val="20"/>
                      <w:lang w:val="hr-BA"/>
                    </w:rPr>
                    <w:t>U prvom dijelu rada je objašnjen predmet istraživanja, te osnovni pojmovi, kroz uvod. U drugomom dijelu su prezentirani podaci o bruto platama, doprinosima na plate i struktura neto plata i doprinosa u oba entiteta u Bosni i Hercegovini.  U trećem dijelu su obrađeni podaci o bruto platama u zemljama u okruženju: Srbija, Hrvatska, Slovenija, Crna Gora koje imaju nasljeđen sličan sistem međugeneracijske solidarnosti iz bivše Jugoslavije, te nekoliko država „starijih“ članica EU: Francuska, Njemačka. U četvrtom dijelu su upoređeni podaci za te države i bosanskohercegovačke entitete, svedeni na istu metodologiju, te prezentirani rezultati komparacije. Na kraju istraživanja, kroz peti dio,  dati su zaključci o opterećenju bruto satnice doprinosima, kao jednom od uvjeta za konkurentnost realnog sektora.</w:t>
                  </w:r>
                </w:p>
                <w:p w:rsidR="006E2929" w:rsidRPr="006920EC" w:rsidRDefault="006E2929" w:rsidP="006920EC">
                  <w:pPr>
                    <w:spacing w:after="0" w:line="240" w:lineRule="auto"/>
                    <w:jc w:val="both"/>
                    <w:rPr>
                      <w:rFonts w:ascii="Adobe Garamond Pro" w:hAnsi="Adobe Garamond Pro"/>
                      <w:i/>
                      <w:sz w:val="20"/>
                      <w:szCs w:val="20"/>
                    </w:rPr>
                  </w:pPr>
                </w:p>
              </w:txbxContent>
            </v:textbox>
          </v:shape>
        </w:pict>
      </w:r>
    </w:p>
    <w:p w:rsidR="006920EC" w:rsidRDefault="006920EC" w:rsidP="006920EC">
      <w:pPr>
        <w:spacing w:after="0" w:line="240" w:lineRule="auto"/>
        <w:jc w:val="both"/>
        <w:rPr>
          <w:rFonts w:ascii="Adobe Garamond Pro" w:hAnsi="Adobe Garamond Pro" w:cs="Times New Roman"/>
          <w:lang w:val="bs-Latn-BA"/>
        </w:rPr>
      </w:pPr>
    </w:p>
    <w:p w:rsidR="006920EC" w:rsidRDefault="006920EC" w:rsidP="006920EC">
      <w:pPr>
        <w:spacing w:after="0" w:line="240" w:lineRule="auto"/>
        <w:jc w:val="both"/>
        <w:rPr>
          <w:rFonts w:ascii="Adobe Garamond Pro" w:hAnsi="Adobe Garamond Pro" w:cs="Times New Roman"/>
          <w:lang w:val="bs-Latn-BA"/>
        </w:rPr>
      </w:pPr>
    </w:p>
    <w:p w:rsidR="006920EC" w:rsidRDefault="006920EC" w:rsidP="006920EC">
      <w:pPr>
        <w:spacing w:after="0" w:line="240" w:lineRule="auto"/>
        <w:jc w:val="both"/>
        <w:rPr>
          <w:rFonts w:ascii="Adobe Garamond Pro" w:hAnsi="Adobe Garamond Pro" w:cs="Times New Roman"/>
          <w:lang w:val="bs-Latn-BA"/>
        </w:rPr>
      </w:pPr>
    </w:p>
    <w:p w:rsidR="006920EC" w:rsidRPr="006920EC" w:rsidRDefault="006920EC" w:rsidP="006920EC">
      <w:pPr>
        <w:rPr>
          <w:rFonts w:ascii="Adobe Garamond Pro" w:hAnsi="Adobe Garamond Pro" w:cs="Times New Roman"/>
          <w:lang w:val="bs-Latn-BA"/>
        </w:rPr>
      </w:pPr>
    </w:p>
    <w:p w:rsidR="006920EC" w:rsidRPr="006920EC" w:rsidRDefault="006920EC" w:rsidP="006920EC">
      <w:pPr>
        <w:rPr>
          <w:rFonts w:ascii="Adobe Garamond Pro" w:hAnsi="Adobe Garamond Pro" w:cs="Times New Roman"/>
          <w:lang w:val="bs-Latn-BA"/>
        </w:rPr>
      </w:pPr>
    </w:p>
    <w:p w:rsidR="006920EC" w:rsidRPr="006920EC" w:rsidRDefault="006920EC" w:rsidP="006920EC">
      <w:pPr>
        <w:rPr>
          <w:rFonts w:ascii="Adobe Garamond Pro" w:hAnsi="Adobe Garamond Pro" w:cs="Times New Roman"/>
          <w:lang w:val="bs-Latn-BA"/>
        </w:rPr>
      </w:pPr>
    </w:p>
    <w:p w:rsidR="006920EC" w:rsidRPr="006920EC" w:rsidRDefault="006920EC" w:rsidP="006920EC">
      <w:pPr>
        <w:rPr>
          <w:rFonts w:ascii="Adobe Garamond Pro" w:hAnsi="Adobe Garamond Pro" w:cs="Times New Roman"/>
          <w:lang w:val="bs-Latn-BA"/>
        </w:rPr>
      </w:pPr>
    </w:p>
    <w:p w:rsidR="006920EC" w:rsidRDefault="006920EC" w:rsidP="006920EC">
      <w:pPr>
        <w:rPr>
          <w:rFonts w:ascii="Adobe Garamond Pro" w:hAnsi="Adobe Garamond Pro" w:cs="Times New Roman"/>
          <w:lang w:val="bs-Latn-BA"/>
        </w:rPr>
      </w:pPr>
    </w:p>
    <w:p w:rsidR="002D2430" w:rsidRDefault="002D2430" w:rsidP="006920EC">
      <w:pPr>
        <w:rPr>
          <w:rFonts w:ascii="Adobe Garamond Pro" w:hAnsi="Adobe Garamond Pro" w:cs="Times New Roman"/>
          <w:lang w:val="bs-Latn-BA"/>
        </w:rPr>
      </w:pPr>
    </w:p>
    <w:p w:rsidR="006920EC" w:rsidRDefault="009A5A6C" w:rsidP="006920EC">
      <w:pPr>
        <w:rPr>
          <w:rFonts w:ascii="Adobe Garamond Pro" w:hAnsi="Adobe Garamond Pro" w:cs="Times New Roman"/>
          <w:lang w:val="bs-Latn-BA"/>
        </w:rPr>
      </w:pPr>
      <w:r>
        <w:rPr>
          <w:rFonts w:ascii="Adobe Garamond Pro" w:hAnsi="Adobe Garamond Pro" w:cs="Times New Roman"/>
          <w:noProof/>
          <w:lang w:val="bs-Latn-BA" w:eastAsia="bs-Latn-BA"/>
        </w:rPr>
        <w:pict>
          <v:rect id="_x0000_s1041" style="position:absolute;margin-left:-104.6pt;margin-top:2.7pt;width:441.7pt;height:348.4pt;z-index:-251653120" fillcolor="#f2f2f2 [3052]" stroked="f"/>
        </w:pict>
      </w:r>
      <w:r>
        <w:rPr>
          <w:rFonts w:ascii="Adobe Garamond Pro" w:hAnsi="Adobe Garamond Pro" w:cs="Times New Roman"/>
          <w:noProof/>
          <w:lang w:val="bs-Latn-BA" w:eastAsia="bs-Latn-BA"/>
        </w:rPr>
        <w:pict>
          <v:shape id="_x0000_s1040" type="#_x0000_t202" style="position:absolute;margin-left:-13.8pt;margin-top:2.7pt;width:350.9pt;height:492.5pt;z-index:251662336;mso-width-relative:margin;mso-height-relative:margin" filled="f" stroked="f">
            <v:textbox style="mso-next-textbox:#_x0000_s1040">
              <w:txbxContent>
                <w:p w:rsidR="006E2929" w:rsidRPr="006920EC" w:rsidRDefault="006E2929" w:rsidP="006920EC">
                  <w:pPr>
                    <w:jc w:val="both"/>
                    <w:rPr>
                      <w:rFonts w:ascii="Adobe Garamond Pro" w:hAnsi="Adobe Garamond Pro" w:cs="Times New Roman"/>
                      <w:i/>
                      <w:sz w:val="20"/>
                      <w:szCs w:val="20"/>
                      <w:lang w:val="en-US"/>
                    </w:rPr>
                  </w:pPr>
                  <w:r w:rsidRPr="006920EC">
                    <w:rPr>
                      <w:rFonts w:ascii="Adobe Garamond Pro" w:hAnsi="Adobe Garamond Pro" w:cs="Times New Roman"/>
                      <w:b/>
                      <w:i/>
                      <w:sz w:val="20"/>
                      <w:szCs w:val="20"/>
                      <w:lang w:val="en-US"/>
                    </w:rPr>
                    <w:t>Abstract:</w:t>
                  </w:r>
                  <w:r w:rsidRPr="006920EC">
                    <w:rPr>
                      <w:rFonts w:ascii="Adobe Garamond Pro" w:hAnsi="Adobe Garamond Pro" w:cs="Times New Roman"/>
                      <w:i/>
                      <w:sz w:val="20"/>
                      <w:szCs w:val="20"/>
                      <w:lang w:val="en-US"/>
                    </w:rPr>
                    <w:t xml:space="preserve"> In our country, Bosnia and Herzegovina, as a result of Constitution adopted by Dayton Peace Agreement, pension and disability insurance is since 1996 conducted by two organs: FZ MIO/PIO in FB&amp;H (Federal Pension and Disability Insurance Institute of Federation Bosnia and Herzegovina), and Fond PIO RS in RS (Pension and Disability Insurance Fund of Republic Srpska). This solution, of course, was not a result of rationality and functionality, but rather of political compromise. In the meantime, that solution has come to life and functions in the manner well known to the general public. During that entire period, fiscal policy regulations in entities developed in different and non-harmonized directions, which means varying levels and structures of contributions to and from salaries. However, the mutual thing is that contribution rates remained relatively low, especially in Republic Srpska, due to the pressure of non-competitiveness of the business sector and “out of the sleeve” diagnosis about contribution burdens as the biggest, and according to some, the only, cause of such non-competitiveness. The intention of this paper is to present, primarily to economists, but also to others who impact creation of economic environment in Bosnia and Herzegovina, especially creation of tax policy, exact information about gross salary burdens with contributions and other benefits to and from salaries, which in some legal systems, in neighbor countries and some countries of the EU, have a different name.</w:t>
                  </w:r>
                  <w:r>
                    <w:rPr>
                      <w:rFonts w:ascii="Adobe Garamond Pro" w:hAnsi="Adobe Garamond Pro" w:cs="Times New Roman"/>
                      <w:i/>
                      <w:sz w:val="20"/>
                      <w:szCs w:val="20"/>
                      <w:lang w:val="en-US"/>
                    </w:rPr>
                    <w:t xml:space="preserve"> </w:t>
                  </w:r>
                  <w:r w:rsidRPr="006920EC">
                    <w:rPr>
                      <w:rFonts w:ascii="Adobe Garamond Pro" w:hAnsi="Adobe Garamond Pro" w:cs="Times New Roman"/>
                      <w:i/>
                      <w:sz w:val="20"/>
                      <w:szCs w:val="20"/>
                      <w:lang w:val="en-US"/>
                    </w:rPr>
                    <w:t xml:space="preserve">Social insurance systems, especially health insurance systems, vary significantly in different European countries. The differences between Anglo-Saxon and other systems are so great that the first will not be used for comparative purposes at all, because a separate paper would be needed just to explain the differences and genesis of those differences, which is not the purpose of this paper. </w:t>
                  </w:r>
                  <w:r>
                    <w:rPr>
                      <w:rFonts w:ascii="Adobe Garamond Pro" w:hAnsi="Adobe Garamond Pro" w:cs="Times New Roman"/>
                      <w:i/>
                      <w:sz w:val="20"/>
                      <w:szCs w:val="20"/>
                      <w:lang w:val="en-US"/>
                    </w:rPr>
                    <w:t xml:space="preserve"> </w:t>
                  </w:r>
                </w:p>
              </w:txbxContent>
            </v:textbox>
          </v:shape>
        </w:pict>
      </w:r>
      <w:r>
        <w:rPr>
          <w:rFonts w:ascii="Adobe Garamond Pro" w:hAnsi="Adobe Garamond Pro" w:cs="Times New Roman"/>
          <w:noProof/>
          <w:lang w:val="bs-Latn-BA" w:eastAsia="bs-Latn-BA"/>
        </w:rPr>
        <w:pict>
          <v:shape id="_x0000_s1039" type="#_x0000_t202" style="position:absolute;margin-left:336.5pt;margin-top:2.3pt;width:80.3pt;height:249.2pt;z-index:251661312;mso-width-relative:margin;mso-height-relative:margin" stroked="f" strokecolor="white [3212]">
            <v:textbox style="mso-next-textbox:#_x0000_s1039">
              <w:txbxContent>
                <w:p w:rsidR="006E2929" w:rsidRPr="0080798D" w:rsidRDefault="006E2929" w:rsidP="006920EC">
                  <w:pPr>
                    <w:spacing w:after="0" w:line="240" w:lineRule="auto"/>
                    <w:rPr>
                      <w:rFonts w:ascii="Adobe Garamond Pro" w:hAnsi="Adobe Garamond Pro"/>
                      <w:i/>
                      <w:sz w:val="20"/>
                      <w:szCs w:val="20"/>
                    </w:rPr>
                  </w:pPr>
                  <w:r w:rsidRPr="0080798D">
                    <w:rPr>
                      <w:rFonts w:ascii="Adobe Garamond Pro" w:hAnsi="Adobe Garamond Pro"/>
                      <w:b/>
                      <w:i/>
                      <w:sz w:val="20"/>
                      <w:szCs w:val="20"/>
                    </w:rPr>
                    <w:t xml:space="preserve">Keywords: </w:t>
                  </w:r>
                  <w:r w:rsidRPr="0080798D">
                    <w:rPr>
                      <w:rFonts w:ascii="Adobe Garamond Pro" w:eastAsia="Times New Roman" w:hAnsi="Adobe Garamond Pro"/>
                      <w:i/>
                      <w:sz w:val="20"/>
                      <w:szCs w:val="20"/>
                      <w:lang w:eastAsia="hr-HR"/>
                    </w:rPr>
                    <w:t>pension system, intergenerational solidarity, contributions on wages, GDP, real sector, health system, budget, income tax.</w:t>
                  </w:r>
                </w:p>
                <w:p w:rsidR="006E2929" w:rsidRPr="0080798D" w:rsidRDefault="006E2929" w:rsidP="006920EC">
                  <w:pPr>
                    <w:spacing w:after="0" w:line="240" w:lineRule="auto"/>
                    <w:rPr>
                      <w:rFonts w:ascii="Adobe Garamond Pro" w:hAnsi="Adobe Garamond Pro"/>
                      <w:i/>
                      <w:sz w:val="20"/>
                      <w:szCs w:val="20"/>
                    </w:rPr>
                  </w:pPr>
                </w:p>
              </w:txbxContent>
            </v:textbox>
          </v:shape>
        </w:pict>
      </w:r>
    </w:p>
    <w:p w:rsidR="0080798D" w:rsidRDefault="0080798D" w:rsidP="006920EC">
      <w:pPr>
        <w:rPr>
          <w:rFonts w:ascii="Adobe Garamond Pro" w:hAnsi="Adobe Garamond Pro" w:cs="Times New Roman"/>
          <w:lang w:val="bs-Latn-BA"/>
        </w:rPr>
      </w:pPr>
    </w:p>
    <w:p w:rsidR="0080798D" w:rsidRPr="0080798D" w:rsidRDefault="0080798D" w:rsidP="0080798D">
      <w:pPr>
        <w:rPr>
          <w:rFonts w:ascii="Adobe Garamond Pro" w:hAnsi="Adobe Garamond Pro" w:cs="Times New Roman"/>
          <w:lang w:val="bs-Latn-BA"/>
        </w:rPr>
      </w:pPr>
    </w:p>
    <w:p w:rsidR="0080798D" w:rsidRPr="0080798D" w:rsidRDefault="0080798D" w:rsidP="0080798D">
      <w:pPr>
        <w:rPr>
          <w:rFonts w:ascii="Adobe Garamond Pro" w:hAnsi="Adobe Garamond Pro" w:cs="Times New Roman"/>
          <w:lang w:val="bs-Latn-BA"/>
        </w:rPr>
      </w:pPr>
    </w:p>
    <w:p w:rsidR="0080798D" w:rsidRPr="0080798D" w:rsidRDefault="0080798D" w:rsidP="0080798D">
      <w:pPr>
        <w:rPr>
          <w:rFonts w:ascii="Adobe Garamond Pro" w:hAnsi="Adobe Garamond Pro" w:cs="Times New Roman"/>
          <w:lang w:val="bs-Latn-BA"/>
        </w:rPr>
      </w:pPr>
    </w:p>
    <w:p w:rsidR="0080798D" w:rsidRPr="0080798D" w:rsidRDefault="0080798D" w:rsidP="0080798D">
      <w:pPr>
        <w:rPr>
          <w:rFonts w:ascii="Adobe Garamond Pro" w:hAnsi="Adobe Garamond Pro" w:cs="Times New Roman"/>
          <w:lang w:val="bs-Latn-BA"/>
        </w:rPr>
      </w:pPr>
    </w:p>
    <w:p w:rsidR="0080798D" w:rsidRPr="0080798D" w:rsidRDefault="0080798D" w:rsidP="0080798D">
      <w:pPr>
        <w:rPr>
          <w:rFonts w:ascii="Adobe Garamond Pro" w:hAnsi="Adobe Garamond Pro" w:cs="Times New Roman"/>
          <w:lang w:val="bs-Latn-BA"/>
        </w:rPr>
      </w:pPr>
    </w:p>
    <w:p w:rsidR="0080798D" w:rsidRPr="0080798D" w:rsidRDefault="0080798D" w:rsidP="0080798D">
      <w:pPr>
        <w:rPr>
          <w:rFonts w:ascii="Adobe Garamond Pro" w:hAnsi="Adobe Garamond Pro" w:cs="Times New Roman"/>
          <w:lang w:val="bs-Latn-BA"/>
        </w:rPr>
      </w:pPr>
    </w:p>
    <w:p w:rsidR="0080798D" w:rsidRPr="0080798D" w:rsidRDefault="0080798D" w:rsidP="0080798D">
      <w:pPr>
        <w:rPr>
          <w:rFonts w:ascii="Adobe Garamond Pro" w:hAnsi="Adobe Garamond Pro" w:cs="Times New Roman"/>
          <w:lang w:val="bs-Latn-BA"/>
        </w:rPr>
      </w:pPr>
    </w:p>
    <w:p w:rsidR="0080798D" w:rsidRDefault="0080798D" w:rsidP="0080798D">
      <w:pPr>
        <w:rPr>
          <w:rFonts w:ascii="Adobe Garamond Pro" w:hAnsi="Adobe Garamond Pro" w:cs="Times New Roman"/>
          <w:lang w:val="bs-Latn-BA"/>
        </w:rPr>
      </w:pPr>
    </w:p>
    <w:p w:rsidR="0080798D" w:rsidRDefault="0080798D">
      <w:pPr>
        <w:rPr>
          <w:rFonts w:ascii="Adobe Garamond Pro" w:hAnsi="Adobe Garamond Pro" w:cs="Times New Roman"/>
          <w:lang w:val="bs-Latn-BA"/>
        </w:rPr>
      </w:pPr>
      <w:r>
        <w:rPr>
          <w:rFonts w:ascii="Adobe Garamond Pro" w:hAnsi="Adobe Garamond Pro" w:cs="Times New Roman"/>
          <w:lang w:val="bs-Latn-BA"/>
        </w:rPr>
        <w:br w:type="page"/>
      </w:r>
    </w:p>
    <w:p w:rsidR="0080798D" w:rsidRDefault="009A5A6C" w:rsidP="0080798D">
      <w:pPr>
        <w:rPr>
          <w:rFonts w:ascii="Adobe Garamond Pro" w:hAnsi="Adobe Garamond Pro" w:cs="Times New Roman"/>
          <w:lang w:val="bs-Latn-BA"/>
        </w:rPr>
      </w:pPr>
      <w:r>
        <w:rPr>
          <w:rFonts w:ascii="Adobe Garamond Pro" w:hAnsi="Adobe Garamond Pro" w:cs="Times New Roman"/>
          <w:noProof/>
          <w:lang w:val="bs-Latn-BA" w:eastAsia="bs-Latn-BA"/>
        </w:rPr>
        <w:lastRenderedPageBreak/>
        <w:pict>
          <v:rect id="_x0000_s1043" style="position:absolute;margin-left:-97.45pt;margin-top:10.45pt;width:441.7pt;height:484.5pt;z-index:-251651072" fillcolor="#f2f2f2 [3052]" stroked="f"/>
        </w:pict>
      </w:r>
      <w:r>
        <w:rPr>
          <w:rFonts w:ascii="Adobe Garamond Pro" w:hAnsi="Adobe Garamond Pro" w:cs="Times New Roman"/>
          <w:noProof/>
          <w:lang w:val="bs-Latn-BA" w:eastAsia="bs-Latn-BA"/>
        </w:rPr>
        <w:pict>
          <v:shape id="_x0000_s1042" type="#_x0000_t202" style="position:absolute;margin-left:-6.65pt;margin-top:10.45pt;width:350.9pt;height:658.45pt;z-index:251664384;mso-width-relative:margin;mso-height-relative:margin" filled="f" stroked="f">
            <v:textbox style="mso-next-textbox:#_x0000_s1042">
              <w:txbxContent>
                <w:p w:rsidR="006E2929" w:rsidRPr="0080798D" w:rsidRDefault="006E2929" w:rsidP="0080798D">
                  <w:pPr>
                    <w:spacing w:after="0" w:line="240" w:lineRule="auto"/>
                    <w:jc w:val="both"/>
                    <w:rPr>
                      <w:rFonts w:ascii="Adobe Garamond Pro" w:hAnsi="Adobe Garamond Pro" w:cs="Times New Roman"/>
                      <w:i/>
                      <w:sz w:val="20"/>
                      <w:szCs w:val="20"/>
                      <w:lang w:val="en-US"/>
                    </w:rPr>
                  </w:pPr>
                  <w:r w:rsidRPr="0080798D">
                    <w:rPr>
                      <w:rFonts w:ascii="Adobe Garamond Pro" w:hAnsi="Adobe Garamond Pro" w:cs="Times New Roman"/>
                      <w:b/>
                      <w:i/>
                      <w:sz w:val="20"/>
                      <w:szCs w:val="20"/>
                      <w:lang w:val="en-US"/>
                    </w:rPr>
                    <w:t>Abstract (continue):</w:t>
                  </w:r>
                  <w:r w:rsidRPr="0080798D">
                    <w:rPr>
                      <w:rFonts w:ascii="Adobe Garamond Pro" w:hAnsi="Adobe Garamond Pro" w:cs="Times New Roman"/>
                      <w:i/>
                      <w:sz w:val="20"/>
                      <w:szCs w:val="20"/>
                      <w:lang w:val="en-US"/>
                    </w:rPr>
                    <w:t xml:space="preserve"> The differences of the pension insurance system in “Old Europe” and countries in transition, primarily in Southeast Europe, amount to two: </w:t>
                  </w:r>
                </w:p>
                <w:p w:rsidR="006E2929" w:rsidRPr="0080798D" w:rsidRDefault="006E2929" w:rsidP="00616109">
                  <w:pPr>
                    <w:pStyle w:val="ListParagraph"/>
                    <w:numPr>
                      <w:ilvl w:val="0"/>
                      <w:numId w:val="3"/>
                    </w:numPr>
                    <w:spacing w:after="0" w:line="240" w:lineRule="auto"/>
                    <w:jc w:val="both"/>
                    <w:rPr>
                      <w:rFonts w:ascii="Adobe Garamond Pro" w:hAnsi="Adobe Garamond Pro" w:cs="Times New Roman"/>
                      <w:i/>
                      <w:sz w:val="20"/>
                      <w:szCs w:val="20"/>
                      <w:lang w:val="en-US"/>
                    </w:rPr>
                  </w:pPr>
                  <w:r w:rsidRPr="0080798D">
                    <w:rPr>
                      <w:rFonts w:ascii="Adobe Garamond Pro" w:hAnsi="Adobe Garamond Pro" w:cs="Times New Roman"/>
                      <w:i/>
                      <w:sz w:val="20"/>
                      <w:szCs w:val="20"/>
                      <w:lang w:val="en-US"/>
                    </w:rPr>
                    <w:t xml:space="preserve">some countries have partially shifted to the capitalization contribution system, while others are entirely in the intergenerational solidarity system, </w:t>
                  </w:r>
                </w:p>
                <w:p w:rsidR="006E2929" w:rsidRDefault="006E2929" w:rsidP="00616109">
                  <w:pPr>
                    <w:pStyle w:val="ListParagraph"/>
                    <w:numPr>
                      <w:ilvl w:val="0"/>
                      <w:numId w:val="3"/>
                    </w:numPr>
                    <w:spacing w:after="0" w:line="240" w:lineRule="auto"/>
                    <w:jc w:val="both"/>
                    <w:rPr>
                      <w:rFonts w:ascii="Adobe Garamond Pro" w:hAnsi="Adobe Garamond Pro" w:cs="Times New Roman"/>
                      <w:i/>
                      <w:sz w:val="20"/>
                      <w:szCs w:val="20"/>
                      <w:lang w:val="en-US"/>
                    </w:rPr>
                  </w:pPr>
                  <w:r w:rsidRPr="0080798D">
                    <w:rPr>
                      <w:rFonts w:ascii="Adobe Garamond Pro" w:hAnsi="Adobe Garamond Pro" w:cs="Times New Roman"/>
                      <w:i/>
                      <w:sz w:val="20"/>
                      <w:szCs w:val="20"/>
                      <w:lang w:val="en-US"/>
                    </w:rPr>
                    <w:t xml:space="preserve">almost every country has a different level of support to financing pensions out of the budget, ie. tax income. </w:t>
                  </w:r>
                </w:p>
                <w:p w:rsidR="006E2929" w:rsidRPr="0080798D" w:rsidRDefault="006E2929" w:rsidP="00616109">
                  <w:pPr>
                    <w:pStyle w:val="ListParagraph"/>
                    <w:numPr>
                      <w:ilvl w:val="0"/>
                      <w:numId w:val="3"/>
                    </w:numPr>
                    <w:spacing w:after="0" w:line="240" w:lineRule="auto"/>
                    <w:jc w:val="both"/>
                    <w:rPr>
                      <w:rFonts w:ascii="Adobe Garamond Pro" w:hAnsi="Adobe Garamond Pro" w:cs="Times New Roman"/>
                      <w:i/>
                      <w:sz w:val="20"/>
                      <w:szCs w:val="20"/>
                      <w:lang w:val="en-US"/>
                    </w:rPr>
                  </w:pPr>
                </w:p>
                <w:p w:rsidR="006E2929" w:rsidRDefault="006E2929" w:rsidP="0080798D">
                  <w:pPr>
                    <w:spacing w:after="0" w:line="240" w:lineRule="auto"/>
                    <w:jc w:val="both"/>
                    <w:rPr>
                      <w:rFonts w:ascii="Adobe Garamond Pro" w:hAnsi="Adobe Garamond Pro" w:cs="Times New Roman"/>
                      <w:i/>
                      <w:sz w:val="20"/>
                      <w:szCs w:val="20"/>
                      <w:lang w:val="en-US"/>
                    </w:rPr>
                  </w:pPr>
                  <w:r w:rsidRPr="0080798D">
                    <w:rPr>
                      <w:rFonts w:ascii="Adobe Garamond Pro" w:hAnsi="Adobe Garamond Pro" w:cs="Times New Roman"/>
                      <w:i/>
                      <w:sz w:val="20"/>
                      <w:szCs w:val="20"/>
                      <w:lang w:val="en-US"/>
                    </w:rPr>
                    <w:t>The last part will attempt to “level out” these differences in order to see the whole picture of salary burden with pension and disability insurance contributions. Differences in health insurance are in systems of various countries much bigger, so much that financial indicators are almost non-comparable. All those differences are a result of a different level of voluntary health insurance and mandatory health protection. Essentially, these differences are in line with differences in development level. When comparing salary-wage burdens with taxes and contributions for countries borne out of ex-Yugoslavia, information will be comparable for total contributions, while for “old” countries of EU, explanations will be given with comparisons.</w:t>
                  </w:r>
                </w:p>
                <w:p w:rsidR="006E2929" w:rsidRPr="0080798D" w:rsidRDefault="006E2929" w:rsidP="0080798D">
                  <w:pPr>
                    <w:spacing w:after="0" w:line="240" w:lineRule="auto"/>
                    <w:jc w:val="both"/>
                    <w:rPr>
                      <w:rFonts w:ascii="Adobe Garamond Pro" w:hAnsi="Adobe Garamond Pro" w:cs="Times New Roman"/>
                      <w:i/>
                      <w:sz w:val="20"/>
                      <w:szCs w:val="20"/>
                      <w:lang w:val="en-US"/>
                    </w:rPr>
                  </w:pPr>
                </w:p>
                <w:p w:rsidR="006E2929" w:rsidRDefault="006E2929" w:rsidP="0080798D">
                  <w:pPr>
                    <w:spacing w:after="0" w:line="240" w:lineRule="auto"/>
                    <w:ind w:firstLine="708"/>
                    <w:jc w:val="both"/>
                    <w:rPr>
                      <w:rFonts w:ascii="Adobe Garamond Pro" w:hAnsi="Adobe Garamond Pro" w:cs="Times New Roman"/>
                      <w:i/>
                      <w:sz w:val="20"/>
                      <w:szCs w:val="20"/>
                      <w:lang w:val="en-US"/>
                    </w:rPr>
                  </w:pPr>
                  <w:r w:rsidRPr="0080798D">
                    <w:rPr>
                      <w:rFonts w:ascii="Adobe Garamond Pro" w:hAnsi="Adobe Garamond Pro" w:cs="Times New Roman"/>
                      <w:i/>
                      <w:sz w:val="20"/>
                      <w:szCs w:val="20"/>
                      <w:lang w:val="en-US"/>
                    </w:rPr>
                    <w:t xml:space="preserve">The purpose of this research is to eliminate, or attempt to eliminate, the misconception that the level of salary contribution rate is the primary, and according to some, the only cause of non-competitiveness of Bosnian business sector in the Global market. This research will give indication to what movement of contribution rates, primarily pension and disability insurance contribution, can be expected in the near future. At the end, although it sounds heretic, a statement proved by this research will be given, that increased rates for contributions, especially current, which are lower compared to others, are not the cause of non-competitiveness of the business sector in Bosnia and Herzegovina, and that causes should be sought in other places. </w:t>
                  </w:r>
                </w:p>
                <w:p w:rsidR="006E2929" w:rsidRPr="0080798D" w:rsidRDefault="006E2929" w:rsidP="0080798D">
                  <w:pPr>
                    <w:spacing w:after="0" w:line="240" w:lineRule="auto"/>
                    <w:ind w:firstLine="708"/>
                    <w:jc w:val="both"/>
                    <w:rPr>
                      <w:rFonts w:ascii="Adobe Garamond Pro" w:hAnsi="Adobe Garamond Pro" w:cs="Times New Roman"/>
                      <w:i/>
                      <w:sz w:val="20"/>
                      <w:szCs w:val="20"/>
                      <w:lang w:val="en-US"/>
                    </w:rPr>
                  </w:pPr>
                </w:p>
                <w:p w:rsidR="006E2929" w:rsidRPr="0080798D" w:rsidRDefault="006E2929" w:rsidP="0080798D">
                  <w:pPr>
                    <w:spacing w:after="0" w:line="240" w:lineRule="auto"/>
                    <w:jc w:val="both"/>
                    <w:rPr>
                      <w:rFonts w:ascii="Adobe Garamond Pro" w:hAnsi="Adobe Garamond Pro" w:cs="Times New Roman"/>
                      <w:i/>
                      <w:sz w:val="20"/>
                      <w:szCs w:val="20"/>
                      <w:lang w:val="en-US"/>
                    </w:rPr>
                  </w:pPr>
                  <w:r w:rsidRPr="0080798D">
                    <w:rPr>
                      <w:rFonts w:ascii="Adobe Garamond Pro" w:hAnsi="Adobe Garamond Pro" w:cs="Times New Roman"/>
                      <w:i/>
                      <w:sz w:val="20"/>
                      <w:szCs w:val="20"/>
                      <w:lang w:val="en-US"/>
                    </w:rPr>
                    <w:t xml:space="preserve">The first part, introduction, explains the research topic and basic terms. The second part presents data about gross salaries, contributions to salaries and the structure of net salaries and contributions in both entities in Bosnia and Herzegovina. The third part elaborates on gross salaries in neighbor countries: Serbia, Croatia, Slovenia, Monte Negro, which implement the similar </w:t>
                  </w:r>
                  <w:r w:rsidRPr="0080798D">
                    <w:rPr>
                      <w:rFonts w:ascii="Adobe Garamond Pro" w:eastAsia="Times New Roman" w:hAnsi="Adobe Garamond Pro"/>
                      <w:i/>
                      <w:sz w:val="20"/>
                      <w:szCs w:val="20"/>
                      <w:lang w:val="en-US" w:eastAsia="hr-HR"/>
                    </w:rPr>
                    <w:t>intergenerational solidarity</w:t>
                  </w:r>
                  <w:r w:rsidRPr="0080798D">
                    <w:rPr>
                      <w:rFonts w:ascii="Adobe Garamond Pro" w:hAnsi="Adobe Garamond Pro" w:cs="Times New Roman"/>
                      <w:i/>
                      <w:sz w:val="20"/>
                      <w:szCs w:val="20"/>
                      <w:lang w:val="en-US"/>
                    </w:rPr>
                    <w:t xml:space="preserve"> system, inherited from ex-Yugoslavia, and a couple of “older” member countries of EU: France and Germany. The fourth part compares data for those countries and Bosnian entities, using the same methodology, and presents the comparison results. At the end of research, through the fifth part, conclusions are given about gross wage burdens by contributions, as one of conditions for real sector competitiveness. </w:t>
                  </w:r>
                </w:p>
                <w:p w:rsidR="006E2929" w:rsidRPr="0080798D" w:rsidRDefault="006E2929" w:rsidP="0080798D">
                  <w:pPr>
                    <w:spacing w:after="0" w:line="240" w:lineRule="auto"/>
                    <w:jc w:val="both"/>
                    <w:rPr>
                      <w:rFonts w:ascii="Adobe Garamond Pro" w:hAnsi="Adobe Garamond Pro" w:cs="Times New Roman"/>
                      <w:i/>
                      <w:sz w:val="20"/>
                      <w:szCs w:val="20"/>
                      <w:lang w:val="en-US"/>
                    </w:rPr>
                  </w:pPr>
                </w:p>
              </w:txbxContent>
            </v:textbox>
          </v:shape>
        </w:pict>
      </w:r>
    </w:p>
    <w:p w:rsidR="0080798D" w:rsidRPr="0080798D" w:rsidRDefault="0080798D" w:rsidP="0080798D">
      <w:pPr>
        <w:rPr>
          <w:rFonts w:ascii="Adobe Garamond Pro" w:hAnsi="Adobe Garamond Pro" w:cs="Times New Roman"/>
          <w:lang w:val="bs-Latn-BA"/>
        </w:rPr>
      </w:pPr>
    </w:p>
    <w:p w:rsidR="0080798D" w:rsidRPr="0080798D" w:rsidRDefault="0080798D" w:rsidP="0080798D">
      <w:pPr>
        <w:rPr>
          <w:rFonts w:ascii="Adobe Garamond Pro" w:hAnsi="Adobe Garamond Pro" w:cs="Times New Roman"/>
          <w:lang w:val="bs-Latn-BA"/>
        </w:rPr>
      </w:pPr>
    </w:p>
    <w:p w:rsidR="0080798D" w:rsidRPr="0080798D" w:rsidRDefault="0080798D" w:rsidP="0080798D">
      <w:pPr>
        <w:rPr>
          <w:rFonts w:ascii="Adobe Garamond Pro" w:hAnsi="Adobe Garamond Pro" w:cs="Times New Roman"/>
          <w:lang w:val="bs-Latn-BA"/>
        </w:rPr>
      </w:pPr>
    </w:p>
    <w:p w:rsidR="0080798D" w:rsidRPr="0080798D" w:rsidRDefault="0080798D" w:rsidP="0080798D">
      <w:pPr>
        <w:rPr>
          <w:rFonts w:ascii="Adobe Garamond Pro" w:hAnsi="Adobe Garamond Pro" w:cs="Times New Roman"/>
          <w:lang w:val="bs-Latn-BA"/>
        </w:rPr>
      </w:pPr>
    </w:p>
    <w:p w:rsidR="0080798D" w:rsidRPr="0080798D" w:rsidRDefault="0080798D" w:rsidP="0080798D">
      <w:pPr>
        <w:rPr>
          <w:rFonts w:ascii="Adobe Garamond Pro" w:hAnsi="Adobe Garamond Pro" w:cs="Times New Roman"/>
          <w:lang w:val="bs-Latn-BA"/>
        </w:rPr>
      </w:pPr>
    </w:p>
    <w:p w:rsidR="0080798D" w:rsidRPr="0080798D" w:rsidRDefault="0080798D" w:rsidP="0080798D">
      <w:pPr>
        <w:rPr>
          <w:rFonts w:ascii="Adobe Garamond Pro" w:hAnsi="Adobe Garamond Pro" w:cs="Times New Roman"/>
          <w:lang w:val="bs-Latn-BA"/>
        </w:rPr>
      </w:pPr>
    </w:p>
    <w:p w:rsidR="0080798D" w:rsidRDefault="0080798D" w:rsidP="0080798D">
      <w:pPr>
        <w:rPr>
          <w:rFonts w:ascii="Adobe Garamond Pro" w:hAnsi="Adobe Garamond Pro" w:cs="Times New Roman"/>
          <w:lang w:val="bs-Latn-BA"/>
        </w:rPr>
      </w:pPr>
    </w:p>
    <w:p w:rsidR="0080798D" w:rsidRDefault="0080798D">
      <w:pPr>
        <w:rPr>
          <w:rFonts w:ascii="Adobe Garamond Pro" w:hAnsi="Adobe Garamond Pro" w:cs="Times New Roman"/>
          <w:lang w:val="bs-Latn-BA"/>
        </w:rPr>
      </w:pPr>
      <w:r>
        <w:rPr>
          <w:rFonts w:ascii="Adobe Garamond Pro" w:hAnsi="Adobe Garamond Pro" w:cs="Times New Roman"/>
          <w:lang w:val="bs-Latn-BA"/>
        </w:rPr>
        <w:br w:type="page"/>
      </w:r>
    </w:p>
    <w:p w:rsidR="00881891" w:rsidRDefault="00881891" w:rsidP="00881891">
      <w:pPr>
        <w:spacing w:after="0" w:line="240" w:lineRule="auto"/>
        <w:rPr>
          <w:rFonts w:ascii="Adobe Garamond Pro" w:hAnsi="Adobe Garamond Pro" w:cs="Times New Roman"/>
          <w:b/>
        </w:rPr>
      </w:pPr>
      <w:r w:rsidRPr="00881891">
        <w:rPr>
          <w:rFonts w:ascii="Adobe Garamond Pro" w:hAnsi="Adobe Garamond Pro" w:cs="Times New Roman"/>
          <w:b/>
        </w:rPr>
        <w:lastRenderedPageBreak/>
        <w:t>UVOD</w:t>
      </w:r>
    </w:p>
    <w:p w:rsidR="00881891" w:rsidRPr="00881891" w:rsidRDefault="00881891" w:rsidP="00881891">
      <w:pPr>
        <w:spacing w:after="0" w:line="240" w:lineRule="auto"/>
        <w:rPr>
          <w:rFonts w:ascii="Adobe Garamond Pro" w:hAnsi="Adobe Garamond Pro" w:cs="Times New Roman"/>
          <w:b/>
        </w:rPr>
      </w:pPr>
    </w:p>
    <w:p w:rsidR="00881891" w:rsidRDefault="00881891" w:rsidP="00881891">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881891">
        <w:rPr>
          <w:rFonts w:ascii="Adobe Garamond Pro" w:hAnsi="Adobe Garamond Pro" w:cs="Times New Roman"/>
          <w:sz w:val="20"/>
          <w:szCs w:val="20"/>
        </w:rPr>
        <w:t>U Bosni i Hercegovini je, kao i svim evropskim državama, te u većini svjetskih, penzijski sistem utemeljen na principu međugeneracijske solidarnosti. Taj sistem se kolokvijalno zove „Pay as you go“ i njegov nastanak se veže za njemačkog kancelara iz 19. vijeka Otto von Bismarka, u vrijeme čije vlasti su izgrađene institucija države koje su od, do tada feudalnih dijelova, napravile jaku i organiziranu državu Njemačku, među kojima je i začetak  penzijskog osiguranja. Temeljni princip sistema međugeneracijske solidarnosti je da generacija koja radi, plaćanjem doprinosa za PIO, izdržava generaciju kojoj je istekao radni vijek, bilo zbog starosti bilo zbog invalidnosti.</w:t>
      </w:r>
    </w:p>
    <w:p w:rsidR="00881891" w:rsidRPr="00881891" w:rsidRDefault="00881891" w:rsidP="00881891">
      <w:pPr>
        <w:spacing w:after="0" w:line="240" w:lineRule="auto"/>
        <w:jc w:val="both"/>
        <w:rPr>
          <w:rFonts w:ascii="Adobe Garamond Pro" w:hAnsi="Adobe Garamond Pro" w:cs="Times New Roman"/>
          <w:sz w:val="20"/>
          <w:szCs w:val="20"/>
        </w:rPr>
      </w:pPr>
    </w:p>
    <w:p w:rsidR="00881891" w:rsidRPr="00881891" w:rsidRDefault="00881891" w:rsidP="00881891">
      <w:pPr>
        <w:spacing w:after="0" w:line="240" w:lineRule="auto"/>
        <w:ind w:firstLine="567"/>
        <w:jc w:val="both"/>
        <w:rPr>
          <w:rFonts w:ascii="Adobe Garamond Pro" w:hAnsi="Adobe Garamond Pro" w:cs="Times New Roman"/>
          <w:sz w:val="20"/>
          <w:szCs w:val="20"/>
        </w:rPr>
      </w:pPr>
      <w:r w:rsidRPr="00881891">
        <w:rPr>
          <w:rFonts w:ascii="Adobe Garamond Pro" w:hAnsi="Adobe Garamond Pro" w:cs="Times New Roman"/>
          <w:sz w:val="20"/>
          <w:szCs w:val="20"/>
        </w:rPr>
        <w:t>U prethodna dva stoljeća, od kad je sistem postepeno uvođen u Evropi a zatim se širio u svijetu, on je davao izuzetne rezultate i to iz dva razloga:</w:t>
      </w:r>
    </w:p>
    <w:p w:rsidR="00881891" w:rsidRPr="00881891" w:rsidRDefault="00881891" w:rsidP="00616109">
      <w:pPr>
        <w:pStyle w:val="ListParagraph"/>
        <w:numPr>
          <w:ilvl w:val="0"/>
          <w:numId w:val="7"/>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radno „istrošena“ generacija do tada nije dobijala ništa, tako da su joj novostečena prava bila izuzetni napredak,</w:t>
      </w:r>
    </w:p>
    <w:p w:rsidR="00881891" w:rsidRDefault="00881891" w:rsidP="00616109">
      <w:pPr>
        <w:pStyle w:val="ListParagraph"/>
        <w:numPr>
          <w:ilvl w:val="0"/>
          <w:numId w:val="7"/>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ukupni životni vijek, a time vijek korištenja prava bio je znatno niži, tako da su finansijske potrebe za sredstvima za alimentiranje rashoda penzija u ukupnom BDP-u bile znatno niže nego danas, te je i finansijsko opterećenje tekućeg rada doprinosom za PIO bilo relativno prihvatljivo.</w:t>
      </w:r>
    </w:p>
    <w:p w:rsidR="00881891" w:rsidRPr="00881891" w:rsidRDefault="00881891" w:rsidP="00881891">
      <w:pPr>
        <w:pStyle w:val="ListParagraph"/>
        <w:spacing w:after="0" w:line="240" w:lineRule="auto"/>
        <w:jc w:val="both"/>
        <w:rPr>
          <w:rFonts w:ascii="Adobe Garamond Pro" w:hAnsi="Adobe Garamond Pro" w:cs="Times New Roman"/>
          <w:sz w:val="20"/>
          <w:szCs w:val="20"/>
        </w:rPr>
      </w:pPr>
    </w:p>
    <w:p w:rsidR="00881891" w:rsidRPr="00881891" w:rsidRDefault="00881891" w:rsidP="00881891">
      <w:pPr>
        <w:spacing w:after="0" w:line="240" w:lineRule="auto"/>
        <w:ind w:firstLine="567"/>
        <w:jc w:val="both"/>
        <w:rPr>
          <w:rFonts w:ascii="Adobe Garamond Pro" w:hAnsi="Adobe Garamond Pro" w:cs="Times New Roman"/>
          <w:sz w:val="20"/>
          <w:szCs w:val="20"/>
          <w:lang w:val="hr-BA"/>
        </w:rPr>
      </w:pPr>
      <w:r w:rsidRPr="00881891">
        <w:rPr>
          <w:rFonts w:ascii="Adobe Garamond Pro" w:hAnsi="Adobe Garamond Pro" w:cs="Times New Roman"/>
          <w:sz w:val="20"/>
          <w:szCs w:val="20"/>
          <w:lang w:val="hr-BA"/>
        </w:rPr>
        <w:t>U našoj državi penzijski sistem takođe funkcionira na principu međugeneracijske solidarnosti i to već skoro 100 godina. Pošto je, kao što je poznato, Bosna i Hercegovina u tom periodu bila dio nekoliko država i prošla kroz nekoliko ratova, bilo je prekida u funkcioniranju penzijskog sistema, ali se on svaki put ponovo izgrađivao na principu međugeneracijske solidarnosti. Od zadnjeg rata 1992.-1995. g., kada je Bosna i Hercegovina ustrojena, Dejtonskim mirovnim sporazumom, kao država dva entiteta, izgrađena su dva entitetska penzijska sistema, a osim tog „loma“, penzijski sistem je doživio i još nekoliko snažnih „udaraca“, među kojima su najteži:</w:t>
      </w:r>
    </w:p>
    <w:p w:rsidR="00881891" w:rsidRPr="00881891" w:rsidRDefault="00881891" w:rsidP="00616109">
      <w:pPr>
        <w:pStyle w:val="ListParagraph"/>
        <w:numPr>
          <w:ilvl w:val="0"/>
          <w:numId w:val="8"/>
        </w:numPr>
        <w:spacing w:after="0" w:line="240" w:lineRule="auto"/>
        <w:ind w:left="851"/>
        <w:jc w:val="both"/>
        <w:rPr>
          <w:rFonts w:ascii="Adobe Garamond Pro" w:hAnsi="Adobe Garamond Pro" w:cs="Times New Roman"/>
          <w:sz w:val="20"/>
          <w:szCs w:val="20"/>
          <w:lang w:val="hr-BA"/>
        </w:rPr>
      </w:pPr>
      <w:r w:rsidRPr="00881891">
        <w:rPr>
          <w:rFonts w:ascii="Adobe Garamond Pro" w:hAnsi="Adobe Garamond Pro" w:cs="Times New Roman"/>
          <w:sz w:val="20"/>
          <w:szCs w:val="20"/>
          <w:lang w:val="hr-BA"/>
        </w:rPr>
        <w:t>gubitak produktivnog dijela stanovništva zbog pogibije i iseljavanja,</w:t>
      </w:r>
    </w:p>
    <w:p w:rsidR="00881891" w:rsidRPr="00881891" w:rsidRDefault="00881891" w:rsidP="00616109">
      <w:pPr>
        <w:pStyle w:val="ListParagraph"/>
        <w:numPr>
          <w:ilvl w:val="0"/>
          <w:numId w:val="8"/>
        </w:numPr>
        <w:spacing w:after="0" w:line="240" w:lineRule="auto"/>
        <w:ind w:left="851"/>
        <w:jc w:val="both"/>
        <w:rPr>
          <w:rFonts w:ascii="Adobe Garamond Pro" w:hAnsi="Adobe Garamond Pro" w:cs="Times New Roman"/>
          <w:sz w:val="20"/>
          <w:szCs w:val="20"/>
          <w:lang w:val="hr-BA"/>
        </w:rPr>
      </w:pPr>
      <w:r w:rsidRPr="00881891">
        <w:rPr>
          <w:rFonts w:ascii="Adobe Garamond Pro" w:hAnsi="Adobe Garamond Pro" w:cs="Times New Roman"/>
          <w:sz w:val="20"/>
          <w:szCs w:val="20"/>
          <w:lang w:val="hr-BA"/>
        </w:rPr>
        <w:t>uništavanje materijalne osnove ekonomije BiH,</w:t>
      </w:r>
    </w:p>
    <w:p w:rsidR="00881891" w:rsidRPr="00881891" w:rsidRDefault="00881891" w:rsidP="00616109">
      <w:pPr>
        <w:pStyle w:val="ListParagraph"/>
        <w:numPr>
          <w:ilvl w:val="0"/>
          <w:numId w:val="8"/>
        </w:numPr>
        <w:spacing w:after="0" w:line="240" w:lineRule="auto"/>
        <w:ind w:left="851"/>
        <w:jc w:val="both"/>
        <w:rPr>
          <w:rFonts w:ascii="Adobe Garamond Pro" w:hAnsi="Adobe Garamond Pro" w:cs="Times New Roman"/>
          <w:sz w:val="20"/>
          <w:szCs w:val="20"/>
          <w:lang w:val="hr-BA"/>
        </w:rPr>
      </w:pPr>
      <w:r w:rsidRPr="00881891">
        <w:rPr>
          <w:rFonts w:ascii="Adobe Garamond Pro" w:hAnsi="Adobe Garamond Pro" w:cs="Times New Roman"/>
          <w:sz w:val="20"/>
          <w:szCs w:val="20"/>
          <w:lang w:val="hr-BA"/>
        </w:rPr>
        <w:t>potpuna destrukcija institucija sistema i</w:t>
      </w:r>
    </w:p>
    <w:p w:rsidR="00881891" w:rsidRDefault="00881891" w:rsidP="00616109">
      <w:pPr>
        <w:pStyle w:val="ListParagraph"/>
        <w:numPr>
          <w:ilvl w:val="0"/>
          <w:numId w:val="8"/>
        </w:numPr>
        <w:spacing w:after="0" w:line="240" w:lineRule="auto"/>
        <w:ind w:left="851"/>
        <w:jc w:val="both"/>
        <w:rPr>
          <w:rFonts w:ascii="Adobe Garamond Pro" w:hAnsi="Adobe Garamond Pro" w:cs="Times New Roman"/>
          <w:sz w:val="20"/>
          <w:szCs w:val="20"/>
          <w:lang w:val="hr-BA"/>
        </w:rPr>
      </w:pPr>
      <w:r w:rsidRPr="00881891">
        <w:rPr>
          <w:rFonts w:ascii="Adobe Garamond Pro" w:hAnsi="Adobe Garamond Pro" w:cs="Times New Roman"/>
          <w:sz w:val="20"/>
          <w:szCs w:val="20"/>
          <w:lang w:val="hr-BA"/>
        </w:rPr>
        <w:t>ogromna nezaposlenost po završetku rata.</w:t>
      </w:r>
    </w:p>
    <w:p w:rsidR="00881891" w:rsidRPr="00881891" w:rsidRDefault="00881891" w:rsidP="00881891">
      <w:pPr>
        <w:pStyle w:val="ListParagraph"/>
        <w:spacing w:after="0" w:line="240" w:lineRule="auto"/>
        <w:ind w:left="851"/>
        <w:jc w:val="both"/>
        <w:rPr>
          <w:rFonts w:ascii="Adobe Garamond Pro" w:hAnsi="Adobe Garamond Pro" w:cs="Times New Roman"/>
          <w:sz w:val="20"/>
          <w:szCs w:val="20"/>
          <w:lang w:val="hr-BA"/>
        </w:rPr>
      </w:pPr>
    </w:p>
    <w:p w:rsidR="00881891" w:rsidRPr="00881891" w:rsidRDefault="00881891" w:rsidP="00881891">
      <w:pPr>
        <w:spacing w:after="0" w:line="240" w:lineRule="auto"/>
        <w:ind w:firstLine="567"/>
        <w:jc w:val="both"/>
        <w:rPr>
          <w:rFonts w:ascii="Adobe Garamond Pro" w:hAnsi="Adobe Garamond Pro" w:cs="Times New Roman"/>
          <w:sz w:val="20"/>
          <w:szCs w:val="20"/>
        </w:rPr>
      </w:pPr>
      <w:r w:rsidRPr="00881891">
        <w:rPr>
          <w:rFonts w:ascii="Adobe Garamond Pro" w:hAnsi="Adobe Garamond Pro" w:cs="Times New Roman"/>
          <w:sz w:val="20"/>
          <w:szCs w:val="20"/>
        </w:rPr>
        <w:t>Sa tim polaznim osnovama penzijski sistem u Bosni i Hercegovini se, kroz dva entitetska nositelja osiguranja, počeo revitalizirati odmah po zvršetku rata. S početka su njegovi prihodi bili primarno iz budžetske podrške iz više razloga:</w:t>
      </w:r>
    </w:p>
    <w:p w:rsidR="00881891" w:rsidRPr="00881891" w:rsidRDefault="00881891" w:rsidP="00616109">
      <w:pPr>
        <w:pStyle w:val="ListParagraph"/>
        <w:numPr>
          <w:ilvl w:val="0"/>
          <w:numId w:val="9"/>
        </w:numPr>
        <w:spacing w:after="0" w:line="240" w:lineRule="auto"/>
        <w:ind w:left="851"/>
        <w:rPr>
          <w:rFonts w:ascii="Adobe Garamond Pro" w:hAnsi="Adobe Garamond Pro" w:cs="Times New Roman"/>
          <w:sz w:val="20"/>
          <w:szCs w:val="20"/>
        </w:rPr>
      </w:pPr>
      <w:r w:rsidRPr="00881891">
        <w:rPr>
          <w:rFonts w:ascii="Adobe Garamond Pro" w:hAnsi="Adobe Garamond Pro" w:cs="Times New Roman"/>
          <w:sz w:val="20"/>
          <w:szCs w:val="20"/>
        </w:rPr>
        <w:t>nisu odmah niti razrađeni propisi na kojima će se temeljiti prikupljanje prihoda,</w:t>
      </w:r>
    </w:p>
    <w:p w:rsidR="00881891" w:rsidRPr="00881891" w:rsidRDefault="00881891" w:rsidP="00616109">
      <w:pPr>
        <w:pStyle w:val="ListParagraph"/>
        <w:numPr>
          <w:ilvl w:val="0"/>
          <w:numId w:val="9"/>
        </w:numPr>
        <w:spacing w:after="0" w:line="240" w:lineRule="auto"/>
        <w:ind w:left="851"/>
        <w:rPr>
          <w:rFonts w:ascii="Adobe Garamond Pro" w:hAnsi="Adobe Garamond Pro" w:cs="Times New Roman"/>
          <w:sz w:val="20"/>
          <w:szCs w:val="20"/>
        </w:rPr>
      </w:pPr>
      <w:r w:rsidRPr="00881891">
        <w:rPr>
          <w:rFonts w:ascii="Adobe Garamond Pro" w:hAnsi="Adobe Garamond Pro" w:cs="Times New Roman"/>
          <w:sz w:val="20"/>
          <w:szCs w:val="20"/>
        </w:rPr>
        <w:t>poslovni sektor je bio veoma slab i prepustilo se da se on razvija gotovo bez nadzora nad izmirivanjem poreznih i drugih obaveza,</w:t>
      </w:r>
    </w:p>
    <w:p w:rsidR="00881891" w:rsidRPr="00881891" w:rsidRDefault="00881891" w:rsidP="00616109">
      <w:pPr>
        <w:pStyle w:val="ListParagraph"/>
        <w:numPr>
          <w:ilvl w:val="0"/>
          <w:numId w:val="9"/>
        </w:numPr>
        <w:spacing w:after="0" w:line="240" w:lineRule="auto"/>
        <w:ind w:left="851"/>
        <w:rPr>
          <w:rFonts w:ascii="Adobe Garamond Pro" w:hAnsi="Adobe Garamond Pro" w:cs="Times New Roman"/>
          <w:sz w:val="20"/>
          <w:szCs w:val="20"/>
        </w:rPr>
      </w:pPr>
      <w:r w:rsidRPr="00881891">
        <w:rPr>
          <w:rFonts w:ascii="Adobe Garamond Pro" w:hAnsi="Adobe Garamond Pro" w:cs="Times New Roman"/>
          <w:sz w:val="20"/>
          <w:szCs w:val="20"/>
        </w:rPr>
        <w:t>institucije države nisu imale niti kapacitet da se „čvrsto“ pozabave prikupljanjem prihoda.</w:t>
      </w:r>
    </w:p>
    <w:p w:rsidR="00881891" w:rsidRDefault="00881891" w:rsidP="00881891">
      <w:pPr>
        <w:spacing w:after="0" w:line="240" w:lineRule="auto"/>
        <w:ind w:firstLine="567"/>
        <w:jc w:val="both"/>
        <w:rPr>
          <w:rFonts w:ascii="Adobe Garamond Pro" w:hAnsi="Adobe Garamond Pro" w:cs="Times New Roman"/>
          <w:sz w:val="20"/>
          <w:szCs w:val="20"/>
        </w:rPr>
      </w:pPr>
      <w:r w:rsidRPr="00881891">
        <w:rPr>
          <w:rFonts w:ascii="Adobe Garamond Pro" w:hAnsi="Adobe Garamond Pro" w:cs="Times New Roman"/>
          <w:sz w:val="20"/>
          <w:szCs w:val="20"/>
        </w:rPr>
        <w:lastRenderedPageBreak/>
        <w:t xml:space="preserve">Vremenom se uvodila porezna disciplina i to dosta teško, jer nije bilo lako tražiti naplatu javnih prihoda od pravnih lica koja su nastavila kontinuitet poslovanja  u višestruko otežanim uvjetima i od novonastalih privatnih poslovnih subjekata, koje su osnivali ratni veterani sa osnovnom poslovnom idejom da država njima treba pomagati, a ne da oni moraju plaćati poreze. </w:t>
      </w:r>
    </w:p>
    <w:p w:rsidR="00881891" w:rsidRPr="00881891" w:rsidRDefault="00881891" w:rsidP="00881891">
      <w:pPr>
        <w:spacing w:after="0" w:line="240" w:lineRule="auto"/>
        <w:ind w:firstLine="567"/>
        <w:jc w:val="both"/>
        <w:rPr>
          <w:rFonts w:ascii="Adobe Garamond Pro" w:hAnsi="Adobe Garamond Pro" w:cs="Times New Roman"/>
          <w:sz w:val="20"/>
          <w:szCs w:val="20"/>
        </w:rPr>
      </w:pPr>
    </w:p>
    <w:p w:rsidR="00881891" w:rsidRPr="00881891" w:rsidRDefault="00881891" w:rsidP="00881891">
      <w:pPr>
        <w:spacing w:after="0" w:line="240" w:lineRule="auto"/>
        <w:ind w:firstLine="567"/>
        <w:jc w:val="both"/>
        <w:rPr>
          <w:rFonts w:ascii="Adobe Garamond Pro" w:hAnsi="Adobe Garamond Pro" w:cs="Times New Roman"/>
          <w:sz w:val="20"/>
          <w:szCs w:val="20"/>
        </w:rPr>
      </w:pPr>
      <w:r w:rsidRPr="00881891">
        <w:rPr>
          <w:rFonts w:ascii="Adobe Garamond Pro" w:hAnsi="Adobe Garamond Pro" w:cs="Times New Roman"/>
          <w:sz w:val="20"/>
          <w:szCs w:val="20"/>
        </w:rPr>
        <w:t>Naprijed rečano je bitno istaći jer od tada postoji zabluda kod svih učesnika u kreiranju i izgradnji ekonomskog sistema u BiH o pretjeranom opterećenju plata doprinosima. Ta zabluda je vremenom dobila konture dogme i aksioma i „jeres“ je dovoditi je u pitanje. Ovo istraživanje  će dokazati da su plate manje opterećene porezima i doprinosima nego i u jednoj državi Evrope koja ima isti, ili približno isti, sistem finansiranja socijalne i zdravstvene zaštite iz doprinosa na plate zaposlenih, te dati naznake koji su to elementi sistema uzročnici nekonkurentnosti  poslovnog sektora u BiH.</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Pr>
          <w:rFonts w:ascii="Adobe Garamond Pro" w:hAnsi="Adobe Garamond Pro" w:cs="Times New Roman"/>
          <w:sz w:val="20"/>
          <w:szCs w:val="20"/>
        </w:rPr>
        <w:tab/>
      </w:r>
    </w:p>
    <w:p w:rsidR="00881891" w:rsidRPr="00E20A63" w:rsidRDefault="00881891" w:rsidP="00881891">
      <w:pPr>
        <w:spacing w:after="0" w:line="240" w:lineRule="auto"/>
        <w:jc w:val="both"/>
        <w:rPr>
          <w:rFonts w:ascii="Adobe Garamond Pro" w:hAnsi="Adobe Garamond Pro" w:cs="Times New Roman"/>
          <w:b/>
        </w:rPr>
      </w:pPr>
      <w:r w:rsidRPr="00E20A63">
        <w:rPr>
          <w:rFonts w:ascii="Adobe Garamond Pro" w:hAnsi="Adobe Garamond Pro" w:cs="Times New Roman"/>
          <w:b/>
        </w:rPr>
        <w:t xml:space="preserve">Struktura bruto plate u Bosni i Hercegovini </w:t>
      </w:r>
    </w:p>
    <w:p w:rsidR="00E20A63" w:rsidRPr="00881891" w:rsidRDefault="00E20A63" w:rsidP="00881891">
      <w:pPr>
        <w:spacing w:after="0" w:line="240" w:lineRule="auto"/>
        <w:jc w:val="both"/>
        <w:rPr>
          <w:rFonts w:ascii="Adobe Garamond Pro" w:hAnsi="Adobe Garamond Pro" w:cs="Times New Roman"/>
          <w:b/>
          <w:sz w:val="20"/>
          <w:szCs w:val="20"/>
        </w:rPr>
      </w:pPr>
    </w:p>
    <w:p w:rsidR="00881891" w:rsidRPr="00E20A63" w:rsidRDefault="00881891" w:rsidP="00881891">
      <w:pPr>
        <w:spacing w:after="0" w:line="240" w:lineRule="auto"/>
        <w:jc w:val="both"/>
        <w:rPr>
          <w:rFonts w:ascii="Adobe Garamond Pro" w:hAnsi="Adobe Garamond Pro" w:cs="Times New Roman"/>
          <w:b/>
        </w:rPr>
      </w:pPr>
      <w:r w:rsidRPr="00E20A63">
        <w:rPr>
          <w:rFonts w:ascii="Adobe Garamond Pro" w:hAnsi="Adobe Garamond Pro" w:cs="Times New Roman"/>
          <w:b/>
        </w:rPr>
        <w:t xml:space="preserve">Struktura bruto plate u F BiH </w:t>
      </w:r>
    </w:p>
    <w:p w:rsidR="00E20A63" w:rsidRPr="00881891" w:rsidRDefault="00E20A63" w:rsidP="00881891">
      <w:pPr>
        <w:spacing w:after="0" w:line="240" w:lineRule="auto"/>
        <w:jc w:val="both"/>
        <w:rPr>
          <w:rFonts w:ascii="Adobe Garamond Pro" w:hAnsi="Adobe Garamond Pro" w:cs="Times New Roman"/>
          <w:b/>
          <w:sz w:val="20"/>
          <w:szCs w:val="20"/>
        </w:rPr>
      </w:pPr>
    </w:p>
    <w:p w:rsidR="00881891" w:rsidRP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t>Kao što je u uvodu rečeno, nadležnost u socijalnoj, fiskalnoj politici i radnom zakonodavstvu u Bosni i Hercegovini je na entitetima. Sukladno tome F BiH je te sektore uredila svojim zakonima i podzakonskim aktima, od kojih su najvažnij:</w:t>
      </w:r>
    </w:p>
    <w:p w:rsidR="00881891" w:rsidRPr="00881891" w:rsidRDefault="00881891" w:rsidP="00616109">
      <w:pPr>
        <w:pStyle w:val="ListParagraph"/>
        <w:numPr>
          <w:ilvl w:val="0"/>
          <w:numId w:val="10"/>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Zakon o PIO, drugi zakoni koji reguliraju pravo i način utvrđivanja penzija ( Zakon o službi u OS BiH, zakoni o povoljnijem penzionisanju, itd.)</w:t>
      </w:r>
    </w:p>
    <w:p w:rsidR="00881891" w:rsidRPr="00881891" w:rsidRDefault="00881891" w:rsidP="00616109">
      <w:pPr>
        <w:pStyle w:val="ListParagraph"/>
        <w:numPr>
          <w:ilvl w:val="0"/>
          <w:numId w:val="10"/>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Zakon o radu,</w:t>
      </w:r>
    </w:p>
    <w:p w:rsidR="00881891" w:rsidRPr="00881891" w:rsidRDefault="00881891" w:rsidP="00616109">
      <w:pPr>
        <w:pStyle w:val="ListParagraph"/>
        <w:numPr>
          <w:ilvl w:val="0"/>
          <w:numId w:val="10"/>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Zakon o doprinosima, te odgovarajući pravilnici i drugi podzakonski, provedbeni akti.</w:t>
      </w:r>
    </w:p>
    <w:p w:rsidR="00881891" w:rsidRPr="00E20A63" w:rsidRDefault="00881891" w:rsidP="00616109">
      <w:pPr>
        <w:pStyle w:val="ListParagraph"/>
        <w:numPr>
          <w:ilvl w:val="0"/>
          <w:numId w:val="10"/>
        </w:numPr>
        <w:spacing w:after="0" w:line="240" w:lineRule="auto"/>
        <w:jc w:val="both"/>
        <w:rPr>
          <w:rFonts w:ascii="Adobe Garamond Pro" w:hAnsi="Adobe Garamond Pro" w:cs="Times New Roman"/>
          <w:sz w:val="20"/>
          <w:szCs w:val="20"/>
        </w:rPr>
      </w:pPr>
      <w:r w:rsidRPr="00E20A63">
        <w:rPr>
          <w:rFonts w:ascii="Adobe Garamond Pro" w:hAnsi="Adobe Garamond Pro" w:cs="Times New Roman"/>
          <w:sz w:val="20"/>
          <w:szCs w:val="20"/>
        </w:rPr>
        <w:t>U prethodnih 15 godina se sistem socijalnog osiguranja: penzijsko-invalidsko, zdravstveno i osiguranje od nezaposlenosti, razvijao prilično stihijski sa dva osnovna trenda:</w:t>
      </w:r>
    </w:p>
    <w:p w:rsidR="00881891" w:rsidRPr="00881891" w:rsidRDefault="00881891" w:rsidP="00616109">
      <w:pPr>
        <w:pStyle w:val="ListParagraph"/>
        <w:numPr>
          <w:ilvl w:val="0"/>
          <w:numId w:val="10"/>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kopiranje sistema iz bivšeg socijalističkog uređenja države, sa prepisivanjem prava,</w:t>
      </w:r>
    </w:p>
    <w:p w:rsidR="00881891" w:rsidRPr="00881891" w:rsidRDefault="00881891" w:rsidP="00616109">
      <w:pPr>
        <w:pStyle w:val="ListParagraph"/>
        <w:numPr>
          <w:ilvl w:val="0"/>
          <w:numId w:val="10"/>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popuštanje pritisku na rješavanju socijalnih prava, formalno-pravno, zaposlenih radnika u propalim i besprespektivnim industrijskim firmama i prava ratnih veterana zasnovanih na njihovim ratnim zaslugama.</w:t>
      </w:r>
    </w:p>
    <w:p w:rsidR="00E20A63" w:rsidRDefault="00E20A63" w:rsidP="00881891">
      <w:pPr>
        <w:spacing w:after="0" w:line="240" w:lineRule="auto"/>
        <w:jc w:val="both"/>
        <w:rPr>
          <w:rFonts w:ascii="Adobe Garamond Pro" w:hAnsi="Adobe Garamond Pro" w:cs="Times New Roman"/>
          <w:sz w:val="20"/>
          <w:szCs w:val="20"/>
        </w:rPr>
      </w:pPr>
    </w:p>
    <w:p w:rsidR="00881891" w:rsidRDefault="00E20A63" w:rsidP="00881891">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881891" w:rsidRPr="00881891">
        <w:rPr>
          <w:rFonts w:ascii="Adobe Garamond Pro" w:hAnsi="Adobe Garamond Pro" w:cs="Times New Roman"/>
          <w:sz w:val="20"/>
          <w:szCs w:val="20"/>
        </w:rPr>
        <w:t xml:space="preserve">To je, s vremenom, dovelo do neizdržive finansijske opterećnosti  fondova koji su formirani radi provođenja prava na penzijsko i zdravstveno osiguranje, jer im za tu obavezu nisu osigurani odgovarajući prihodi. Elaboracija pravnog sistema iz tih oblasti bi zahtjevala poseban i veći rad, tako da ćemo, u nastavku objasniti osnovne parametre i kroz primjer prikazati strukturu bruto plate. </w:t>
      </w:r>
    </w:p>
    <w:p w:rsidR="00E20A63" w:rsidRPr="00881891" w:rsidRDefault="00E20A63" w:rsidP="00881891">
      <w:pPr>
        <w:spacing w:after="0" w:line="240" w:lineRule="auto"/>
        <w:jc w:val="both"/>
        <w:rPr>
          <w:rFonts w:ascii="Adobe Garamond Pro" w:hAnsi="Adobe Garamond Pro" w:cs="Times New Roman"/>
          <w:sz w:val="20"/>
          <w:szCs w:val="20"/>
        </w:rPr>
      </w:pPr>
    </w:p>
    <w:p w:rsidR="00881891" w:rsidRP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lastRenderedPageBreak/>
        <w:t>F BiH je, po inerciji iz bivše države, zadržala kombinovani sistem izračuna plate i doprinosa, što znači da se obračun doprinosa vrši iz bruto plate na teret zaposlenika i na bruto platu na teret poslodavca, iako u praksi nije ništa značilo, niti zaposlenicima, niti poslodavcima to razdvojeno računanje.</w:t>
      </w:r>
    </w:p>
    <w:p w:rsidR="00881891" w:rsidRPr="00881891" w:rsidRDefault="00881891" w:rsidP="00881891">
      <w:pPr>
        <w:spacing w:after="0" w:line="240" w:lineRule="auto"/>
        <w:jc w:val="both"/>
        <w:rPr>
          <w:rFonts w:ascii="Adobe Garamond Pro" w:hAnsi="Adobe Garamond Pro" w:cs="Times New Roman"/>
          <w:sz w:val="20"/>
          <w:szCs w:val="20"/>
        </w:rPr>
      </w:pPr>
    </w:p>
    <w:p w:rsidR="00881891" w:rsidRPr="00881891" w:rsidRDefault="00881891" w:rsidP="0088189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Tabela 1: Obračun plate u FBiH po važećim propisima</w:t>
      </w:r>
    </w:p>
    <w:tbl>
      <w:tblPr>
        <w:tblW w:w="5000" w:type="pct"/>
        <w:tblCellMar>
          <w:left w:w="0" w:type="dxa"/>
          <w:right w:w="0" w:type="dxa"/>
        </w:tblCellMar>
        <w:tblLook w:val="04A0"/>
      </w:tblPr>
      <w:tblGrid>
        <w:gridCol w:w="5008"/>
        <w:gridCol w:w="868"/>
        <w:gridCol w:w="1569"/>
      </w:tblGrid>
      <w:tr w:rsidR="00881891" w:rsidRPr="00881891" w:rsidTr="00E20A63">
        <w:trPr>
          <w:trHeight w:val="315"/>
        </w:trPr>
        <w:tc>
          <w:tcPr>
            <w:tcW w:w="3500" w:type="pct"/>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b/>
                <w:bCs/>
                <w:sz w:val="20"/>
                <w:szCs w:val="20"/>
                <w:u w:val="single"/>
              </w:rPr>
            </w:pPr>
            <w:r w:rsidRPr="00881891">
              <w:rPr>
                <w:rFonts w:ascii="Adobe Garamond Pro" w:hAnsi="Adobe Garamond Pro" w:cs="Times New Roman"/>
                <w:b/>
                <w:bCs/>
                <w:sz w:val="20"/>
                <w:szCs w:val="20"/>
                <w:u w:val="single"/>
              </w:rPr>
              <w:t>FEDERACIJA</w:t>
            </w:r>
          </w:p>
        </w:tc>
        <w:tc>
          <w:tcPr>
            <w:tcW w:w="641" w:type="pct"/>
            <w:noWrap/>
            <w:tcMar>
              <w:top w:w="0" w:type="dxa"/>
              <w:left w:w="108" w:type="dxa"/>
              <w:bottom w:w="0" w:type="dxa"/>
              <w:right w:w="108" w:type="dxa"/>
            </w:tcMar>
            <w:vAlign w:val="bottom"/>
          </w:tcPr>
          <w:p w:rsidR="00881891" w:rsidRPr="00881891" w:rsidRDefault="00881891" w:rsidP="00881891">
            <w:pPr>
              <w:spacing w:after="0" w:line="240" w:lineRule="auto"/>
              <w:rPr>
                <w:rFonts w:ascii="Adobe Garamond Pro" w:hAnsi="Adobe Garamond Pro" w:cs="Times New Roman"/>
                <w:sz w:val="20"/>
                <w:szCs w:val="20"/>
              </w:rPr>
            </w:pPr>
          </w:p>
        </w:tc>
        <w:tc>
          <w:tcPr>
            <w:tcW w:w="859" w:type="pct"/>
            <w:noWrap/>
            <w:tcMar>
              <w:top w:w="0" w:type="dxa"/>
              <w:left w:w="108" w:type="dxa"/>
              <w:bottom w:w="0" w:type="dxa"/>
              <w:right w:w="108" w:type="dxa"/>
            </w:tcMar>
            <w:vAlign w:val="bottom"/>
          </w:tcPr>
          <w:p w:rsidR="00881891" w:rsidRPr="00881891" w:rsidRDefault="00881891" w:rsidP="00881891">
            <w:pPr>
              <w:spacing w:after="0" w:line="240" w:lineRule="auto"/>
              <w:rPr>
                <w:rFonts w:ascii="Adobe Garamond Pro" w:hAnsi="Adobe Garamond Pro" w:cs="Times New Roman"/>
                <w:sz w:val="20"/>
                <w:szCs w:val="20"/>
              </w:rPr>
            </w:pPr>
          </w:p>
        </w:tc>
      </w:tr>
      <w:tr w:rsidR="00881891" w:rsidRPr="00881891" w:rsidTr="00E20A63">
        <w:trPr>
          <w:trHeight w:val="360"/>
        </w:trPr>
        <w:tc>
          <w:tcPr>
            <w:tcW w:w="35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BRUTO PLAĆA</w:t>
            </w:r>
          </w:p>
        </w:tc>
        <w:tc>
          <w:tcPr>
            <w:tcW w:w="64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85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center"/>
              <w:rPr>
                <w:rFonts w:ascii="Adobe Garamond Pro" w:hAnsi="Adobe Garamond Pro" w:cs="Times New Roman"/>
                <w:b/>
                <w:bCs/>
                <w:sz w:val="20"/>
                <w:szCs w:val="20"/>
              </w:rPr>
            </w:pPr>
            <w:r w:rsidRPr="00881891">
              <w:rPr>
                <w:rFonts w:ascii="Adobe Garamond Pro" w:hAnsi="Adobe Garamond Pro" w:cs="Times New Roman"/>
                <w:b/>
                <w:bCs/>
                <w:sz w:val="20"/>
                <w:szCs w:val="20"/>
              </w:rPr>
              <w:t>EUR 2.000,00</w:t>
            </w:r>
          </w:p>
        </w:tc>
      </w:tr>
      <w:tr w:rsidR="00881891" w:rsidRPr="00881891" w:rsidTr="00E20A63">
        <w:trPr>
          <w:trHeight w:val="300"/>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r>
      <w:tr w:rsidR="00881891" w:rsidRPr="00881891" w:rsidTr="00E20A63">
        <w:trPr>
          <w:trHeight w:val="315"/>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Doprinos za PIO-iz plaća (na teret osiguranika)</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17,00%</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340,00</w:t>
            </w:r>
          </w:p>
        </w:tc>
      </w:tr>
      <w:tr w:rsidR="00881891" w:rsidRPr="00881891" w:rsidTr="00E20A63">
        <w:trPr>
          <w:trHeight w:val="315"/>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Dop. za zdrav. osig.-iz plaća (na teret osiguranika)</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12,50%</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250,00</w:t>
            </w:r>
          </w:p>
        </w:tc>
      </w:tr>
      <w:tr w:rsidR="00881891" w:rsidRPr="00881891" w:rsidTr="00E20A63">
        <w:trPr>
          <w:trHeight w:val="315"/>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Dop. za osig. od nezap. -iz plaća (na teret osiguranika)</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1,50%</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30,00</w:t>
            </w:r>
          </w:p>
        </w:tc>
      </w:tr>
      <w:tr w:rsidR="00881891" w:rsidRPr="00881891" w:rsidTr="00E20A63">
        <w:trPr>
          <w:trHeight w:val="315"/>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DOPRINOSI IZ PLAĆE - UKUPNO</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31,00%</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620,00</w:t>
            </w:r>
          </w:p>
        </w:tc>
      </w:tr>
      <w:tr w:rsidR="00881891" w:rsidRPr="00881891" w:rsidTr="00E20A63">
        <w:trPr>
          <w:trHeight w:val="300"/>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Opća olakšica+jedna izdrž.osoba</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230,00</w:t>
            </w:r>
          </w:p>
        </w:tc>
      </w:tr>
      <w:tr w:rsidR="00881891" w:rsidRPr="00881891" w:rsidTr="00E20A63">
        <w:trPr>
          <w:trHeight w:val="315"/>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Osnovica za porez</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1.150,00</w:t>
            </w:r>
          </w:p>
        </w:tc>
      </w:tr>
      <w:tr w:rsidR="00881891" w:rsidRPr="00881891" w:rsidTr="00E20A63">
        <w:trPr>
          <w:trHeight w:val="315"/>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Porez na dohodak</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10,00%</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115,00</w:t>
            </w:r>
          </w:p>
        </w:tc>
      </w:tr>
      <w:tr w:rsidR="00881891" w:rsidRPr="00881891" w:rsidTr="00E20A63">
        <w:trPr>
          <w:trHeight w:val="315"/>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DOPRINOSI I POREZ</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735,00</w:t>
            </w:r>
          </w:p>
        </w:tc>
      </w:tr>
      <w:tr w:rsidR="00881891" w:rsidRPr="00881891" w:rsidTr="00E20A63">
        <w:trPr>
          <w:trHeight w:val="315"/>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NETO ( BP-DOPRINOSI )</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1.380,00</w:t>
            </w:r>
          </w:p>
        </w:tc>
      </w:tr>
      <w:tr w:rsidR="00881891" w:rsidRPr="00881891" w:rsidTr="00E20A63">
        <w:trPr>
          <w:trHeight w:val="300"/>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b/>
                <w:sz w:val="20"/>
                <w:szCs w:val="20"/>
              </w:rPr>
            </w:pPr>
            <w:r w:rsidRPr="00881891">
              <w:rPr>
                <w:rFonts w:ascii="Adobe Garamond Pro" w:hAnsi="Adobe Garamond Pro" w:cs="Times New Roman"/>
                <w:b/>
                <w:sz w:val="20"/>
                <w:szCs w:val="20"/>
              </w:rPr>
              <w:t> NETO (BP-DOPRINOSI-POREZ)</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b/>
                <w:sz w:val="20"/>
                <w:szCs w:val="20"/>
              </w:rPr>
            </w:pPr>
            <w:r w:rsidRPr="00881891">
              <w:rPr>
                <w:rFonts w:ascii="Adobe Garamond Pro" w:hAnsi="Adobe Garamond Pro" w:cs="Times New Roman"/>
                <w:b/>
                <w:sz w:val="20"/>
                <w:szCs w:val="20"/>
              </w:rPr>
              <w:t>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b/>
                <w:sz w:val="20"/>
                <w:szCs w:val="20"/>
              </w:rPr>
            </w:pPr>
            <w:r w:rsidRPr="00881891">
              <w:rPr>
                <w:rFonts w:ascii="Adobe Garamond Pro" w:hAnsi="Adobe Garamond Pro" w:cs="Times New Roman"/>
                <w:b/>
                <w:sz w:val="20"/>
                <w:szCs w:val="20"/>
              </w:rPr>
              <w:t>           1.265,00</w:t>
            </w:r>
          </w:p>
        </w:tc>
      </w:tr>
      <w:tr w:rsidR="00881891" w:rsidRPr="00881891" w:rsidTr="00E20A63">
        <w:trPr>
          <w:trHeight w:val="360"/>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Doprinos za PIO-na plaće (na teret poslodavca)</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6,00%</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120,00</w:t>
            </w:r>
          </w:p>
        </w:tc>
      </w:tr>
      <w:tr w:rsidR="00881891" w:rsidRPr="00881891" w:rsidTr="00E20A63">
        <w:trPr>
          <w:trHeight w:val="315"/>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Dop. za zdrav. osig.-na plaće (na teret poslodavca)</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4,00%</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80,00</w:t>
            </w:r>
          </w:p>
        </w:tc>
      </w:tr>
      <w:tr w:rsidR="00881891" w:rsidRPr="00881891" w:rsidTr="00E20A63">
        <w:trPr>
          <w:trHeight w:val="315"/>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Dop. za osig. od nezap.-na plaće (na teret poslodavca)</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0,50%</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10,00</w:t>
            </w:r>
          </w:p>
        </w:tc>
      </w:tr>
      <w:tr w:rsidR="00881891" w:rsidRPr="00881891" w:rsidTr="00E20A63">
        <w:trPr>
          <w:trHeight w:val="528"/>
        </w:trPr>
        <w:tc>
          <w:tcPr>
            <w:tcW w:w="35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DOPRINOSI NA PLAĆU - UKUPNO</w:t>
            </w:r>
          </w:p>
        </w:tc>
        <w:tc>
          <w:tcPr>
            <w:tcW w:w="6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10,50%</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210,00</w:t>
            </w:r>
          </w:p>
        </w:tc>
      </w:tr>
      <w:tr w:rsidR="00881891" w:rsidRPr="00881891" w:rsidTr="00E20A63">
        <w:trPr>
          <w:trHeight w:val="300"/>
        </w:trPr>
        <w:tc>
          <w:tcPr>
            <w:tcW w:w="3500" w:type="pct"/>
            <w:noWrap/>
            <w:tcMar>
              <w:top w:w="0" w:type="dxa"/>
              <w:left w:w="108" w:type="dxa"/>
              <w:bottom w:w="0" w:type="dxa"/>
              <w:right w:w="108" w:type="dxa"/>
            </w:tcMar>
            <w:vAlign w:val="bottom"/>
          </w:tcPr>
          <w:p w:rsidR="00881891" w:rsidRPr="00881891" w:rsidRDefault="00881891" w:rsidP="00881891">
            <w:pPr>
              <w:spacing w:after="0" w:line="240" w:lineRule="auto"/>
              <w:rPr>
                <w:rFonts w:ascii="Adobe Garamond Pro" w:hAnsi="Adobe Garamond Pro" w:cs="Times New Roman"/>
                <w:sz w:val="20"/>
                <w:szCs w:val="20"/>
              </w:rPr>
            </w:pPr>
          </w:p>
        </w:tc>
        <w:tc>
          <w:tcPr>
            <w:tcW w:w="641" w:type="pct"/>
            <w:noWrap/>
            <w:tcMar>
              <w:top w:w="0" w:type="dxa"/>
              <w:left w:w="108" w:type="dxa"/>
              <w:bottom w:w="0" w:type="dxa"/>
              <w:right w:w="108" w:type="dxa"/>
            </w:tcMar>
            <w:vAlign w:val="bottom"/>
          </w:tcPr>
          <w:p w:rsidR="00881891" w:rsidRPr="00881891" w:rsidRDefault="00881891" w:rsidP="00881891">
            <w:pPr>
              <w:spacing w:after="0" w:line="240" w:lineRule="auto"/>
              <w:rPr>
                <w:rFonts w:ascii="Adobe Garamond Pro" w:hAnsi="Adobe Garamond Pro" w:cs="Times New Roman"/>
                <w:sz w:val="20"/>
                <w:szCs w:val="20"/>
              </w:rPr>
            </w:pPr>
          </w:p>
        </w:tc>
        <w:tc>
          <w:tcPr>
            <w:tcW w:w="859" w:type="pct"/>
            <w:noWrap/>
            <w:tcMar>
              <w:top w:w="0" w:type="dxa"/>
              <w:left w:w="108" w:type="dxa"/>
              <w:bottom w:w="0" w:type="dxa"/>
              <w:right w:w="108" w:type="dxa"/>
            </w:tcMar>
            <w:vAlign w:val="bottom"/>
          </w:tcPr>
          <w:p w:rsidR="00881891" w:rsidRPr="00881891" w:rsidRDefault="00881891" w:rsidP="00881891">
            <w:pPr>
              <w:spacing w:after="0" w:line="240" w:lineRule="auto"/>
              <w:rPr>
                <w:rFonts w:ascii="Adobe Garamond Pro" w:hAnsi="Adobe Garamond Pro" w:cs="Times New Roman"/>
                <w:sz w:val="20"/>
                <w:szCs w:val="20"/>
              </w:rPr>
            </w:pPr>
          </w:p>
        </w:tc>
      </w:tr>
      <w:tr w:rsidR="00881891" w:rsidRPr="00881891" w:rsidTr="00E20A63">
        <w:trPr>
          <w:trHeight w:val="315"/>
        </w:trPr>
        <w:tc>
          <w:tcPr>
            <w:tcW w:w="3500" w:type="pct"/>
            <w:noWrap/>
            <w:tcMar>
              <w:top w:w="0" w:type="dxa"/>
              <w:left w:w="108" w:type="dxa"/>
              <w:bottom w:w="0" w:type="dxa"/>
              <w:right w:w="108" w:type="dxa"/>
            </w:tcMar>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Doprinosi</w:t>
            </w:r>
          </w:p>
        </w:tc>
        <w:tc>
          <w:tcPr>
            <w:tcW w:w="641" w:type="pct"/>
            <w:noWrap/>
            <w:tcMar>
              <w:top w:w="0" w:type="dxa"/>
              <w:left w:w="108" w:type="dxa"/>
              <w:bottom w:w="0" w:type="dxa"/>
              <w:right w:w="108" w:type="dxa"/>
            </w:tcMar>
            <w:vAlign w:val="bottom"/>
          </w:tcPr>
          <w:p w:rsidR="00881891" w:rsidRPr="00881891" w:rsidRDefault="00881891" w:rsidP="00881891">
            <w:pPr>
              <w:spacing w:after="0" w:line="240" w:lineRule="auto"/>
              <w:rPr>
                <w:rFonts w:ascii="Adobe Garamond Pro" w:hAnsi="Adobe Garamond Pro" w:cs="Times New Roman"/>
                <w:sz w:val="20"/>
                <w:szCs w:val="20"/>
              </w:rPr>
            </w:pPr>
          </w:p>
        </w:tc>
        <w:tc>
          <w:tcPr>
            <w:tcW w:w="859" w:type="pct"/>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830,00</w:t>
            </w:r>
          </w:p>
        </w:tc>
      </w:tr>
      <w:tr w:rsidR="00881891" w:rsidRPr="00881891" w:rsidTr="00E20A63">
        <w:trPr>
          <w:trHeight w:val="315"/>
        </w:trPr>
        <w:tc>
          <w:tcPr>
            <w:tcW w:w="3500" w:type="pct"/>
            <w:noWrap/>
            <w:tcMar>
              <w:top w:w="0" w:type="dxa"/>
              <w:left w:w="108" w:type="dxa"/>
              <w:bottom w:w="0" w:type="dxa"/>
              <w:right w:w="108" w:type="dxa"/>
            </w:tcMar>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Porez</w:t>
            </w:r>
          </w:p>
        </w:tc>
        <w:tc>
          <w:tcPr>
            <w:tcW w:w="641" w:type="pct"/>
            <w:noWrap/>
            <w:tcMar>
              <w:top w:w="0" w:type="dxa"/>
              <w:left w:w="108" w:type="dxa"/>
              <w:bottom w:w="0" w:type="dxa"/>
              <w:right w:w="108" w:type="dxa"/>
            </w:tcMar>
            <w:vAlign w:val="bottom"/>
          </w:tcPr>
          <w:p w:rsidR="00881891" w:rsidRPr="00881891" w:rsidRDefault="00881891" w:rsidP="00881891">
            <w:pPr>
              <w:spacing w:after="0" w:line="240" w:lineRule="auto"/>
              <w:rPr>
                <w:rFonts w:ascii="Adobe Garamond Pro" w:hAnsi="Adobe Garamond Pro" w:cs="Times New Roman"/>
                <w:sz w:val="20"/>
                <w:szCs w:val="20"/>
              </w:rPr>
            </w:pPr>
          </w:p>
        </w:tc>
        <w:tc>
          <w:tcPr>
            <w:tcW w:w="859" w:type="pct"/>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115,00</w:t>
            </w:r>
          </w:p>
        </w:tc>
      </w:tr>
      <w:tr w:rsidR="00881891" w:rsidRPr="00881891" w:rsidTr="00E20A63">
        <w:trPr>
          <w:trHeight w:val="315"/>
        </w:trPr>
        <w:tc>
          <w:tcPr>
            <w:tcW w:w="3500" w:type="pct"/>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b/>
                <w:bCs/>
                <w:sz w:val="20"/>
                <w:szCs w:val="20"/>
              </w:rPr>
            </w:pPr>
          </w:p>
        </w:tc>
        <w:tc>
          <w:tcPr>
            <w:tcW w:w="641" w:type="pct"/>
            <w:noWrap/>
            <w:tcMar>
              <w:top w:w="0" w:type="dxa"/>
              <w:left w:w="108" w:type="dxa"/>
              <w:bottom w:w="0" w:type="dxa"/>
              <w:right w:w="108" w:type="dxa"/>
            </w:tcMar>
            <w:vAlign w:val="bottom"/>
          </w:tcPr>
          <w:p w:rsidR="00881891" w:rsidRPr="00881891" w:rsidRDefault="00881891" w:rsidP="00881891">
            <w:pPr>
              <w:spacing w:after="0" w:line="240" w:lineRule="auto"/>
              <w:rPr>
                <w:rFonts w:ascii="Adobe Garamond Pro" w:hAnsi="Adobe Garamond Pro" w:cs="Times New Roman"/>
                <w:sz w:val="20"/>
                <w:szCs w:val="20"/>
              </w:rPr>
            </w:pPr>
          </w:p>
        </w:tc>
        <w:tc>
          <w:tcPr>
            <w:tcW w:w="859" w:type="pct"/>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p>
        </w:tc>
      </w:tr>
      <w:tr w:rsidR="00881891" w:rsidRPr="00881891" w:rsidTr="00E20A63">
        <w:trPr>
          <w:trHeight w:val="315"/>
        </w:trPr>
        <w:tc>
          <w:tcPr>
            <w:tcW w:w="3500" w:type="pct"/>
            <w:noWrap/>
            <w:tcMar>
              <w:top w:w="0" w:type="dxa"/>
              <w:left w:w="108" w:type="dxa"/>
              <w:bottom w:w="0" w:type="dxa"/>
              <w:right w:w="108" w:type="dxa"/>
            </w:tcMar>
            <w:vAlign w:val="bottom"/>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Neto plata umanjena za porez na doh.</w:t>
            </w:r>
          </w:p>
        </w:tc>
        <w:tc>
          <w:tcPr>
            <w:tcW w:w="641" w:type="pct"/>
            <w:noWrap/>
            <w:tcMar>
              <w:top w:w="0" w:type="dxa"/>
              <w:left w:w="108" w:type="dxa"/>
              <w:bottom w:w="0" w:type="dxa"/>
              <w:right w:w="108" w:type="dxa"/>
            </w:tcMar>
            <w:vAlign w:val="bottom"/>
          </w:tcPr>
          <w:p w:rsidR="00881891" w:rsidRPr="00881891" w:rsidRDefault="00881891" w:rsidP="00881891">
            <w:pPr>
              <w:spacing w:after="0" w:line="240" w:lineRule="auto"/>
              <w:rPr>
                <w:rFonts w:ascii="Adobe Garamond Pro" w:hAnsi="Adobe Garamond Pro" w:cs="Times New Roman"/>
                <w:sz w:val="20"/>
                <w:szCs w:val="20"/>
              </w:rPr>
            </w:pPr>
          </w:p>
        </w:tc>
        <w:tc>
          <w:tcPr>
            <w:tcW w:w="859" w:type="pct"/>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1.265,00</w:t>
            </w:r>
          </w:p>
        </w:tc>
      </w:tr>
    </w:tbl>
    <w:p w:rsidR="00881891" w:rsidRPr="00881891" w:rsidRDefault="00881891" w:rsidP="00881891">
      <w:pPr>
        <w:pBdr>
          <w:bottom w:val="single" w:sz="12" w:space="1" w:color="auto"/>
        </w:pBdr>
        <w:spacing w:after="0" w:line="240" w:lineRule="auto"/>
        <w:rPr>
          <w:rFonts w:ascii="Adobe Garamond Pro" w:hAnsi="Adobe Garamond Pro" w:cs="Times New Roman"/>
          <w:b/>
          <w:sz w:val="20"/>
          <w:szCs w:val="20"/>
        </w:rPr>
      </w:pPr>
      <w:r w:rsidRPr="00881891">
        <w:rPr>
          <w:rFonts w:ascii="Adobe Garamond Pro" w:hAnsi="Adobe Garamond Pro" w:cs="Times New Roman"/>
          <w:b/>
          <w:sz w:val="20"/>
          <w:szCs w:val="20"/>
        </w:rPr>
        <w:t>Ukupan trošak poslodavca</w:t>
      </w:r>
      <w:r w:rsidRPr="00881891">
        <w:rPr>
          <w:rFonts w:ascii="Adobe Garamond Pro" w:hAnsi="Adobe Garamond Pro" w:cs="Times New Roman"/>
          <w:b/>
          <w:sz w:val="20"/>
          <w:szCs w:val="20"/>
        </w:rPr>
        <w:tab/>
        <w:t xml:space="preserve">              </w:t>
      </w:r>
      <w:r w:rsidRPr="00881891">
        <w:rPr>
          <w:rFonts w:ascii="Adobe Garamond Pro" w:hAnsi="Adobe Garamond Pro" w:cs="Times New Roman"/>
          <w:b/>
          <w:sz w:val="20"/>
          <w:szCs w:val="20"/>
        </w:rPr>
        <w:tab/>
      </w:r>
      <w:r w:rsidRPr="00881891">
        <w:rPr>
          <w:rFonts w:ascii="Adobe Garamond Pro" w:hAnsi="Adobe Garamond Pro" w:cs="Times New Roman"/>
          <w:b/>
          <w:sz w:val="20"/>
          <w:szCs w:val="20"/>
        </w:rPr>
        <w:tab/>
        <w:t xml:space="preserve">              </w:t>
      </w:r>
      <w:r w:rsidR="00E20A63">
        <w:rPr>
          <w:rFonts w:ascii="Adobe Garamond Pro" w:hAnsi="Adobe Garamond Pro" w:cs="Times New Roman"/>
          <w:b/>
          <w:sz w:val="20"/>
          <w:szCs w:val="20"/>
        </w:rPr>
        <w:t xml:space="preserve">            </w:t>
      </w:r>
      <w:r w:rsidRPr="00881891">
        <w:rPr>
          <w:rFonts w:ascii="Adobe Garamond Pro" w:hAnsi="Adobe Garamond Pro" w:cs="Times New Roman"/>
          <w:b/>
          <w:sz w:val="20"/>
          <w:szCs w:val="20"/>
        </w:rPr>
        <w:t>2.210,00</w:t>
      </w:r>
    </w:p>
    <w:p w:rsidR="00881891" w:rsidRPr="00E20A63" w:rsidRDefault="00881891" w:rsidP="00881891">
      <w:pPr>
        <w:spacing w:after="0" w:line="240" w:lineRule="auto"/>
        <w:rPr>
          <w:rFonts w:ascii="Adobe Garamond Pro" w:hAnsi="Adobe Garamond Pro" w:cs="Times New Roman"/>
          <w:i/>
          <w:sz w:val="20"/>
          <w:szCs w:val="20"/>
        </w:rPr>
      </w:pPr>
      <w:r w:rsidRPr="00E20A63">
        <w:rPr>
          <w:rFonts w:ascii="Adobe Garamond Pro" w:hAnsi="Adobe Garamond Pro" w:cs="Times New Roman"/>
          <w:i/>
          <w:sz w:val="20"/>
          <w:szCs w:val="20"/>
        </w:rPr>
        <w:t>Izvor: Obračun plate u F BiH prema odredbama Zakona o doprinosima F BiH.</w:t>
      </w:r>
    </w:p>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b/>
          <w:sz w:val="20"/>
          <w:szCs w:val="20"/>
        </w:rPr>
        <w:tab/>
      </w:r>
      <w:r w:rsidRPr="00881891">
        <w:rPr>
          <w:rFonts w:ascii="Adobe Garamond Pro" w:hAnsi="Adobe Garamond Pro" w:cs="Times New Roman"/>
          <w:b/>
          <w:sz w:val="20"/>
          <w:szCs w:val="20"/>
        </w:rPr>
        <w:tab/>
      </w:r>
      <w:r w:rsidRPr="00881891">
        <w:rPr>
          <w:rFonts w:ascii="Adobe Garamond Pro" w:hAnsi="Adobe Garamond Pro" w:cs="Times New Roman"/>
          <w:b/>
          <w:sz w:val="20"/>
          <w:szCs w:val="20"/>
        </w:rPr>
        <w:tab/>
      </w:r>
      <w:r w:rsidRPr="00881891">
        <w:rPr>
          <w:rFonts w:ascii="Adobe Garamond Pro" w:hAnsi="Adobe Garamond Pro" w:cs="Times New Roman"/>
          <w:b/>
          <w:sz w:val="20"/>
          <w:szCs w:val="20"/>
        </w:rPr>
        <w:tab/>
      </w:r>
      <w:r w:rsidRPr="00881891">
        <w:rPr>
          <w:rFonts w:ascii="Adobe Garamond Pro" w:hAnsi="Adobe Garamond Pro" w:cs="Times New Roman"/>
          <w:b/>
          <w:sz w:val="20"/>
          <w:szCs w:val="20"/>
        </w:rPr>
        <w:tab/>
      </w:r>
      <w:r w:rsidRPr="00881891">
        <w:rPr>
          <w:rFonts w:ascii="Adobe Garamond Pro" w:hAnsi="Adobe Garamond Pro" w:cs="Times New Roman"/>
          <w:sz w:val="20"/>
          <w:szCs w:val="20"/>
        </w:rPr>
        <w:t>-5-</w:t>
      </w:r>
    </w:p>
    <w:p w:rsidR="00881891" w:rsidRPr="00881891" w:rsidRDefault="00881891" w:rsidP="00881891">
      <w:pPr>
        <w:spacing w:after="0" w:line="240" w:lineRule="auto"/>
        <w:rPr>
          <w:rFonts w:ascii="Adobe Garamond Pro" w:hAnsi="Adobe Garamond Pro" w:cs="Times New Roman"/>
          <w:b/>
          <w:sz w:val="20"/>
          <w:szCs w:val="20"/>
        </w:rPr>
      </w:pPr>
    </w:p>
    <w:p w:rsidR="00E20A63" w:rsidRDefault="00E20A63" w:rsidP="00881891">
      <w:pPr>
        <w:spacing w:after="0" w:line="240" w:lineRule="auto"/>
        <w:ind w:firstLine="708"/>
        <w:jc w:val="both"/>
        <w:rPr>
          <w:rFonts w:ascii="Adobe Garamond Pro" w:hAnsi="Adobe Garamond Pro" w:cs="Times New Roman"/>
          <w:sz w:val="20"/>
          <w:szCs w:val="20"/>
        </w:rPr>
      </w:pPr>
    </w:p>
    <w:p w:rsidR="00E20A63" w:rsidRDefault="00E20A63" w:rsidP="00881891">
      <w:pPr>
        <w:spacing w:after="0" w:line="240" w:lineRule="auto"/>
        <w:ind w:firstLine="708"/>
        <w:jc w:val="both"/>
        <w:rPr>
          <w:rFonts w:ascii="Adobe Garamond Pro" w:hAnsi="Adobe Garamond Pro" w:cs="Times New Roman"/>
          <w:sz w:val="20"/>
          <w:szCs w:val="20"/>
        </w:rPr>
      </w:pPr>
    </w:p>
    <w:p w:rsidR="00E20A63" w:rsidRDefault="00E20A63" w:rsidP="00881891">
      <w:pPr>
        <w:spacing w:after="0" w:line="240" w:lineRule="auto"/>
        <w:ind w:firstLine="708"/>
        <w:jc w:val="both"/>
        <w:rPr>
          <w:rFonts w:ascii="Adobe Garamond Pro" w:hAnsi="Adobe Garamond Pro" w:cs="Times New Roman"/>
          <w:sz w:val="20"/>
          <w:szCs w:val="20"/>
        </w:rPr>
      </w:pPr>
    </w:p>
    <w:p w:rsid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t>Iz prethodnog primjera, koji je modeliran na bruto platu od 2.000 EUR-a, iz razloga poređenja sa primjerima drugih država koji slijede u nastavku rada, vidi se struktura izdvajanja za zaposlenika po sadašnjim propisima u FBiH. U primjeru je i izkazan obračun poreza na dohodak, sa pretpostavkom odbitne stavke samo  zaposlenika i jednu izdržavanu osobu, iako u stvarnosti ogromna većina zaposlenika ima odbitak iz osnovice za porez na dohodak i po osnovu više izdržavanih članova i iz drugih osnova. Poređenjem izdvajanja za doprinose: za PIO, za zdravstvenu zaštitu i za osiguranje u slučaju nezaposlenosti, koji ukupno iz bruto i na bruto platu iznose 830,00 EUR, u odnosu na ukupni trošak poslodavca koji iznosi 2.210,00 EUR, da se izračunati da su ukupna izdvajanja za doprinose na i iz plata za poslodavca 37,56%.</w:t>
      </w:r>
    </w:p>
    <w:p w:rsidR="00E20A63" w:rsidRPr="00881891" w:rsidRDefault="00E20A63" w:rsidP="00881891">
      <w:pPr>
        <w:spacing w:after="0" w:line="240" w:lineRule="auto"/>
        <w:ind w:firstLine="708"/>
        <w:jc w:val="both"/>
        <w:rPr>
          <w:rFonts w:ascii="Adobe Garamond Pro" w:hAnsi="Adobe Garamond Pro" w:cs="Times New Roman"/>
          <w:sz w:val="20"/>
          <w:szCs w:val="20"/>
        </w:rPr>
      </w:pPr>
    </w:p>
    <w:p w:rsidR="00881891" w:rsidRPr="00881891" w:rsidRDefault="00881891" w:rsidP="0088189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Ukoliko u obračun stavimo porez na dohodak fizičkih osoba, po obračunu iz tabele, ukupna izdvajanja iz plate bi bila:</w:t>
      </w:r>
    </w:p>
    <w:p w:rsidR="00881891" w:rsidRPr="00881891" w:rsidRDefault="00881891" w:rsidP="00616109">
      <w:pPr>
        <w:pStyle w:val="ListParagraph"/>
        <w:numPr>
          <w:ilvl w:val="0"/>
          <w:numId w:val="11"/>
        </w:num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xml:space="preserve">ukupan trošak rada </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2.210,00 EUR,</w:t>
      </w:r>
    </w:p>
    <w:p w:rsidR="00881891" w:rsidRPr="00881891" w:rsidRDefault="00881891" w:rsidP="00616109">
      <w:pPr>
        <w:pStyle w:val="ListParagraph"/>
        <w:numPr>
          <w:ilvl w:val="0"/>
          <w:numId w:val="11"/>
        </w:num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doprinosi+porez na dohodak</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945,00 EUR,</w:t>
      </w:r>
    </w:p>
    <w:p w:rsidR="00881891" w:rsidRPr="00881891" w:rsidRDefault="00881891" w:rsidP="00616109">
      <w:pPr>
        <w:pStyle w:val="ListParagraph"/>
        <w:numPr>
          <w:ilvl w:val="0"/>
          <w:numId w:val="11"/>
        </w:num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neto plata</w:t>
      </w:r>
      <w:r w:rsidR="00E20A63">
        <w:rPr>
          <w:rFonts w:ascii="Adobe Garamond Pro" w:hAnsi="Adobe Garamond Pro" w:cs="Times New Roman"/>
          <w:sz w:val="20"/>
          <w:szCs w:val="20"/>
        </w:rPr>
        <w:t xml:space="preserve"> </w:t>
      </w:r>
      <w:r w:rsidRPr="00881891">
        <w:rPr>
          <w:rFonts w:ascii="Adobe Garamond Pro" w:hAnsi="Adobe Garamond Pro" w:cs="Times New Roman"/>
          <w:sz w:val="20"/>
          <w:szCs w:val="20"/>
        </w:rPr>
        <w:t>(bruto</w:t>
      </w:r>
      <w:r w:rsidR="00E20A63">
        <w:rPr>
          <w:rFonts w:ascii="Adobe Garamond Pro" w:hAnsi="Adobe Garamond Pro" w:cs="Times New Roman"/>
          <w:sz w:val="20"/>
          <w:szCs w:val="20"/>
        </w:rPr>
        <w:t xml:space="preserve"> </w:t>
      </w:r>
      <w:r w:rsidRPr="00881891">
        <w:rPr>
          <w:rFonts w:ascii="Adobe Garamond Pro" w:hAnsi="Adobe Garamond Pro" w:cs="Times New Roman"/>
          <w:sz w:val="20"/>
          <w:szCs w:val="20"/>
        </w:rPr>
        <w:t>umanjeno za porez i dopr.)</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1.265,00 EUR,</w:t>
      </w:r>
    </w:p>
    <w:p w:rsidR="00881891" w:rsidRPr="00881891" w:rsidRDefault="00881891" w:rsidP="00616109">
      <w:pPr>
        <w:pStyle w:val="ListParagraph"/>
        <w:numPr>
          <w:ilvl w:val="0"/>
          <w:numId w:val="11"/>
        </w:num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xml:space="preserve">ukupna </w:t>
      </w:r>
      <w:r w:rsidR="00E20A63">
        <w:rPr>
          <w:rFonts w:ascii="Adobe Garamond Pro" w:hAnsi="Adobe Garamond Pro" w:cs="Times New Roman"/>
          <w:sz w:val="20"/>
          <w:szCs w:val="20"/>
        </w:rPr>
        <w:t>stopa opterećenja iz bruto</w:t>
      </w:r>
      <w:r w:rsidR="00E20A63">
        <w:rPr>
          <w:rFonts w:ascii="Adobe Garamond Pro" w:hAnsi="Adobe Garamond Pro" w:cs="Times New Roman"/>
          <w:sz w:val="20"/>
          <w:szCs w:val="20"/>
        </w:rPr>
        <w:tab/>
      </w:r>
      <w:r w:rsidR="00E20A63">
        <w:rPr>
          <w:rFonts w:ascii="Adobe Garamond Pro" w:hAnsi="Adobe Garamond Pro" w:cs="Times New Roman"/>
          <w:sz w:val="20"/>
          <w:szCs w:val="20"/>
        </w:rPr>
        <w:tab/>
      </w:r>
      <w:r w:rsidR="00E20A63">
        <w:rPr>
          <w:rFonts w:ascii="Adobe Garamond Pro" w:hAnsi="Adobe Garamond Pro" w:cs="Times New Roman"/>
          <w:sz w:val="20"/>
          <w:szCs w:val="20"/>
        </w:rPr>
        <w:tab/>
      </w:r>
      <w:r w:rsidRPr="00881891">
        <w:rPr>
          <w:rFonts w:ascii="Adobe Garamond Pro" w:hAnsi="Adobe Garamond Pro" w:cs="Times New Roman"/>
          <w:sz w:val="20"/>
          <w:szCs w:val="20"/>
        </w:rPr>
        <w:t>42,76%,</w:t>
      </w:r>
    </w:p>
    <w:p w:rsidR="00E20A63" w:rsidRDefault="00881891" w:rsidP="00616109">
      <w:pPr>
        <w:pStyle w:val="ListParagraph"/>
        <w:numPr>
          <w:ilvl w:val="0"/>
          <w:numId w:val="11"/>
        </w:num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ukupno izdvajanje za PIO</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460,00 EUR, ili 20,81%</w:t>
      </w:r>
    </w:p>
    <w:p w:rsidR="00881891" w:rsidRPr="00E20A63" w:rsidRDefault="00881891" w:rsidP="00E20A63">
      <w:pPr>
        <w:spacing w:after="0" w:line="240" w:lineRule="auto"/>
        <w:jc w:val="both"/>
        <w:rPr>
          <w:rFonts w:ascii="Adobe Garamond Pro" w:hAnsi="Adobe Garamond Pro" w:cs="Times New Roman"/>
          <w:sz w:val="20"/>
          <w:szCs w:val="20"/>
        </w:rPr>
      </w:pPr>
      <w:r w:rsidRPr="00E20A63">
        <w:rPr>
          <w:rFonts w:ascii="Adobe Garamond Pro" w:hAnsi="Adobe Garamond Pro" w:cs="Times New Roman"/>
          <w:sz w:val="20"/>
          <w:szCs w:val="20"/>
        </w:rPr>
        <w:tab/>
        <w:t xml:space="preserve"> </w:t>
      </w:r>
    </w:p>
    <w:p w:rsidR="00881891" w:rsidRPr="00E20A63" w:rsidRDefault="00881891" w:rsidP="00881891">
      <w:pPr>
        <w:spacing w:after="0" w:line="240" w:lineRule="auto"/>
        <w:jc w:val="both"/>
        <w:rPr>
          <w:rFonts w:ascii="Adobe Garamond Pro" w:hAnsi="Adobe Garamond Pro" w:cs="Times New Roman"/>
          <w:b/>
        </w:rPr>
      </w:pPr>
      <w:r w:rsidRPr="00E20A63">
        <w:rPr>
          <w:rFonts w:ascii="Adobe Garamond Pro" w:hAnsi="Adobe Garamond Pro" w:cs="Times New Roman"/>
          <w:b/>
        </w:rPr>
        <w:t>Struktura bruto plate u Republici Srpskoj</w:t>
      </w:r>
    </w:p>
    <w:p w:rsidR="00E20A63" w:rsidRPr="00881891" w:rsidRDefault="00E20A63" w:rsidP="00881891">
      <w:pPr>
        <w:spacing w:after="0" w:line="240" w:lineRule="auto"/>
        <w:jc w:val="both"/>
        <w:rPr>
          <w:rFonts w:ascii="Adobe Garamond Pro" w:hAnsi="Adobe Garamond Pro" w:cs="Times New Roman"/>
          <w:b/>
          <w:sz w:val="20"/>
          <w:szCs w:val="20"/>
        </w:rPr>
      </w:pPr>
    </w:p>
    <w:p w:rsid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t>Sistem socijalnog osiguranja u RS je, kao i u FBiH, razvijan u zadnjih 15-ak godina na osnovama nasljeđenog sistema iz socijalističke Jugoslavije. To znači da su uspostavljena ista ili slična prava na penzionisanje i zdravstvenu zaštitu, kao i na osiguranje od nezaposlenosti, kakva su postojala do 1992.g., kao da su ratne godine „prespavane“. Osim „zaraze“ socijalističkom svijesti sistem je, kao i u FBiH, „obolio“ od obaveze davanja prava, u suštini nezaposlenim, zaposlenicima bivših socijalističkih preduzeća, te, dodatno, obaveze davanja prava ratnim veteranima.</w:t>
      </w:r>
    </w:p>
    <w:p w:rsidR="00E20A63" w:rsidRPr="00881891" w:rsidRDefault="00E20A63" w:rsidP="00881891">
      <w:pPr>
        <w:spacing w:after="0" w:line="240" w:lineRule="auto"/>
        <w:ind w:firstLine="708"/>
        <w:jc w:val="both"/>
        <w:rPr>
          <w:rFonts w:ascii="Adobe Garamond Pro" w:hAnsi="Adobe Garamond Pro" w:cs="Times New Roman"/>
          <w:sz w:val="20"/>
          <w:szCs w:val="20"/>
        </w:rPr>
      </w:pPr>
    </w:p>
    <w:p w:rsid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t>U prvih 5-6 godina poslije rata, kada je RS-u, zbog političkih problema, dolazila znatno manja finansijska pomoć iz Evrope i SAD-a, te kada je BDP i standard življenja bio znatno niži, izdvajanja za sistem socijalnu sigurnosti, te očekivanja stanovništva od tog sistema, su bila skromnija i sistem je finansijski bio znatno manje opterećen.  S početka 2000-tih godina, politički sistem RS-a se otvorio prema svijetu i počela su stizati i finansijska sredstva, ubrzano je porastao standard življenja stanovništva i još ubrzanije su porasla očekivanja od sistema socijalne sigurnosti. Penzije su počele rasti, ubrzano se razvijao zdravstveni sistem, gradile su se i osavremenjivale bolnice i druge zdravstvene ustanove i, naravno, porasle su potrebe za novcem za penzije i zdravstvenu zaštitu.</w:t>
      </w:r>
    </w:p>
    <w:p w:rsidR="00E20A63" w:rsidRPr="00881891" w:rsidRDefault="00E20A63" w:rsidP="00881891">
      <w:pPr>
        <w:spacing w:after="0" w:line="240" w:lineRule="auto"/>
        <w:ind w:firstLine="708"/>
        <w:jc w:val="both"/>
        <w:rPr>
          <w:rFonts w:ascii="Adobe Garamond Pro" w:hAnsi="Adobe Garamond Pro" w:cs="Times New Roman"/>
          <w:sz w:val="20"/>
          <w:szCs w:val="20"/>
        </w:rPr>
      </w:pPr>
    </w:p>
    <w:p w:rsid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lastRenderedPageBreak/>
        <w:t>Kao i u FBiH, jedno vrijeme je rastao i BDP, ali uglavnom iz osnova strane pomoći i donacija, dok razvoja privrede nije bilo, ili bar ne tempom kojim je rasla potrošnja. Republika Srpska je u tom periodu: 2000. do 2013.g. uradila jedan potez u fiskalnoj politici koji se razlikovao od FBiH, iako su se u suštini fiskalni sistemi razvijali na isti način, a to je naglo obaranje stopa doprinosa iz bruto plata (tada se prišlo bruto obračunu) 2006. g., sa obrazloženjem da se smanji opterećenje na plate u funkciji poboljšanja konkrentnosti realnog sektora, a što je trebalo da podstakne njegov razvoj i zapošljavanje.</w:t>
      </w:r>
    </w:p>
    <w:p w:rsidR="00E20A63" w:rsidRPr="00881891" w:rsidRDefault="00E20A63" w:rsidP="00881891">
      <w:pPr>
        <w:spacing w:after="0" w:line="240" w:lineRule="auto"/>
        <w:ind w:firstLine="708"/>
        <w:jc w:val="both"/>
        <w:rPr>
          <w:rFonts w:ascii="Adobe Garamond Pro" w:hAnsi="Adobe Garamond Pro" w:cs="Times New Roman"/>
          <w:sz w:val="20"/>
          <w:szCs w:val="20"/>
        </w:rPr>
      </w:pPr>
    </w:p>
    <w:p w:rsid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t>Pokriće za pad prihoda budžeta i vanbudžetskih fondova, za koje se smatralo da će se za godinu-dvije eliminirati povećanjem zaposlenosti u realnom sektoru, se našlo u sredstvima od prodaje strateških kompanija: Telecoma Srpske i Naftne industrije RS. Zaista su se te dvije prodaje desile u najboljem trenutku i po najboljoj cijeni, tako da „se imalo para“ narednih 5-6 godina.</w:t>
      </w:r>
    </w:p>
    <w:p w:rsidR="00E20A63" w:rsidRPr="00881891" w:rsidRDefault="00E20A63" w:rsidP="00881891">
      <w:pPr>
        <w:spacing w:after="0" w:line="240" w:lineRule="auto"/>
        <w:ind w:firstLine="708"/>
        <w:jc w:val="both"/>
        <w:rPr>
          <w:rFonts w:ascii="Adobe Garamond Pro" w:hAnsi="Adobe Garamond Pro" w:cs="Times New Roman"/>
          <w:sz w:val="20"/>
          <w:szCs w:val="20"/>
        </w:rPr>
      </w:pPr>
    </w:p>
    <w:p w:rsid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t xml:space="preserve">Zahvaljujući tom potezu </w:t>
      </w:r>
      <w:r w:rsidRPr="00E20A63">
        <w:rPr>
          <w:rFonts w:ascii="Adobe Garamond Pro" w:hAnsi="Adobe Garamond Pro" w:cs="Times New Roman"/>
          <w:sz w:val="20"/>
          <w:szCs w:val="20"/>
        </w:rPr>
        <w:t>stope doprinosa iz plata su u RS najniže u Evropi. Međutim svih tih godina, do danas, zaposlenost u realnom sektoru u RS kontinuirano se smanjuje u apsolutnom broju, prihodi u vanbudžetskih fondovima se realno smanjuju, što je stvarni dokaz da visina dop</w:t>
      </w:r>
      <w:r w:rsidRPr="00881891">
        <w:rPr>
          <w:rFonts w:ascii="Adobe Garamond Pro" w:hAnsi="Adobe Garamond Pro" w:cs="Times New Roman"/>
          <w:sz w:val="20"/>
          <w:szCs w:val="20"/>
        </w:rPr>
        <w:t>rinosa na plate nije niti najvažniji, a kamo li jedini uvjet za razvoj realnog sektora i za povećanje zapošljavanja u realnom sektoru.</w:t>
      </w:r>
    </w:p>
    <w:p w:rsidR="00E20A63" w:rsidRPr="00881891" w:rsidRDefault="00E20A63" w:rsidP="00881891">
      <w:pPr>
        <w:spacing w:after="0" w:line="240" w:lineRule="auto"/>
        <w:ind w:firstLine="708"/>
        <w:jc w:val="both"/>
        <w:rPr>
          <w:rFonts w:ascii="Adobe Garamond Pro" w:hAnsi="Adobe Garamond Pro" w:cs="Times New Roman"/>
          <w:sz w:val="20"/>
          <w:szCs w:val="20"/>
        </w:rPr>
      </w:pPr>
    </w:p>
    <w:p w:rsidR="00E20A63" w:rsidRDefault="00881891" w:rsidP="0088189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Kako to nije tema ovog istraživanja nećemo dalje to elaborirati već ćemo analizirati strukturu bruto primanja zaposlenika u Republici Srpskoj.</w:t>
      </w:r>
    </w:p>
    <w:p w:rsidR="00E20A63" w:rsidRDefault="00E20A63">
      <w:pPr>
        <w:rPr>
          <w:rFonts w:ascii="Adobe Garamond Pro" w:hAnsi="Adobe Garamond Pro" w:cs="Times New Roman"/>
          <w:sz w:val="20"/>
          <w:szCs w:val="20"/>
        </w:rPr>
      </w:pPr>
      <w:r>
        <w:rPr>
          <w:rFonts w:ascii="Adobe Garamond Pro" w:hAnsi="Adobe Garamond Pro" w:cs="Times New Roman"/>
          <w:sz w:val="20"/>
          <w:szCs w:val="20"/>
        </w:rPr>
        <w:br w:type="page"/>
      </w:r>
    </w:p>
    <w:p w:rsidR="00E20A63" w:rsidRPr="00881891" w:rsidRDefault="00E20A63" w:rsidP="00881891">
      <w:pPr>
        <w:spacing w:after="0" w:line="240" w:lineRule="auto"/>
        <w:jc w:val="both"/>
        <w:rPr>
          <w:rFonts w:ascii="Adobe Garamond Pro" w:hAnsi="Adobe Garamond Pro" w:cs="Times New Roman"/>
          <w:sz w:val="20"/>
          <w:szCs w:val="20"/>
        </w:rPr>
      </w:pPr>
    </w:p>
    <w:p w:rsidR="00881891" w:rsidRPr="00881891" w:rsidRDefault="00881891" w:rsidP="0088189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Tabela 2: Obračun bruto plate u RS po važećim propisima</w:t>
      </w:r>
    </w:p>
    <w:tbl>
      <w:tblPr>
        <w:tblW w:w="5000" w:type="pct"/>
        <w:tblLook w:val="04A0"/>
      </w:tblPr>
      <w:tblGrid>
        <w:gridCol w:w="5138"/>
        <w:gridCol w:w="881"/>
        <w:gridCol w:w="1426"/>
      </w:tblGrid>
      <w:tr w:rsidR="00881891" w:rsidRPr="00881891" w:rsidTr="00E20A63">
        <w:trPr>
          <w:trHeight w:val="281"/>
        </w:trPr>
        <w:tc>
          <w:tcPr>
            <w:tcW w:w="3500"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b/>
                <w:bCs/>
                <w:sz w:val="20"/>
                <w:szCs w:val="20"/>
                <w:u w:val="single"/>
              </w:rPr>
            </w:pPr>
            <w:r w:rsidRPr="00881891">
              <w:rPr>
                <w:rFonts w:ascii="Adobe Garamond Pro" w:hAnsi="Adobe Garamond Pro" w:cs="Times New Roman"/>
                <w:b/>
                <w:bCs/>
                <w:sz w:val="20"/>
                <w:szCs w:val="20"/>
                <w:u w:val="single"/>
              </w:rPr>
              <w:t>RS</w:t>
            </w:r>
          </w:p>
        </w:tc>
        <w:tc>
          <w:tcPr>
            <w:tcW w:w="641"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p>
        </w:tc>
        <w:tc>
          <w:tcPr>
            <w:tcW w:w="859"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p>
        </w:tc>
      </w:tr>
      <w:tr w:rsidR="00881891" w:rsidRPr="00881891" w:rsidTr="00E20A63">
        <w:trPr>
          <w:trHeight w:val="321"/>
        </w:trPr>
        <w:tc>
          <w:tcPr>
            <w:tcW w:w="3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891" w:rsidRPr="00E20A63" w:rsidRDefault="00881891" w:rsidP="00881891">
            <w:pPr>
              <w:spacing w:after="0" w:line="240" w:lineRule="auto"/>
              <w:rPr>
                <w:rFonts w:ascii="Adobe Garamond Pro" w:hAnsi="Adobe Garamond Pro" w:cs="Times New Roman"/>
                <w:b/>
                <w:sz w:val="20"/>
                <w:szCs w:val="20"/>
              </w:rPr>
            </w:pPr>
            <w:r w:rsidRPr="00E20A63">
              <w:rPr>
                <w:rFonts w:ascii="Adobe Garamond Pro" w:hAnsi="Adobe Garamond Pro" w:cs="Times New Roman"/>
                <w:b/>
                <w:sz w:val="20"/>
                <w:szCs w:val="20"/>
              </w:rPr>
              <w:t>BRUTO PLAĆA</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859"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EUR 2.000,00</w:t>
            </w:r>
          </w:p>
        </w:tc>
      </w:tr>
      <w:tr w:rsidR="00881891" w:rsidRPr="00881891" w:rsidTr="00E20A63">
        <w:trPr>
          <w:trHeight w:val="268"/>
        </w:trPr>
        <w:tc>
          <w:tcPr>
            <w:tcW w:w="3500"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641"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85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r>
      <w:tr w:rsidR="00881891" w:rsidRPr="00881891" w:rsidTr="00E20A63">
        <w:trPr>
          <w:trHeight w:val="281"/>
        </w:trPr>
        <w:tc>
          <w:tcPr>
            <w:tcW w:w="3500" w:type="pct"/>
            <w:tcBorders>
              <w:top w:val="nil"/>
              <w:left w:val="single" w:sz="4" w:space="0" w:color="auto"/>
              <w:bottom w:val="single" w:sz="4" w:space="0" w:color="auto"/>
              <w:right w:val="single" w:sz="4" w:space="0" w:color="auto"/>
            </w:tcBorders>
            <w:shd w:val="clear" w:color="auto" w:fill="auto"/>
            <w:noWrap/>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Doprinos za PIO-iz plaća (na teret osiguranika)</w:t>
            </w:r>
          </w:p>
        </w:tc>
        <w:tc>
          <w:tcPr>
            <w:tcW w:w="641"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18,50%</w:t>
            </w:r>
          </w:p>
        </w:tc>
        <w:tc>
          <w:tcPr>
            <w:tcW w:w="85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370,00</w:t>
            </w:r>
          </w:p>
        </w:tc>
      </w:tr>
      <w:tr w:rsidR="00881891" w:rsidRPr="00881891" w:rsidTr="00E20A63">
        <w:trPr>
          <w:trHeight w:val="281"/>
        </w:trPr>
        <w:tc>
          <w:tcPr>
            <w:tcW w:w="3500" w:type="pct"/>
            <w:tcBorders>
              <w:top w:val="nil"/>
              <w:left w:val="single" w:sz="4" w:space="0" w:color="auto"/>
              <w:bottom w:val="single" w:sz="4" w:space="0" w:color="auto"/>
              <w:right w:val="single" w:sz="4" w:space="0" w:color="auto"/>
            </w:tcBorders>
            <w:shd w:val="clear" w:color="auto" w:fill="auto"/>
            <w:noWrap/>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Dop. za zdrav. osig.-iz plaća (na teret osiguranika)</w:t>
            </w:r>
          </w:p>
        </w:tc>
        <w:tc>
          <w:tcPr>
            <w:tcW w:w="641"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11,50%</w:t>
            </w:r>
          </w:p>
        </w:tc>
        <w:tc>
          <w:tcPr>
            <w:tcW w:w="85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230,00</w:t>
            </w:r>
          </w:p>
        </w:tc>
      </w:tr>
      <w:tr w:rsidR="00881891" w:rsidRPr="00881891" w:rsidTr="00E20A63">
        <w:trPr>
          <w:trHeight w:val="281"/>
        </w:trPr>
        <w:tc>
          <w:tcPr>
            <w:tcW w:w="3500" w:type="pct"/>
            <w:tcBorders>
              <w:top w:val="nil"/>
              <w:left w:val="single" w:sz="4" w:space="0" w:color="auto"/>
              <w:bottom w:val="single" w:sz="4" w:space="0" w:color="auto"/>
              <w:right w:val="single" w:sz="4" w:space="0" w:color="auto"/>
            </w:tcBorders>
            <w:shd w:val="clear" w:color="auto" w:fill="auto"/>
            <w:noWrap/>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Dop. za osig. od nezap. -iz plaća (na teret osiguranika)</w:t>
            </w:r>
          </w:p>
        </w:tc>
        <w:tc>
          <w:tcPr>
            <w:tcW w:w="641"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1,00%</w:t>
            </w:r>
          </w:p>
        </w:tc>
        <w:tc>
          <w:tcPr>
            <w:tcW w:w="85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20,00</w:t>
            </w:r>
          </w:p>
        </w:tc>
      </w:tr>
      <w:tr w:rsidR="00881891" w:rsidRPr="00881891" w:rsidTr="00E20A63">
        <w:trPr>
          <w:trHeight w:val="281"/>
        </w:trPr>
        <w:tc>
          <w:tcPr>
            <w:tcW w:w="3500" w:type="pct"/>
            <w:tcBorders>
              <w:top w:val="nil"/>
              <w:left w:val="single" w:sz="4" w:space="0" w:color="auto"/>
              <w:bottom w:val="single" w:sz="4" w:space="0" w:color="auto"/>
              <w:right w:val="single" w:sz="4" w:space="0" w:color="auto"/>
            </w:tcBorders>
            <w:shd w:val="clear" w:color="auto" w:fill="auto"/>
            <w:noWrap/>
            <w:vAlign w:val="bottom"/>
            <w:hideMark/>
          </w:tcPr>
          <w:p w:rsidR="00881891" w:rsidRPr="00E20A63" w:rsidRDefault="00881891" w:rsidP="00881891">
            <w:pPr>
              <w:spacing w:after="0" w:line="240" w:lineRule="auto"/>
              <w:rPr>
                <w:rFonts w:ascii="Adobe Garamond Pro" w:hAnsi="Adobe Garamond Pro" w:cs="Times New Roman"/>
                <w:bCs/>
                <w:sz w:val="20"/>
                <w:szCs w:val="20"/>
              </w:rPr>
            </w:pPr>
            <w:r w:rsidRPr="00E20A63">
              <w:rPr>
                <w:rFonts w:ascii="Adobe Garamond Pro" w:hAnsi="Adobe Garamond Pro" w:cs="Times New Roman"/>
                <w:bCs/>
                <w:sz w:val="20"/>
                <w:szCs w:val="20"/>
              </w:rPr>
              <w:t>Dječija zaštita</w:t>
            </w:r>
          </w:p>
        </w:tc>
        <w:tc>
          <w:tcPr>
            <w:tcW w:w="641"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1,50%</w:t>
            </w:r>
          </w:p>
        </w:tc>
        <w:tc>
          <w:tcPr>
            <w:tcW w:w="85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30,00</w:t>
            </w:r>
          </w:p>
        </w:tc>
      </w:tr>
      <w:tr w:rsidR="00881891" w:rsidRPr="00881891" w:rsidTr="00E20A63">
        <w:trPr>
          <w:trHeight w:val="281"/>
        </w:trPr>
        <w:tc>
          <w:tcPr>
            <w:tcW w:w="3500"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DOPRINOSI IZ PLAĆE - UKUPNO</w:t>
            </w:r>
          </w:p>
        </w:tc>
        <w:tc>
          <w:tcPr>
            <w:tcW w:w="641" w:type="pct"/>
            <w:tcBorders>
              <w:top w:val="nil"/>
              <w:left w:val="nil"/>
              <w:bottom w:val="single" w:sz="4" w:space="0" w:color="auto"/>
              <w:right w:val="single" w:sz="4" w:space="0" w:color="auto"/>
            </w:tcBorders>
            <w:shd w:val="clear" w:color="auto" w:fill="auto"/>
            <w:noWrap/>
            <w:vAlign w:val="bottom"/>
            <w:hideMark/>
          </w:tcPr>
          <w:p w:rsidR="00881891" w:rsidRPr="00E20A63" w:rsidRDefault="00881891" w:rsidP="00881891">
            <w:pPr>
              <w:spacing w:after="0" w:line="240" w:lineRule="auto"/>
              <w:jc w:val="right"/>
              <w:rPr>
                <w:rFonts w:ascii="Adobe Garamond Pro" w:hAnsi="Adobe Garamond Pro" w:cs="Times New Roman"/>
                <w:b/>
                <w:bCs/>
                <w:sz w:val="18"/>
                <w:szCs w:val="18"/>
              </w:rPr>
            </w:pPr>
            <w:r w:rsidRPr="00E20A63">
              <w:rPr>
                <w:rFonts w:ascii="Adobe Garamond Pro" w:hAnsi="Adobe Garamond Pro" w:cs="Times New Roman"/>
                <w:b/>
                <w:bCs/>
                <w:sz w:val="18"/>
                <w:szCs w:val="18"/>
              </w:rPr>
              <w:t>32,50%</w:t>
            </w:r>
          </w:p>
        </w:tc>
        <w:tc>
          <w:tcPr>
            <w:tcW w:w="85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650,00</w:t>
            </w:r>
          </w:p>
        </w:tc>
      </w:tr>
      <w:tr w:rsidR="00881891" w:rsidRPr="00881891" w:rsidTr="00E20A63">
        <w:trPr>
          <w:trHeight w:val="268"/>
        </w:trPr>
        <w:tc>
          <w:tcPr>
            <w:tcW w:w="3500"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Opća olakšica+jedan izdr.osoba</w:t>
            </w:r>
          </w:p>
        </w:tc>
        <w:tc>
          <w:tcPr>
            <w:tcW w:w="641"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10%</w:t>
            </w:r>
          </w:p>
        </w:tc>
        <w:tc>
          <w:tcPr>
            <w:tcW w:w="85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230,00</w:t>
            </w:r>
          </w:p>
        </w:tc>
      </w:tr>
      <w:tr w:rsidR="00881891" w:rsidRPr="00881891" w:rsidTr="00E20A63">
        <w:trPr>
          <w:trHeight w:val="281"/>
        </w:trPr>
        <w:tc>
          <w:tcPr>
            <w:tcW w:w="3500"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Osnovica za porez</w:t>
            </w:r>
          </w:p>
        </w:tc>
        <w:tc>
          <w:tcPr>
            <w:tcW w:w="641"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85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1.120,00</w:t>
            </w:r>
          </w:p>
        </w:tc>
      </w:tr>
      <w:tr w:rsidR="00881891" w:rsidRPr="00881891" w:rsidTr="00E20A63">
        <w:trPr>
          <w:trHeight w:val="281"/>
        </w:trPr>
        <w:tc>
          <w:tcPr>
            <w:tcW w:w="3500"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Porez na dohodak</w:t>
            </w:r>
          </w:p>
        </w:tc>
        <w:tc>
          <w:tcPr>
            <w:tcW w:w="641"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10,00%</w:t>
            </w:r>
          </w:p>
        </w:tc>
        <w:tc>
          <w:tcPr>
            <w:tcW w:w="85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112,00</w:t>
            </w:r>
          </w:p>
        </w:tc>
      </w:tr>
      <w:tr w:rsidR="00881891" w:rsidRPr="00881891" w:rsidTr="00E20A63">
        <w:trPr>
          <w:trHeight w:val="281"/>
        </w:trPr>
        <w:tc>
          <w:tcPr>
            <w:tcW w:w="3500"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DOPRINOSI I POREZ</w:t>
            </w:r>
          </w:p>
        </w:tc>
        <w:tc>
          <w:tcPr>
            <w:tcW w:w="641"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85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762,00</w:t>
            </w:r>
          </w:p>
        </w:tc>
      </w:tr>
      <w:tr w:rsidR="00881891" w:rsidRPr="00881891" w:rsidTr="00E20A63">
        <w:trPr>
          <w:trHeight w:val="281"/>
        </w:trPr>
        <w:tc>
          <w:tcPr>
            <w:tcW w:w="3500"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NETO PLATA( BP-DOPRINOSI )</w:t>
            </w:r>
          </w:p>
        </w:tc>
        <w:tc>
          <w:tcPr>
            <w:tcW w:w="641"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r w:rsidRPr="00881891">
              <w:rPr>
                <w:rFonts w:ascii="Adobe Garamond Pro" w:hAnsi="Adobe Garamond Pro" w:cs="Times New Roman"/>
                <w:sz w:val="20"/>
                <w:szCs w:val="20"/>
              </w:rPr>
              <w:t> </w:t>
            </w:r>
          </w:p>
        </w:tc>
        <w:tc>
          <w:tcPr>
            <w:tcW w:w="85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r w:rsidRPr="00881891">
              <w:rPr>
                <w:rFonts w:ascii="Adobe Garamond Pro" w:hAnsi="Adobe Garamond Pro" w:cs="Times New Roman"/>
                <w:b/>
                <w:bCs/>
                <w:sz w:val="20"/>
                <w:szCs w:val="20"/>
              </w:rPr>
              <w:t>1.350,00</w:t>
            </w:r>
          </w:p>
        </w:tc>
      </w:tr>
      <w:tr w:rsidR="00881891" w:rsidRPr="00881891" w:rsidTr="00E20A63">
        <w:trPr>
          <w:trHeight w:val="268"/>
        </w:trPr>
        <w:tc>
          <w:tcPr>
            <w:tcW w:w="3500"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b/>
                <w:sz w:val="20"/>
                <w:szCs w:val="20"/>
              </w:rPr>
            </w:pPr>
            <w:r w:rsidRPr="00881891">
              <w:rPr>
                <w:rFonts w:ascii="Adobe Garamond Pro" w:hAnsi="Adobe Garamond Pro" w:cs="Times New Roman"/>
                <w:b/>
                <w:sz w:val="20"/>
                <w:szCs w:val="20"/>
              </w:rPr>
              <w:t> NETO ZA ISPLATU(Bruto-doprinosi-porez)</w:t>
            </w:r>
          </w:p>
        </w:tc>
        <w:tc>
          <w:tcPr>
            <w:tcW w:w="641"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b/>
                <w:sz w:val="20"/>
                <w:szCs w:val="20"/>
              </w:rPr>
            </w:pPr>
            <w:r w:rsidRPr="00881891">
              <w:rPr>
                <w:rFonts w:ascii="Adobe Garamond Pro" w:hAnsi="Adobe Garamond Pro" w:cs="Times New Roman"/>
                <w:b/>
                <w:sz w:val="20"/>
                <w:szCs w:val="20"/>
              </w:rPr>
              <w:t> </w:t>
            </w:r>
          </w:p>
        </w:tc>
        <w:tc>
          <w:tcPr>
            <w:tcW w:w="85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b/>
                <w:sz w:val="20"/>
                <w:szCs w:val="20"/>
              </w:rPr>
            </w:pPr>
            <w:r w:rsidRPr="00881891">
              <w:rPr>
                <w:rFonts w:ascii="Adobe Garamond Pro" w:hAnsi="Adobe Garamond Pro" w:cs="Times New Roman"/>
                <w:b/>
                <w:sz w:val="20"/>
                <w:szCs w:val="20"/>
              </w:rPr>
              <w:t>        1.238,00</w:t>
            </w:r>
          </w:p>
        </w:tc>
      </w:tr>
      <w:tr w:rsidR="00881891" w:rsidRPr="00881891" w:rsidTr="00E20A63">
        <w:trPr>
          <w:trHeight w:val="268"/>
        </w:trPr>
        <w:tc>
          <w:tcPr>
            <w:tcW w:w="3500"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p>
        </w:tc>
        <w:tc>
          <w:tcPr>
            <w:tcW w:w="641"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p>
        </w:tc>
        <w:tc>
          <w:tcPr>
            <w:tcW w:w="859"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p>
        </w:tc>
      </w:tr>
      <w:tr w:rsidR="00881891" w:rsidRPr="00881891" w:rsidTr="00E20A63">
        <w:trPr>
          <w:trHeight w:val="281"/>
        </w:trPr>
        <w:tc>
          <w:tcPr>
            <w:tcW w:w="3500"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Doprinosi</w:t>
            </w:r>
          </w:p>
        </w:tc>
        <w:tc>
          <w:tcPr>
            <w:tcW w:w="641"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p>
        </w:tc>
        <w:tc>
          <w:tcPr>
            <w:tcW w:w="859"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650,00</w:t>
            </w:r>
          </w:p>
        </w:tc>
      </w:tr>
      <w:tr w:rsidR="00881891" w:rsidRPr="00881891" w:rsidTr="00E20A63">
        <w:trPr>
          <w:trHeight w:val="281"/>
        </w:trPr>
        <w:tc>
          <w:tcPr>
            <w:tcW w:w="3500"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b/>
                <w:bCs/>
                <w:sz w:val="20"/>
                <w:szCs w:val="20"/>
              </w:rPr>
            </w:pPr>
            <w:r w:rsidRPr="00881891">
              <w:rPr>
                <w:rFonts w:ascii="Adobe Garamond Pro" w:hAnsi="Adobe Garamond Pro" w:cs="Times New Roman"/>
                <w:b/>
                <w:bCs/>
                <w:sz w:val="20"/>
                <w:szCs w:val="20"/>
              </w:rPr>
              <w:t>Porez</w:t>
            </w:r>
          </w:p>
        </w:tc>
        <w:tc>
          <w:tcPr>
            <w:tcW w:w="641"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p>
        </w:tc>
        <w:tc>
          <w:tcPr>
            <w:tcW w:w="859"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r w:rsidRPr="00881891">
              <w:rPr>
                <w:rFonts w:ascii="Adobe Garamond Pro" w:hAnsi="Adobe Garamond Pro" w:cs="Times New Roman"/>
                <w:sz w:val="20"/>
                <w:szCs w:val="20"/>
              </w:rPr>
              <w:t>112,00</w:t>
            </w:r>
          </w:p>
        </w:tc>
      </w:tr>
      <w:tr w:rsidR="00881891" w:rsidRPr="00881891" w:rsidTr="00E20A63">
        <w:trPr>
          <w:trHeight w:val="281"/>
        </w:trPr>
        <w:tc>
          <w:tcPr>
            <w:tcW w:w="3500" w:type="pct"/>
            <w:tcBorders>
              <w:top w:val="nil"/>
              <w:left w:val="nil"/>
              <w:bottom w:val="nil"/>
              <w:right w:val="nil"/>
            </w:tcBorders>
            <w:shd w:val="clear" w:color="auto" w:fill="auto"/>
            <w:noWrap/>
            <w:vAlign w:val="bottom"/>
            <w:hideMark/>
          </w:tcPr>
          <w:p w:rsidR="00881891" w:rsidRPr="00E20A63" w:rsidRDefault="00881891" w:rsidP="00881891">
            <w:pPr>
              <w:pBdr>
                <w:bottom w:val="single" w:sz="12" w:space="1" w:color="auto"/>
              </w:pBdr>
              <w:spacing w:after="0" w:line="240" w:lineRule="auto"/>
              <w:rPr>
                <w:rFonts w:ascii="Adobe Garamond Pro" w:hAnsi="Adobe Garamond Pro" w:cs="Times New Roman"/>
                <w:bCs/>
                <w:i/>
                <w:sz w:val="20"/>
                <w:szCs w:val="20"/>
              </w:rPr>
            </w:pPr>
          </w:p>
          <w:p w:rsidR="00881891" w:rsidRPr="00E20A63" w:rsidRDefault="00881891" w:rsidP="00E20A63">
            <w:pPr>
              <w:spacing w:after="0" w:line="240" w:lineRule="auto"/>
              <w:ind w:right="-814"/>
              <w:rPr>
                <w:rFonts w:ascii="Adobe Garamond Pro" w:hAnsi="Adobe Garamond Pro" w:cs="Times New Roman"/>
                <w:bCs/>
                <w:i/>
                <w:sz w:val="20"/>
                <w:szCs w:val="20"/>
              </w:rPr>
            </w:pPr>
            <w:r w:rsidRPr="00E20A63">
              <w:rPr>
                <w:rFonts w:ascii="Adobe Garamond Pro" w:hAnsi="Adobe Garamond Pro" w:cs="Times New Roman"/>
                <w:bCs/>
                <w:i/>
                <w:sz w:val="20"/>
                <w:szCs w:val="20"/>
              </w:rPr>
              <w:t>Izvor: Obračun plate po Zakonu o doprinosima Republike</w:t>
            </w:r>
            <w:r w:rsidR="00E20A63" w:rsidRPr="00E20A63">
              <w:rPr>
                <w:rFonts w:ascii="Adobe Garamond Pro" w:hAnsi="Adobe Garamond Pro" w:cs="Times New Roman"/>
                <w:bCs/>
                <w:i/>
                <w:sz w:val="20"/>
                <w:szCs w:val="20"/>
              </w:rPr>
              <w:t xml:space="preserve"> </w:t>
            </w:r>
            <w:r w:rsidRPr="00E20A63">
              <w:rPr>
                <w:rFonts w:ascii="Adobe Garamond Pro" w:hAnsi="Adobe Garamond Pro" w:cs="Times New Roman"/>
                <w:bCs/>
                <w:i/>
                <w:sz w:val="20"/>
                <w:szCs w:val="20"/>
              </w:rPr>
              <w:t>Srpske</w:t>
            </w:r>
          </w:p>
        </w:tc>
        <w:tc>
          <w:tcPr>
            <w:tcW w:w="641"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p>
        </w:tc>
        <w:tc>
          <w:tcPr>
            <w:tcW w:w="859"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sz w:val="20"/>
                <w:szCs w:val="20"/>
              </w:rPr>
            </w:pPr>
          </w:p>
        </w:tc>
      </w:tr>
      <w:tr w:rsidR="00881891" w:rsidRPr="00881891" w:rsidTr="00E20A63">
        <w:trPr>
          <w:trHeight w:val="281"/>
        </w:trPr>
        <w:tc>
          <w:tcPr>
            <w:tcW w:w="3500"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p>
        </w:tc>
        <w:tc>
          <w:tcPr>
            <w:tcW w:w="641"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hAnsi="Adobe Garamond Pro" w:cs="Times New Roman"/>
                <w:sz w:val="20"/>
                <w:szCs w:val="20"/>
              </w:rPr>
            </w:pPr>
          </w:p>
        </w:tc>
        <w:tc>
          <w:tcPr>
            <w:tcW w:w="859"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jc w:val="right"/>
              <w:rPr>
                <w:rFonts w:ascii="Adobe Garamond Pro" w:hAnsi="Adobe Garamond Pro" w:cs="Times New Roman"/>
                <w:b/>
                <w:bCs/>
                <w:sz w:val="20"/>
                <w:szCs w:val="20"/>
              </w:rPr>
            </w:pPr>
          </w:p>
        </w:tc>
      </w:tr>
      <w:tr w:rsidR="00881891" w:rsidRPr="00881891" w:rsidTr="00E20A63">
        <w:trPr>
          <w:trHeight w:val="268"/>
        </w:trPr>
        <w:tc>
          <w:tcPr>
            <w:tcW w:w="3500"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sz w:val="20"/>
                <w:szCs w:val="20"/>
                <w:lang w:eastAsia="bs-Latn-BA"/>
              </w:rPr>
            </w:pPr>
          </w:p>
        </w:tc>
        <w:tc>
          <w:tcPr>
            <w:tcW w:w="641"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sz w:val="20"/>
                <w:szCs w:val="20"/>
                <w:lang w:eastAsia="bs-Latn-BA"/>
              </w:rPr>
            </w:pPr>
          </w:p>
        </w:tc>
        <w:tc>
          <w:tcPr>
            <w:tcW w:w="859" w:type="pct"/>
            <w:tcBorders>
              <w:top w:val="nil"/>
              <w:left w:val="nil"/>
              <w:bottom w:val="nil"/>
              <w:right w:val="nil"/>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sz w:val="20"/>
                <w:szCs w:val="20"/>
                <w:lang w:eastAsia="bs-Latn-BA"/>
              </w:rPr>
            </w:pPr>
          </w:p>
        </w:tc>
      </w:tr>
    </w:tbl>
    <w:p w:rsidR="00881891" w:rsidRDefault="00881891" w:rsidP="00881891">
      <w:pPr>
        <w:spacing w:after="0" w:line="240" w:lineRule="auto"/>
        <w:ind w:firstLine="708"/>
        <w:jc w:val="both"/>
        <w:rPr>
          <w:rFonts w:ascii="Adobe Garamond Pro" w:hAnsi="Adobe Garamond Pro" w:cs="Times New Roman"/>
          <w:bCs/>
          <w:sz w:val="20"/>
          <w:szCs w:val="20"/>
        </w:rPr>
      </w:pPr>
      <w:r w:rsidRPr="00881891">
        <w:rPr>
          <w:rFonts w:ascii="Adobe Garamond Pro" w:hAnsi="Adobe Garamond Pro" w:cs="Times New Roman"/>
          <w:bCs/>
          <w:sz w:val="20"/>
          <w:szCs w:val="20"/>
        </w:rPr>
        <w:t>Kao što se iz gornje tabele vidi obračun doprinosa na plate u RS je na tzv.bruto principu i kompletan iznos je na teret zaposlenika.Tako obračunati doprinosi, kao što se vidi, su 32,50% iz bruto plate i tako posmatrani su najniži u Evropi. Međutim u RS se doprinosi obračunavaju i na ostale naknade kao, npr. topli obrok, te ako se u osnovicu doda prosječno još 300 KM i obračuna 32,50% dobije se još 97,50 KM plaćanja za doprinose. Kada se to doda na iznos doprinosa iz tabele i stavi u odnos sa bruto platom stopa doprinosa iz bruto plate se povećava sa 32,50% na 37,37% ,dakle približna onoj u FBiH,ali i dalje među najnižim u Evropi. Kada uporedimo ukupna davanja, sa uključenim porezom na dohodak, sa ukupnim troškom plate procenat je u RS 38,10%. Kada se u izdvajanja za porze i doprinose ukuljuči i procjenjeni iznos na ostala oporeziva primanja od 97,50 KM, dobije se ukupna stopa opterećenja porezima i doprinosima iz ukupnog troška, koji plaća poslodvaca, 42,97%.</w:t>
      </w:r>
    </w:p>
    <w:p w:rsidR="000C0393" w:rsidRDefault="000C0393" w:rsidP="00881891">
      <w:pPr>
        <w:spacing w:after="0" w:line="240" w:lineRule="auto"/>
        <w:ind w:firstLine="708"/>
        <w:jc w:val="both"/>
        <w:rPr>
          <w:rFonts w:ascii="Adobe Garamond Pro" w:hAnsi="Adobe Garamond Pro" w:cs="Times New Roman"/>
          <w:bCs/>
          <w:sz w:val="20"/>
          <w:szCs w:val="20"/>
        </w:rPr>
      </w:pPr>
    </w:p>
    <w:p w:rsidR="000C0393" w:rsidRDefault="000C0393" w:rsidP="00881891">
      <w:pPr>
        <w:spacing w:after="0" w:line="240" w:lineRule="auto"/>
        <w:ind w:firstLine="708"/>
        <w:jc w:val="both"/>
        <w:rPr>
          <w:rFonts w:ascii="Adobe Garamond Pro" w:hAnsi="Adobe Garamond Pro" w:cs="Times New Roman"/>
          <w:bCs/>
          <w:sz w:val="20"/>
          <w:szCs w:val="20"/>
        </w:rPr>
      </w:pPr>
    </w:p>
    <w:p w:rsidR="000C0393" w:rsidRDefault="000C0393" w:rsidP="00881891">
      <w:pPr>
        <w:spacing w:after="0" w:line="240" w:lineRule="auto"/>
        <w:ind w:firstLine="708"/>
        <w:jc w:val="both"/>
        <w:rPr>
          <w:rFonts w:ascii="Adobe Garamond Pro" w:hAnsi="Adobe Garamond Pro" w:cs="Times New Roman"/>
          <w:bCs/>
          <w:sz w:val="20"/>
          <w:szCs w:val="20"/>
        </w:rPr>
      </w:pPr>
    </w:p>
    <w:p w:rsidR="000C0393" w:rsidRDefault="000C0393" w:rsidP="00881891">
      <w:pPr>
        <w:spacing w:after="0" w:line="240" w:lineRule="auto"/>
        <w:ind w:firstLine="708"/>
        <w:jc w:val="both"/>
        <w:rPr>
          <w:rFonts w:ascii="Adobe Garamond Pro" w:hAnsi="Adobe Garamond Pro" w:cs="Times New Roman"/>
          <w:bCs/>
          <w:sz w:val="20"/>
          <w:szCs w:val="20"/>
        </w:rPr>
      </w:pPr>
    </w:p>
    <w:p w:rsidR="000C0393" w:rsidRPr="00881891" w:rsidRDefault="000C0393" w:rsidP="00881891">
      <w:pPr>
        <w:spacing w:after="0" w:line="240" w:lineRule="auto"/>
        <w:ind w:firstLine="708"/>
        <w:jc w:val="both"/>
        <w:rPr>
          <w:rFonts w:ascii="Adobe Garamond Pro" w:hAnsi="Adobe Garamond Pro" w:cs="Times New Roman"/>
          <w:bCs/>
          <w:sz w:val="20"/>
          <w:szCs w:val="20"/>
        </w:rPr>
      </w:pPr>
    </w:p>
    <w:p w:rsidR="00881891" w:rsidRPr="000C0393" w:rsidRDefault="00881891" w:rsidP="00881891">
      <w:pPr>
        <w:spacing w:after="0" w:line="240" w:lineRule="auto"/>
        <w:jc w:val="both"/>
        <w:rPr>
          <w:rFonts w:ascii="Adobe Garamond Pro" w:hAnsi="Adobe Garamond Pro" w:cs="Times New Roman"/>
          <w:b/>
        </w:rPr>
      </w:pPr>
      <w:r w:rsidRPr="000C0393">
        <w:rPr>
          <w:rFonts w:ascii="Adobe Garamond Pro" w:hAnsi="Adobe Garamond Pro" w:cs="Times New Roman"/>
          <w:b/>
        </w:rPr>
        <w:lastRenderedPageBreak/>
        <w:t>Struktura bruto plate u državama u okruženju i u nekim državama EU</w:t>
      </w:r>
    </w:p>
    <w:p w:rsidR="000C0393" w:rsidRPr="00881891" w:rsidRDefault="000C0393" w:rsidP="00881891">
      <w:pPr>
        <w:spacing w:after="0" w:line="240" w:lineRule="auto"/>
        <w:jc w:val="both"/>
        <w:rPr>
          <w:rFonts w:ascii="Adobe Garamond Pro" w:hAnsi="Adobe Garamond Pro" w:cs="Times New Roman"/>
          <w:b/>
          <w:sz w:val="20"/>
          <w:szCs w:val="20"/>
        </w:rPr>
      </w:pPr>
    </w:p>
    <w:p w:rsidR="00881891" w:rsidRPr="000C0393" w:rsidRDefault="00881891" w:rsidP="00881891">
      <w:pPr>
        <w:spacing w:after="0" w:line="240" w:lineRule="auto"/>
        <w:jc w:val="both"/>
        <w:rPr>
          <w:rFonts w:ascii="Adobe Garamond Pro" w:hAnsi="Adobe Garamond Pro" w:cs="Times New Roman"/>
          <w:b/>
        </w:rPr>
      </w:pPr>
      <w:r w:rsidRPr="000C0393">
        <w:rPr>
          <w:rFonts w:ascii="Adobe Garamond Pro" w:hAnsi="Adobe Garamond Pro" w:cs="Times New Roman"/>
          <w:b/>
        </w:rPr>
        <w:t>Struktura bruto plate u Crnoj Gori</w:t>
      </w:r>
    </w:p>
    <w:p w:rsidR="000C0393" w:rsidRDefault="000C0393" w:rsidP="00881891">
      <w:pPr>
        <w:spacing w:after="0" w:line="240" w:lineRule="auto"/>
        <w:jc w:val="both"/>
        <w:rPr>
          <w:rFonts w:ascii="Adobe Garamond Pro" w:hAnsi="Adobe Garamond Pro" w:cs="Times New Roman"/>
          <w:b/>
          <w:sz w:val="20"/>
          <w:szCs w:val="20"/>
        </w:rPr>
      </w:pPr>
    </w:p>
    <w:p w:rsidR="000C0393" w:rsidRPr="00881891" w:rsidRDefault="000C0393" w:rsidP="00881891">
      <w:pPr>
        <w:spacing w:after="0" w:line="240" w:lineRule="auto"/>
        <w:jc w:val="both"/>
        <w:rPr>
          <w:rFonts w:ascii="Adobe Garamond Pro" w:hAnsi="Adobe Garamond Pro" w:cs="Times New Roman"/>
          <w:b/>
          <w:sz w:val="20"/>
          <w:szCs w:val="20"/>
        </w:rPr>
      </w:pPr>
      <w:r w:rsidRPr="00881891">
        <w:rPr>
          <w:rFonts w:ascii="Adobe Garamond Pro" w:eastAsia="Times New Roman" w:hAnsi="Adobe Garamond Pro" w:cs="Times New Roman"/>
          <w:color w:val="000000"/>
          <w:sz w:val="20"/>
          <w:szCs w:val="20"/>
          <w:lang w:eastAsia="bs-Latn-BA"/>
        </w:rPr>
        <w:t xml:space="preserve">Tabela 3: </w:t>
      </w:r>
      <w:r w:rsidR="006E2929">
        <w:rPr>
          <w:rFonts w:ascii="Adobe Garamond Pro" w:eastAsia="Times New Roman" w:hAnsi="Adobe Garamond Pro" w:cs="Times New Roman"/>
          <w:color w:val="000000"/>
          <w:sz w:val="20"/>
          <w:szCs w:val="20"/>
          <w:lang w:eastAsia="bs-Latn-BA"/>
        </w:rPr>
        <w:t>O</w:t>
      </w:r>
      <w:r w:rsidRPr="00881891">
        <w:rPr>
          <w:rFonts w:ascii="Adobe Garamond Pro" w:eastAsia="Times New Roman" w:hAnsi="Adobe Garamond Pro" w:cs="Times New Roman"/>
          <w:color w:val="000000"/>
          <w:sz w:val="20"/>
          <w:szCs w:val="20"/>
          <w:lang w:eastAsia="bs-Latn-BA"/>
        </w:rPr>
        <w:t xml:space="preserve">bračun  fiskaliteta na i iz bruto zarada  prema propisima u </w:t>
      </w:r>
      <w:r>
        <w:rPr>
          <w:rFonts w:ascii="Adobe Garamond Pro" w:eastAsia="Times New Roman" w:hAnsi="Adobe Garamond Pro" w:cs="Times New Roman"/>
          <w:color w:val="000000"/>
          <w:sz w:val="20"/>
          <w:szCs w:val="20"/>
          <w:lang w:eastAsia="bs-Latn-BA"/>
        </w:rPr>
        <w:t>C</w:t>
      </w:r>
      <w:r w:rsidRPr="00881891">
        <w:rPr>
          <w:rFonts w:ascii="Adobe Garamond Pro" w:eastAsia="Times New Roman" w:hAnsi="Adobe Garamond Pro" w:cs="Times New Roman"/>
          <w:color w:val="000000"/>
          <w:sz w:val="20"/>
          <w:szCs w:val="20"/>
          <w:lang w:eastAsia="bs-Latn-BA"/>
        </w:rPr>
        <w:t xml:space="preserve">rnoj </w:t>
      </w:r>
      <w:r>
        <w:rPr>
          <w:rFonts w:ascii="Adobe Garamond Pro" w:eastAsia="Times New Roman" w:hAnsi="Adobe Garamond Pro" w:cs="Times New Roman"/>
          <w:color w:val="000000"/>
          <w:sz w:val="20"/>
          <w:szCs w:val="20"/>
          <w:lang w:eastAsia="bs-Latn-BA"/>
        </w:rPr>
        <w:t>G</w:t>
      </w:r>
      <w:r w:rsidRPr="00881891">
        <w:rPr>
          <w:rFonts w:ascii="Adobe Garamond Pro" w:eastAsia="Times New Roman" w:hAnsi="Adobe Garamond Pro" w:cs="Times New Roman"/>
          <w:color w:val="000000"/>
          <w:sz w:val="20"/>
          <w:szCs w:val="20"/>
          <w:lang w:eastAsia="bs-Latn-BA"/>
        </w:rPr>
        <w:t>ori</w:t>
      </w:r>
    </w:p>
    <w:tbl>
      <w:tblPr>
        <w:tblW w:w="5000" w:type="pct"/>
        <w:tblLook w:val="04A0"/>
      </w:tblPr>
      <w:tblGrid>
        <w:gridCol w:w="797"/>
        <w:gridCol w:w="1845"/>
        <w:gridCol w:w="1142"/>
        <w:gridCol w:w="1546"/>
        <w:gridCol w:w="2115"/>
      </w:tblGrid>
      <w:tr w:rsidR="00881891" w:rsidRPr="000C0393" w:rsidTr="000C0393">
        <w:trPr>
          <w:trHeight w:val="300"/>
        </w:trPr>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 </w:t>
            </w:r>
          </w:p>
        </w:tc>
        <w:tc>
          <w:tcPr>
            <w:tcW w:w="1241" w:type="pct"/>
            <w:tcBorders>
              <w:top w:val="single" w:sz="4" w:space="0" w:color="auto"/>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 </w:t>
            </w:r>
          </w:p>
        </w:tc>
        <w:tc>
          <w:tcPr>
            <w:tcW w:w="760" w:type="pct"/>
            <w:tcBorders>
              <w:top w:val="single" w:sz="4" w:space="0" w:color="auto"/>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osnovica</w:t>
            </w:r>
          </w:p>
        </w:tc>
        <w:tc>
          <w:tcPr>
            <w:tcW w:w="1040" w:type="pct"/>
            <w:tcBorders>
              <w:top w:val="single" w:sz="4" w:space="0" w:color="auto"/>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stopa</w:t>
            </w:r>
          </w:p>
        </w:tc>
        <w:tc>
          <w:tcPr>
            <w:tcW w:w="1422" w:type="pct"/>
            <w:tcBorders>
              <w:top w:val="single" w:sz="4" w:space="0" w:color="auto"/>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Iznos</w:t>
            </w:r>
          </w:p>
        </w:tc>
      </w:tr>
      <w:tr w:rsidR="00881891" w:rsidRPr="000C0393" w:rsidTr="000C0393">
        <w:trPr>
          <w:trHeight w:val="3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1.</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 xml:space="preserve">bruto zarada </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 </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 </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EUR 2.000,00</w:t>
            </w:r>
          </w:p>
        </w:tc>
      </w:tr>
      <w:tr w:rsidR="00881891" w:rsidRPr="000C0393" w:rsidTr="000C0393">
        <w:trPr>
          <w:trHeight w:val="855"/>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2.</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porez na dohodak fizičkih lica</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bruto zarada</w:t>
            </w:r>
          </w:p>
        </w:tc>
        <w:tc>
          <w:tcPr>
            <w:tcW w:w="1040"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9% na iznos do 720 € , a 15% na iznos preko 720 €</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256,80</w:t>
            </w:r>
          </w:p>
        </w:tc>
      </w:tr>
      <w:tr w:rsidR="00881891" w:rsidRPr="000C0393" w:rsidTr="000C0393">
        <w:trPr>
          <w:trHeight w:val="6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3.</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doprinosi na teret zaposlenog</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bruto zarada</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 </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480,00</w:t>
            </w:r>
          </w:p>
        </w:tc>
      </w:tr>
      <w:tr w:rsidR="00881891" w:rsidRPr="000C0393" w:rsidTr="000C0393">
        <w:trPr>
          <w:trHeight w:val="3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3.1.</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Doprinos za PIO</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bruto zarada</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15%</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300,00</w:t>
            </w:r>
          </w:p>
        </w:tc>
      </w:tr>
      <w:tr w:rsidR="00881891" w:rsidRPr="000C0393" w:rsidTr="000C0393">
        <w:trPr>
          <w:trHeight w:val="525"/>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3.2.</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Doprinos za zdravstveno osiguranje</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bruto zarada</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8,50%</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170,00</w:t>
            </w:r>
          </w:p>
        </w:tc>
      </w:tr>
      <w:tr w:rsidR="00881891" w:rsidRPr="000C0393" w:rsidTr="000C0393">
        <w:trPr>
          <w:trHeight w:val="48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3.3.</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 xml:space="preserve">Doprinos za osiguranje </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bruto zarada</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0,50%</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10,00</w:t>
            </w:r>
          </w:p>
        </w:tc>
      </w:tr>
      <w:tr w:rsidR="00881891" w:rsidRPr="000C0393" w:rsidTr="000C0393">
        <w:trPr>
          <w:trHeight w:val="3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4.</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Neto zarada (1-2-3)</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 </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 </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1.263,20</w:t>
            </w:r>
          </w:p>
        </w:tc>
      </w:tr>
      <w:tr w:rsidR="00881891" w:rsidRPr="000C0393" w:rsidTr="000C0393">
        <w:trPr>
          <w:trHeight w:val="6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 xml:space="preserve">5. </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Doprinosi na teret poslodavca</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 </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 </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204,00</w:t>
            </w:r>
          </w:p>
        </w:tc>
      </w:tr>
      <w:tr w:rsidR="00881891" w:rsidRPr="000C0393" w:rsidTr="000C0393">
        <w:trPr>
          <w:trHeight w:val="3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5.1.</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Doprinos za PIO</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bruto zarada</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5,50%</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110,00</w:t>
            </w:r>
          </w:p>
        </w:tc>
      </w:tr>
      <w:tr w:rsidR="00881891" w:rsidRPr="000C0393" w:rsidTr="000C0393">
        <w:trPr>
          <w:trHeight w:val="9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5.2.</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Doprinos za zdravstveno osiguranje</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bruto zarada</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3,80%</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76,00</w:t>
            </w:r>
          </w:p>
        </w:tc>
      </w:tr>
      <w:tr w:rsidR="00881891" w:rsidRPr="000C0393" w:rsidTr="000C0393">
        <w:trPr>
          <w:trHeight w:val="6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5.3.</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 xml:space="preserve">Doprinos za osiguranje </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bruto zarada</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0,50%</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10,00</w:t>
            </w:r>
          </w:p>
        </w:tc>
      </w:tr>
      <w:tr w:rsidR="00881891" w:rsidRPr="000C0393" w:rsidTr="000C0393">
        <w:trPr>
          <w:trHeight w:val="3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5.4.</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Doprinos Fondu rada</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bruto zarada</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0,20%</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4,00</w:t>
            </w:r>
          </w:p>
        </w:tc>
      </w:tr>
      <w:tr w:rsidR="00881891" w:rsidRPr="000C0393" w:rsidTr="000C0393">
        <w:trPr>
          <w:trHeight w:val="3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5.5.</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Sredstva sindikata</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bruto zarada</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0,20%</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0C0393">
              <w:rPr>
                <w:rFonts w:ascii="Adobe Garamond Pro" w:eastAsia="Times New Roman" w:hAnsi="Adobe Garamond Pro" w:cs="Times New Roman"/>
                <w:color w:val="000000"/>
                <w:sz w:val="18"/>
                <w:szCs w:val="18"/>
                <w:lang w:eastAsia="bs-Latn-BA"/>
              </w:rPr>
              <w:t>4,00</w:t>
            </w:r>
          </w:p>
        </w:tc>
      </w:tr>
      <w:tr w:rsidR="00881891" w:rsidRPr="000C0393" w:rsidTr="000C0393">
        <w:trPr>
          <w:trHeight w:val="6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6.</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Prirez porezu na dohodak fizičkih lica</w:t>
            </w:r>
          </w:p>
        </w:tc>
        <w:tc>
          <w:tcPr>
            <w:tcW w:w="760"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porez na dohodak</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15%</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38,52</w:t>
            </w:r>
          </w:p>
        </w:tc>
      </w:tr>
      <w:tr w:rsidR="00881891" w:rsidRPr="000C0393" w:rsidTr="000C0393">
        <w:trPr>
          <w:trHeight w:val="6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7</w:t>
            </w:r>
          </w:p>
        </w:tc>
        <w:tc>
          <w:tcPr>
            <w:tcW w:w="1241" w:type="pct"/>
            <w:tcBorders>
              <w:top w:val="nil"/>
              <w:left w:val="nil"/>
              <w:bottom w:val="single" w:sz="4" w:space="0" w:color="auto"/>
              <w:right w:val="single" w:sz="4" w:space="0" w:color="auto"/>
            </w:tcBorders>
            <w:shd w:val="clear" w:color="auto" w:fill="auto"/>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Ukupni troškovi zarada (1+5+6)</w:t>
            </w:r>
          </w:p>
        </w:tc>
        <w:tc>
          <w:tcPr>
            <w:tcW w:w="76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 </w:t>
            </w:r>
          </w:p>
        </w:tc>
        <w:tc>
          <w:tcPr>
            <w:tcW w:w="1040"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 </w:t>
            </w:r>
          </w:p>
        </w:tc>
        <w:tc>
          <w:tcPr>
            <w:tcW w:w="1422" w:type="pct"/>
            <w:tcBorders>
              <w:top w:val="nil"/>
              <w:left w:val="nil"/>
              <w:bottom w:val="single" w:sz="4" w:space="0" w:color="auto"/>
              <w:right w:val="single" w:sz="4" w:space="0" w:color="auto"/>
            </w:tcBorders>
            <w:shd w:val="clear" w:color="auto" w:fill="auto"/>
            <w:noWrap/>
            <w:vAlign w:val="bottom"/>
            <w:hideMark/>
          </w:tcPr>
          <w:p w:rsidR="00881891" w:rsidRPr="000C0393"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0C0393">
              <w:rPr>
                <w:rFonts w:ascii="Adobe Garamond Pro" w:eastAsia="Times New Roman" w:hAnsi="Adobe Garamond Pro" w:cs="Times New Roman"/>
                <w:b/>
                <w:bCs/>
                <w:color w:val="000000"/>
                <w:sz w:val="18"/>
                <w:szCs w:val="18"/>
                <w:lang w:eastAsia="bs-Latn-BA"/>
              </w:rPr>
              <w:t>2.242,52</w:t>
            </w:r>
          </w:p>
        </w:tc>
      </w:tr>
    </w:tbl>
    <w:p w:rsidR="00881891" w:rsidRPr="00881891" w:rsidRDefault="00881891" w:rsidP="00881891">
      <w:pPr>
        <w:spacing w:after="0" w:line="240" w:lineRule="auto"/>
        <w:jc w:val="both"/>
        <w:rPr>
          <w:rFonts w:ascii="Adobe Garamond Pro" w:hAnsi="Adobe Garamond Pro" w:cs="Times New Roman"/>
          <w:sz w:val="20"/>
          <w:szCs w:val="20"/>
        </w:rPr>
      </w:pPr>
    </w:p>
    <w:p w:rsidR="00881891" w:rsidRPr="00881891" w:rsidRDefault="00881891" w:rsidP="00881891">
      <w:pPr>
        <w:pBdr>
          <w:bottom w:val="single" w:sz="12" w:space="1" w:color="auto"/>
        </w:pBdr>
        <w:spacing w:after="0" w:line="240" w:lineRule="auto"/>
        <w:jc w:val="both"/>
        <w:rPr>
          <w:rFonts w:ascii="Adobe Garamond Pro" w:hAnsi="Adobe Garamond Pro" w:cs="Times New Roman"/>
          <w:sz w:val="20"/>
          <w:szCs w:val="20"/>
        </w:rPr>
      </w:pPr>
    </w:p>
    <w:p w:rsidR="00881891" w:rsidRDefault="00881891" w:rsidP="00881891">
      <w:pPr>
        <w:spacing w:after="0" w:line="240" w:lineRule="auto"/>
        <w:jc w:val="both"/>
        <w:rPr>
          <w:rFonts w:ascii="Adobe Garamond Pro" w:hAnsi="Adobe Garamond Pro" w:cs="Times New Roman"/>
          <w:i/>
          <w:sz w:val="20"/>
          <w:szCs w:val="20"/>
        </w:rPr>
      </w:pPr>
      <w:r w:rsidRPr="000C0393">
        <w:rPr>
          <w:rFonts w:ascii="Adobe Garamond Pro" w:hAnsi="Adobe Garamond Pro" w:cs="Times New Roman"/>
          <w:i/>
          <w:sz w:val="20"/>
          <w:szCs w:val="20"/>
        </w:rPr>
        <w:t>Izvor: www.fondpio.me</w:t>
      </w:r>
    </w:p>
    <w:p w:rsidR="000C0393" w:rsidRPr="000C0393" w:rsidRDefault="000C0393" w:rsidP="00881891">
      <w:pPr>
        <w:spacing w:after="0" w:line="240" w:lineRule="auto"/>
        <w:jc w:val="both"/>
        <w:rPr>
          <w:rFonts w:ascii="Adobe Garamond Pro" w:hAnsi="Adobe Garamond Pro" w:cs="Times New Roman"/>
          <w:i/>
          <w:sz w:val="20"/>
          <w:szCs w:val="20"/>
        </w:rPr>
      </w:pPr>
    </w:p>
    <w:p w:rsid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lastRenderedPageBreak/>
        <w:t>Kao što se iz gornje tabele može vidjeti u Crnoj Gori je način obračuna doprinosa na plate sličan onom u Bosni i Hercegovini uz jednu specifičnost, a to je da je osnovica za obračun poreza na dohodak bruto plata, a ne neto zarada, te da nema odbitnih stavki za izračun poreza.</w:t>
      </w:r>
    </w:p>
    <w:p w:rsidR="000C0393" w:rsidRPr="00881891" w:rsidRDefault="000C0393" w:rsidP="00881891">
      <w:pPr>
        <w:spacing w:after="0" w:line="240" w:lineRule="auto"/>
        <w:ind w:firstLine="708"/>
        <w:jc w:val="both"/>
        <w:rPr>
          <w:rFonts w:ascii="Adobe Garamond Pro" w:hAnsi="Adobe Garamond Pro" w:cs="Times New Roman"/>
          <w:sz w:val="20"/>
          <w:szCs w:val="20"/>
        </w:rPr>
      </w:pPr>
    </w:p>
    <w:p w:rsidR="00881891" w:rsidRPr="00881891" w:rsidRDefault="000C0393" w:rsidP="00881891">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881891" w:rsidRPr="00881891">
        <w:rPr>
          <w:rFonts w:ascii="Adobe Garamond Pro" w:hAnsi="Adobe Garamond Pro" w:cs="Times New Roman"/>
          <w:sz w:val="20"/>
          <w:szCs w:val="20"/>
        </w:rPr>
        <w:t>Tako obračunat porez na dohodak je de facto trošak bruto plate kao i ostali doprinosi i, ako se tako tretira, opterećenje bruto plate porezima i doprinosima u Crnoj Gori iznosi:</w:t>
      </w:r>
    </w:p>
    <w:p w:rsidR="00881891" w:rsidRPr="00881891" w:rsidRDefault="00881891" w:rsidP="00616109">
      <w:pPr>
        <w:pStyle w:val="ListParagraph"/>
        <w:numPr>
          <w:ilvl w:val="0"/>
          <w:numId w:val="12"/>
        </w:numPr>
        <w:spacing w:after="0" w:line="240" w:lineRule="auto"/>
        <w:ind w:left="567"/>
        <w:jc w:val="both"/>
        <w:rPr>
          <w:rFonts w:ascii="Adobe Garamond Pro" w:hAnsi="Adobe Garamond Pro" w:cs="Times New Roman"/>
          <w:sz w:val="20"/>
          <w:szCs w:val="20"/>
        </w:rPr>
      </w:pPr>
      <w:r w:rsidRPr="00881891">
        <w:rPr>
          <w:rFonts w:ascii="Adobe Garamond Pro" w:hAnsi="Adobe Garamond Pro" w:cs="Times New Roman"/>
          <w:sz w:val="20"/>
          <w:szCs w:val="20"/>
        </w:rPr>
        <w:t>Ukupni trošak zaposlenika</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2.242,52 EUR,</w:t>
      </w:r>
    </w:p>
    <w:p w:rsidR="00881891" w:rsidRPr="00881891" w:rsidRDefault="00881891" w:rsidP="00616109">
      <w:pPr>
        <w:pStyle w:val="ListParagraph"/>
        <w:numPr>
          <w:ilvl w:val="0"/>
          <w:numId w:val="12"/>
        </w:numPr>
        <w:spacing w:after="0" w:line="240" w:lineRule="auto"/>
        <w:ind w:left="567"/>
        <w:jc w:val="both"/>
        <w:rPr>
          <w:rFonts w:ascii="Adobe Garamond Pro" w:hAnsi="Adobe Garamond Pro" w:cs="Times New Roman"/>
          <w:sz w:val="20"/>
          <w:szCs w:val="20"/>
        </w:rPr>
      </w:pPr>
      <w:r w:rsidRPr="00881891">
        <w:rPr>
          <w:rFonts w:ascii="Adobe Garamond Pro" w:hAnsi="Adobe Garamond Pro" w:cs="Times New Roman"/>
          <w:sz w:val="20"/>
          <w:szCs w:val="20"/>
        </w:rPr>
        <w:t>Neto primanje zaposlenika</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1.263,20 EUR,</w:t>
      </w:r>
    </w:p>
    <w:p w:rsidR="00881891" w:rsidRPr="00881891" w:rsidRDefault="000C0393" w:rsidP="00616109">
      <w:pPr>
        <w:pStyle w:val="ListParagraph"/>
        <w:numPr>
          <w:ilvl w:val="0"/>
          <w:numId w:val="12"/>
        </w:numPr>
        <w:spacing w:after="0" w:line="240" w:lineRule="auto"/>
        <w:ind w:left="567"/>
        <w:jc w:val="both"/>
        <w:rPr>
          <w:rFonts w:ascii="Adobe Garamond Pro" w:hAnsi="Adobe Garamond Pro" w:cs="Times New Roman"/>
          <w:sz w:val="20"/>
          <w:szCs w:val="20"/>
        </w:rPr>
      </w:pPr>
      <w:r>
        <w:rPr>
          <w:rFonts w:ascii="Adobe Garamond Pro" w:hAnsi="Adobe Garamond Pro" w:cs="Times New Roman"/>
          <w:sz w:val="20"/>
          <w:szCs w:val="20"/>
        </w:rPr>
        <w:t>Ukupni porezi i doprinosi</w:t>
      </w:r>
      <w:r>
        <w:rPr>
          <w:rFonts w:ascii="Adobe Garamond Pro" w:hAnsi="Adobe Garamond Pro" w:cs="Times New Roman"/>
          <w:sz w:val="20"/>
          <w:szCs w:val="20"/>
        </w:rPr>
        <w:tab/>
      </w:r>
      <w:r>
        <w:rPr>
          <w:rFonts w:ascii="Adobe Garamond Pro" w:hAnsi="Adobe Garamond Pro" w:cs="Times New Roman"/>
          <w:sz w:val="20"/>
          <w:szCs w:val="20"/>
        </w:rPr>
        <w:tab/>
      </w:r>
      <w:r>
        <w:rPr>
          <w:rFonts w:ascii="Adobe Garamond Pro" w:hAnsi="Adobe Garamond Pro" w:cs="Times New Roman"/>
          <w:sz w:val="20"/>
          <w:szCs w:val="20"/>
        </w:rPr>
        <w:tab/>
      </w:r>
      <w:r>
        <w:rPr>
          <w:rFonts w:ascii="Adobe Garamond Pro" w:hAnsi="Adobe Garamond Pro" w:cs="Times New Roman"/>
          <w:sz w:val="20"/>
          <w:szCs w:val="20"/>
        </w:rPr>
        <w:tab/>
      </w:r>
      <w:r w:rsidR="00881891" w:rsidRPr="00881891">
        <w:rPr>
          <w:rFonts w:ascii="Adobe Garamond Pro" w:hAnsi="Adobe Garamond Pro" w:cs="Times New Roman"/>
          <w:sz w:val="20"/>
          <w:szCs w:val="20"/>
        </w:rPr>
        <w:t>979,32 EUR,</w:t>
      </w:r>
    </w:p>
    <w:p w:rsidR="00881891" w:rsidRPr="00881891" w:rsidRDefault="00881891" w:rsidP="00616109">
      <w:pPr>
        <w:pStyle w:val="ListParagraph"/>
        <w:numPr>
          <w:ilvl w:val="0"/>
          <w:numId w:val="12"/>
        </w:numPr>
        <w:spacing w:after="0" w:line="240" w:lineRule="auto"/>
        <w:ind w:left="567"/>
        <w:jc w:val="both"/>
        <w:rPr>
          <w:rFonts w:ascii="Adobe Garamond Pro" w:hAnsi="Adobe Garamond Pro" w:cs="Times New Roman"/>
          <w:sz w:val="20"/>
          <w:szCs w:val="20"/>
        </w:rPr>
      </w:pPr>
      <w:r w:rsidRPr="00881891">
        <w:rPr>
          <w:rFonts w:ascii="Adobe Garamond Pro" w:hAnsi="Adobe Garamond Pro" w:cs="Times New Roman"/>
          <w:sz w:val="20"/>
          <w:szCs w:val="20"/>
        </w:rPr>
        <w:t>Stopa optereće</w:t>
      </w:r>
      <w:r w:rsidR="000C0393">
        <w:rPr>
          <w:rFonts w:ascii="Adobe Garamond Pro" w:hAnsi="Adobe Garamond Pro" w:cs="Times New Roman"/>
          <w:sz w:val="20"/>
          <w:szCs w:val="20"/>
        </w:rPr>
        <w:t>nja porezima i doprinosima</w:t>
      </w:r>
      <w:r w:rsidR="000C0393">
        <w:rPr>
          <w:rFonts w:ascii="Adobe Garamond Pro" w:hAnsi="Adobe Garamond Pro" w:cs="Times New Roman"/>
          <w:sz w:val="20"/>
          <w:szCs w:val="20"/>
        </w:rPr>
        <w:tab/>
      </w:r>
      <w:r w:rsidR="000C0393">
        <w:rPr>
          <w:rFonts w:ascii="Adobe Garamond Pro" w:hAnsi="Adobe Garamond Pro" w:cs="Times New Roman"/>
          <w:sz w:val="20"/>
          <w:szCs w:val="20"/>
        </w:rPr>
        <w:tab/>
      </w:r>
      <w:r w:rsidRPr="00881891">
        <w:rPr>
          <w:rFonts w:ascii="Adobe Garamond Pro" w:hAnsi="Adobe Garamond Pro" w:cs="Times New Roman"/>
          <w:sz w:val="20"/>
          <w:szCs w:val="20"/>
        </w:rPr>
        <w:t>43,67%,</w:t>
      </w:r>
    </w:p>
    <w:p w:rsidR="00881891" w:rsidRDefault="00881891" w:rsidP="00616109">
      <w:pPr>
        <w:pStyle w:val="ListParagraph"/>
        <w:numPr>
          <w:ilvl w:val="0"/>
          <w:numId w:val="12"/>
        </w:numPr>
        <w:spacing w:after="0" w:line="240" w:lineRule="auto"/>
        <w:ind w:left="567"/>
        <w:jc w:val="both"/>
        <w:rPr>
          <w:rFonts w:ascii="Adobe Garamond Pro" w:hAnsi="Adobe Garamond Pro" w:cs="Times New Roman"/>
          <w:sz w:val="20"/>
          <w:szCs w:val="20"/>
        </w:rPr>
      </w:pPr>
      <w:r w:rsidRPr="00881891">
        <w:rPr>
          <w:rFonts w:ascii="Adobe Garamond Pro" w:hAnsi="Adobe Garamond Pro" w:cs="Times New Roman"/>
          <w:sz w:val="20"/>
          <w:szCs w:val="20"/>
        </w:rPr>
        <w:t>Izdvaj</w:t>
      </w:r>
      <w:r w:rsidR="000C0393">
        <w:rPr>
          <w:rFonts w:ascii="Adobe Garamond Pro" w:hAnsi="Adobe Garamond Pro" w:cs="Times New Roman"/>
          <w:sz w:val="20"/>
          <w:szCs w:val="20"/>
        </w:rPr>
        <w:t>anje po doprinosima za PIO</w:t>
      </w:r>
      <w:r w:rsidR="000C0393">
        <w:rPr>
          <w:rFonts w:ascii="Adobe Garamond Pro" w:hAnsi="Adobe Garamond Pro" w:cs="Times New Roman"/>
          <w:sz w:val="20"/>
          <w:szCs w:val="20"/>
        </w:rPr>
        <w:tab/>
      </w:r>
      <w:r w:rsidR="000C0393">
        <w:rPr>
          <w:rFonts w:ascii="Adobe Garamond Pro" w:hAnsi="Adobe Garamond Pro" w:cs="Times New Roman"/>
          <w:sz w:val="20"/>
          <w:szCs w:val="20"/>
        </w:rPr>
        <w:tab/>
      </w:r>
      <w:r w:rsidR="000C0393">
        <w:rPr>
          <w:rFonts w:ascii="Adobe Garamond Pro" w:hAnsi="Adobe Garamond Pro" w:cs="Times New Roman"/>
          <w:sz w:val="20"/>
          <w:szCs w:val="20"/>
        </w:rPr>
        <w:tab/>
      </w:r>
      <w:r w:rsidRPr="00881891">
        <w:rPr>
          <w:rFonts w:ascii="Adobe Garamond Pro" w:hAnsi="Adobe Garamond Pro" w:cs="Times New Roman"/>
          <w:sz w:val="20"/>
          <w:szCs w:val="20"/>
        </w:rPr>
        <w:t>410,00 EUR, ili 18,28 %</w:t>
      </w:r>
    </w:p>
    <w:p w:rsidR="000C0393" w:rsidRPr="00881891" w:rsidRDefault="000C0393" w:rsidP="000C0393">
      <w:pPr>
        <w:pStyle w:val="ListParagraph"/>
        <w:spacing w:after="0" w:line="240" w:lineRule="auto"/>
        <w:ind w:left="0"/>
        <w:jc w:val="both"/>
        <w:rPr>
          <w:rFonts w:ascii="Adobe Garamond Pro" w:hAnsi="Adobe Garamond Pro" w:cs="Times New Roman"/>
          <w:sz w:val="20"/>
          <w:szCs w:val="20"/>
        </w:rPr>
      </w:pPr>
    </w:p>
    <w:p w:rsidR="00881891" w:rsidRPr="000C0393" w:rsidRDefault="00881891" w:rsidP="00881891">
      <w:pPr>
        <w:spacing w:after="0" w:line="240" w:lineRule="auto"/>
        <w:jc w:val="both"/>
        <w:rPr>
          <w:rFonts w:ascii="Adobe Garamond Pro" w:hAnsi="Adobe Garamond Pro" w:cs="Times New Roman"/>
          <w:b/>
        </w:rPr>
      </w:pPr>
      <w:r w:rsidRPr="000C0393">
        <w:rPr>
          <w:rFonts w:ascii="Adobe Garamond Pro" w:hAnsi="Adobe Garamond Pro" w:cs="Times New Roman"/>
          <w:b/>
        </w:rPr>
        <w:t>Struktura bruto plate u Republici Srbiji</w:t>
      </w:r>
    </w:p>
    <w:p w:rsidR="000C0393" w:rsidRPr="00881891" w:rsidRDefault="000C0393" w:rsidP="00881891">
      <w:pPr>
        <w:spacing w:after="0" w:line="240" w:lineRule="auto"/>
        <w:jc w:val="both"/>
        <w:rPr>
          <w:rFonts w:ascii="Adobe Garamond Pro" w:hAnsi="Adobe Garamond Pro" w:cs="Times New Roman"/>
          <w:b/>
          <w:sz w:val="20"/>
          <w:szCs w:val="20"/>
        </w:rPr>
      </w:pPr>
    </w:p>
    <w:p w:rsidR="00881891" w:rsidRDefault="000C0393" w:rsidP="00881891">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881891" w:rsidRPr="00881891">
        <w:rPr>
          <w:rFonts w:ascii="Adobe Garamond Pro" w:hAnsi="Adobe Garamond Pro" w:cs="Times New Roman"/>
          <w:sz w:val="20"/>
          <w:szCs w:val="20"/>
        </w:rPr>
        <w:t>Kao što je iz tabele koja slijedi vidljivo obračun doprinosa i poreza na dohodak u Srbiji i Crnoj Gori je po istom modelu, što je i razumljivo jer su do prije 5-6 godina bile u istoj državi tj. istom ekonomskom sistemu. Dakle, i u Srbiji se prvo naplati porez iz bruto plate, a zatim obračunavaju doprinosi iz bruto plate na teret zaposlenika i na bruto platu na teret poslodavca. Tretirajući porez na dohodak iz bruto plate kao i doprinose, ukupna stopa opterećenje plata porezima i doprinosima u Srbiji bi bila: 40,54%.</w:t>
      </w:r>
    </w:p>
    <w:p w:rsidR="000C0393" w:rsidRPr="00881891" w:rsidRDefault="000C0393" w:rsidP="00881891">
      <w:pPr>
        <w:spacing w:after="0" w:line="240" w:lineRule="auto"/>
        <w:jc w:val="both"/>
        <w:rPr>
          <w:rFonts w:ascii="Adobe Garamond Pro" w:hAnsi="Adobe Garamond Pro" w:cs="Times New Roman"/>
          <w:sz w:val="20"/>
          <w:szCs w:val="20"/>
        </w:rPr>
      </w:pPr>
    </w:p>
    <w:p w:rsidR="00881891" w:rsidRPr="00881891" w:rsidRDefault="00881891" w:rsidP="0088189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Struktura ukupnog troška zaposlenika je kako slijedi:</w:t>
      </w:r>
    </w:p>
    <w:p w:rsidR="00881891" w:rsidRPr="00881891" w:rsidRDefault="00881891" w:rsidP="00616109">
      <w:pPr>
        <w:pStyle w:val="ListParagraph"/>
        <w:numPr>
          <w:ilvl w:val="0"/>
          <w:numId w:val="13"/>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ukupan trošak rada</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2.358,00 EUR,</w:t>
      </w:r>
    </w:p>
    <w:p w:rsidR="00881891" w:rsidRPr="00881891" w:rsidRDefault="00881891" w:rsidP="00616109">
      <w:pPr>
        <w:pStyle w:val="ListParagraph"/>
        <w:numPr>
          <w:ilvl w:val="0"/>
          <w:numId w:val="13"/>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 xml:space="preserve">neto zarada </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1.402,00 EUR,</w:t>
      </w:r>
    </w:p>
    <w:p w:rsidR="00881891" w:rsidRPr="00881891" w:rsidRDefault="00881891" w:rsidP="00616109">
      <w:pPr>
        <w:pStyle w:val="ListParagraph"/>
        <w:numPr>
          <w:ilvl w:val="0"/>
          <w:numId w:val="13"/>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 xml:space="preserve">porezi i doprinosi </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956,00 EUR,</w:t>
      </w:r>
    </w:p>
    <w:p w:rsidR="00881891" w:rsidRPr="00881891" w:rsidRDefault="00881891" w:rsidP="00616109">
      <w:pPr>
        <w:pStyle w:val="ListParagraph"/>
        <w:numPr>
          <w:ilvl w:val="0"/>
          <w:numId w:val="13"/>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ukupna stopa opterećenja plata poreziam i doprinosima   40,54 %,</w:t>
      </w:r>
    </w:p>
    <w:p w:rsidR="00881891" w:rsidRPr="00881891" w:rsidRDefault="00881891" w:rsidP="00616109">
      <w:pPr>
        <w:pStyle w:val="ListParagraph"/>
        <w:numPr>
          <w:ilvl w:val="0"/>
          <w:numId w:val="13"/>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izdvajanje za porinos za PIO</w:t>
      </w:r>
      <w:r w:rsidRPr="00881891">
        <w:rPr>
          <w:rFonts w:ascii="Adobe Garamond Pro" w:hAnsi="Adobe Garamond Pro" w:cs="Times New Roman"/>
          <w:sz w:val="20"/>
          <w:szCs w:val="20"/>
        </w:rPr>
        <w:tab/>
        <w:t>480,00 EUR, ili 20,36%</w:t>
      </w:r>
      <w:r w:rsidRPr="00881891">
        <w:rPr>
          <w:rFonts w:ascii="Adobe Garamond Pro" w:hAnsi="Adobe Garamond Pro" w:cs="Times New Roman"/>
          <w:sz w:val="20"/>
          <w:szCs w:val="20"/>
        </w:rPr>
        <w:tab/>
      </w:r>
    </w:p>
    <w:p w:rsidR="000C0393" w:rsidRDefault="000C0393">
      <w:pPr>
        <w:rPr>
          <w:rFonts w:ascii="Adobe Garamond Pro" w:hAnsi="Adobe Garamond Pro" w:cs="Times New Roman"/>
          <w:sz w:val="20"/>
          <w:szCs w:val="20"/>
        </w:rPr>
      </w:pPr>
      <w:r>
        <w:rPr>
          <w:rFonts w:ascii="Adobe Garamond Pro" w:hAnsi="Adobe Garamond Pro" w:cs="Times New Roman"/>
          <w:sz w:val="20"/>
          <w:szCs w:val="20"/>
        </w:rPr>
        <w:br w:type="page"/>
      </w:r>
    </w:p>
    <w:p w:rsidR="00881891" w:rsidRPr="00881891" w:rsidRDefault="00881891" w:rsidP="0088189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lastRenderedPageBreak/>
        <w:t>Naprijed izdvojeni podaci su vidljivi iz tabele koja slijedi:</w:t>
      </w:r>
    </w:p>
    <w:p w:rsidR="00881891" w:rsidRPr="00881891" w:rsidRDefault="00881891" w:rsidP="00881891">
      <w:pPr>
        <w:spacing w:after="0" w:line="240" w:lineRule="auto"/>
        <w:jc w:val="both"/>
        <w:rPr>
          <w:rFonts w:ascii="Adobe Garamond Pro" w:hAnsi="Adobe Garamond Pro" w:cs="Times New Roman"/>
          <w:sz w:val="20"/>
          <w:szCs w:val="20"/>
        </w:rPr>
      </w:pPr>
    </w:p>
    <w:p w:rsidR="00881891" w:rsidRPr="00881891" w:rsidRDefault="00881891" w:rsidP="00881891">
      <w:pPr>
        <w:spacing w:after="0" w:line="240" w:lineRule="auto"/>
        <w:jc w:val="both"/>
        <w:rPr>
          <w:rFonts w:ascii="Adobe Garamond Pro" w:hAnsi="Adobe Garamond Pro" w:cs="Times New Roman"/>
          <w:sz w:val="20"/>
          <w:szCs w:val="20"/>
        </w:rPr>
      </w:pPr>
    </w:p>
    <w:p w:rsidR="00881891" w:rsidRPr="00881891" w:rsidRDefault="006E2929" w:rsidP="00881891">
      <w:pPr>
        <w:spacing w:after="0" w:line="240" w:lineRule="auto"/>
        <w:jc w:val="both"/>
        <w:rPr>
          <w:rFonts w:ascii="Adobe Garamond Pro" w:hAnsi="Adobe Garamond Pro" w:cs="Times New Roman"/>
          <w:sz w:val="20"/>
          <w:szCs w:val="20"/>
        </w:rPr>
      </w:pPr>
      <w:r w:rsidRPr="00881891">
        <w:rPr>
          <w:rFonts w:ascii="Adobe Garamond Pro" w:eastAsia="Times New Roman" w:hAnsi="Adobe Garamond Pro" w:cs="Times New Roman"/>
          <w:color w:val="000000"/>
          <w:sz w:val="20"/>
          <w:szCs w:val="20"/>
          <w:lang w:eastAsia="bs-Latn-BA"/>
        </w:rPr>
        <w:t xml:space="preserve">Tabela 4: </w:t>
      </w:r>
      <w:r>
        <w:rPr>
          <w:rFonts w:ascii="Adobe Garamond Pro" w:eastAsia="Times New Roman" w:hAnsi="Adobe Garamond Pro" w:cs="Times New Roman"/>
          <w:color w:val="000000"/>
          <w:sz w:val="20"/>
          <w:szCs w:val="20"/>
          <w:lang w:eastAsia="bs-Latn-BA"/>
        </w:rPr>
        <w:t>O</w:t>
      </w:r>
      <w:r w:rsidRPr="00881891">
        <w:rPr>
          <w:rFonts w:ascii="Adobe Garamond Pro" w:eastAsia="Times New Roman" w:hAnsi="Adobe Garamond Pro" w:cs="Times New Roman"/>
          <w:color w:val="000000"/>
          <w:sz w:val="20"/>
          <w:szCs w:val="20"/>
          <w:lang w:eastAsia="bs-Latn-BA"/>
        </w:rPr>
        <w:t xml:space="preserve">bračun  fiskaliteta na i iz bruto zarada  prema propisima u </w:t>
      </w:r>
      <w:r>
        <w:rPr>
          <w:rFonts w:ascii="Adobe Garamond Pro" w:eastAsia="Times New Roman" w:hAnsi="Adobe Garamond Pro" w:cs="Times New Roman"/>
          <w:color w:val="000000"/>
          <w:sz w:val="20"/>
          <w:szCs w:val="20"/>
          <w:lang w:eastAsia="bs-Latn-BA"/>
        </w:rPr>
        <w:t>R</w:t>
      </w:r>
      <w:r w:rsidRPr="00881891">
        <w:rPr>
          <w:rFonts w:ascii="Adobe Garamond Pro" w:eastAsia="Times New Roman" w:hAnsi="Adobe Garamond Pro" w:cs="Times New Roman"/>
          <w:color w:val="000000"/>
          <w:sz w:val="20"/>
          <w:szCs w:val="20"/>
          <w:lang w:eastAsia="bs-Latn-BA"/>
        </w:rPr>
        <w:t xml:space="preserve">epublici </w:t>
      </w:r>
      <w:r>
        <w:rPr>
          <w:rFonts w:ascii="Adobe Garamond Pro" w:eastAsia="Times New Roman" w:hAnsi="Adobe Garamond Pro" w:cs="Times New Roman"/>
          <w:color w:val="000000"/>
          <w:sz w:val="20"/>
          <w:szCs w:val="20"/>
          <w:lang w:eastAsia="bs-Latn-BA"/>
        </w:rPr>
        <w:t>S</w:t>
      </w:r>
      <w:r w:rsidRPr="00881891">
        <w:rPr>
          <w:rFonts w:ascii="Adobe Garamond Pro" w:eastAsia="Times New Roman" w:hAnsi="Adobe Garamond Pro" w:cs="Times New Roman"/>
          <w:color w:val="000000"/>
          <w:sz w:val="20"/>
          <w:szCs w:val="20"/>
          <w:lang w:eastAsia="bs-Latn-BA"/>
        </w:rPr>
        <w:t>rbiji</w:t>
      </w:r>
      <w:r w:rsidR="00881891" w:rsidRPr="00881891">
        <w:rPr>
          <w:rFonts w:ascii="Adobe Garamond Pro" w:hAnsi="Adobe Garamond Pro" w:cs="Times New Roman"/>
          <w:sz w:val="20"/>
          <w:szCs w:val="20"/>
        </w:rPr>
        <w:tab/>
      </w:r>
      <w:r w:rsidR="00881891" w:rsidRPr="00881891">
        <w:rPr>
          <w:rFonts w:ascii="Adobe Garamond Pro" w:hAnsi="Adobe Garamond Pro" w:cs="Times New Roman"/>
          <w:sz w:val="20"/>
          <w:szCs w:val="20"/>
        </w:rPr>
        <w:tab/>
      </w:r>
      <w:r w:rsidR="00881891" w:rsidRPr="00881891">
        <w:rPr>
          <w:rFonts w:ascii="Adobe Garamond Pro" w:hAnsi="Adobe Garamond Pro" w:cs="Times New Roman"/>
          <w:sz w:val="20"/>
          <w:szCs w:val="20"/>
        </w:rPr>
        <w:tab/>
      </w:r>
      <w:r w:rsidR="00881891" w:rsidRPr="00881891">
        <w:rPr>
          <w:rFonts w:ascii="Adobe Garamond Pro" w:hAnsi="Adobe Garamond Pro" w:cs="Times New Roman"/>
          <w:sz w:val="20"/>
          <w:szCs w:val="20"/>
        </w:rPr>
        <w:tab/>
      </w:r>
    </w:p>
    <w:tbl>
      <w:tblPr>
        <w:tblW w:w="5000" w:type="pct"/>
        <w:tblLook w:val="04A0"/>
      </w:tblPr>
      <w:tblGrid>
        <w:gridCol w:w="812"/>
        <w:gridCol w:w="2184"/>
        <w:gridCol w:w="1245"/>
        <w:gridCol w:w="1778"/>
        <w:gridCol w:w="1426"/>
      </w:tblGrid>
      <w:tr w:rsidR="00881891" w:rsidRPr="00881891" w:rsidTr="006E2929">
        <w:trPr>
          <w:trHeight w:val="300"/>
        </w:trPr>
        <w:tc>
          <w:tcPr>
            <w:tcW w:w="6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549" w:type="pct"/>
            <w:tcBorders>
              <w:top w:val="single" w:sz="4" w:space="0" w:color="auto"/>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857"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osnovica</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stopa</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Iznos</w:t>
            </w:r>
          </w:p>
        </w:tc>
      </w:tr>
      <w:tr w:rsidR="00881891" w:rsidRPr="00881891" w:rsidTr="006E2929">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1.</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xml:space="preserve">bruto zarada </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133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EUR 2.000,00</w:t>
            </w:r>
          </w:p>
        </w:tc>
      </w:tr>
      <w:tr w:rsidR="00881891" w:rsidRPr="00881891" w:rsidTr="006E2929">
        <w:trPr>
          <w:trHeight w:val="855"/>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2.</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porez na dohodak fizičkih lica</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bruto zarada</w:t>
            </w:r>
          </w:p>
        </w:tc>
        <w:tc>
          <w:tcPr>
            <w:tcW w:w="1337"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10%iz bruto plate</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200,00</w:t>
            </w:r>
          </w:p>
        </w:tc>
      </w:tr>
      <w:tr w:rsidR="00881891" w:rsidRPr="00881891" w:rsidTr="006E2929">
        <w:trPr>
          <w:trHeight w:val="6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3.</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doprinosi na teret zaposlenog</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bruto zarada</w:t>
            </w:r>
          </w:p>
        </w:tc>
        <w:tc>
          <w:tcPr>
            <w:tcW w:w="133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398,00</w:t>
            </w:r>
          </w:p>
        </w:tc>
      </w:tr>
      <w:tr w:rsidR="00881891" w:rsidRPr="00881891" w:rsidTr="006E2929">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3.1.</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za PIO</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133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13%</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260,00</w:t>
            </w:r>
          </w:p>
        </w:tc>
      </w:tr>
      <w:tr w:rsidR="00881891" w:rsidRPr="00881891" w:rsidTr="006E2929">
        <w:trPr>
          <w:trHeight w:val="525"/>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3.2.</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za zdravstveno osiguranje</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133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6,15%</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123,00</w:t>
            </w:r>
          </w:p>
        </w:tc>
      </w:tr>
      <w:tr w:rsidR="00881891" w:rsidRPr="00881891" w:rsidTr="006E2929">
        <w:trPr>
          <w:trHeight w:val="48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3.3.</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xml:space="preserve">Doprinos za osiguranje </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133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0,75%</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15,00</w:t>
            </w:r>
          </w:p>
        </w:tc>
      </w:tr>
      <w:tr w:rsidR="00881891" w:rsidRPr="00881891" w:rsidTr="006E2929">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4.</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Neto zarada (1-2-3)</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133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1.402,00</w:t>
            </w:r>
          </w:p>
        </w:tc>
      </w:tr>
      <w:tr w:rsidR="00881891" w:rsidRPr="00881891" w:rsidTr="006E2929">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33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r>
      <w:tr w:rsidR="00881891" w:rsidRPr="00881891" w:rsidTr="006E2929">
        <w:trPr>
          <w:trHeight w:val="6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xml:space="preserve">5. </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Doprinosi na teret poslodavca</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133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358,00</w:t>
            </w:r>
          </w:p>
        </w:tc>
      </w:tr>
      <w:tr w:rsidR="00881891" w:rsidRPr="00881891" w:rsidTr="006E2929">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5.1.</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za PIO</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133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11,00%</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220,00</w:t>
            </w:r>
          </w:p>
        </w:tc>
      </w:tr>
      <w:tr w:rsidR="00881891" w:rsidRPr="00881891" w:rsidTr="006E2929">
        <w:trPr>
          <w:trHeight w:val="9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5.2.</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za zdravstveno osiguranje</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133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6,15%</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123,00</w:t>
            </w:r>
          </w:p>
        </w:tc>
      </w:tr>
      <w:tr w:rsidR="00881891" w:rsidRPr="00881891" w:rsidTr="006E2929">
        <w:trPr>
          <w:trHeight w:val="6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5.3.</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xml:space="preserve">Doprinos za osiguranje </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133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0,75%</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15,00</w:t>
            </w:r>
          </w:p>
        </w:tc>
      </w:tr>
      <w:tr w:rsidR="00881891" w:rsidRPr="00881891" w:rsidTr="006E2929">
        <w:trPr>
          <w:trHeight w:val="6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6</w:t>
            </w:r>
          </w:p>
        </w:tc>
        <w:tc>
          <w:tcPr>
            <w:tcW w:w="1549"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Ukupni troškovi zarada (1+5+6)</w:t>
            </w:r>
          </w:p>
        </w:tc>
        <w:tc>
          <w:tcPr>
            <w:tcW w:w="8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133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62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2.358,00</w:t>
            </w:r>
          </w:p>
        </w:tc>
      </w:tr>
    </w:tbl>
    <w:p w:rsidR="00881891" w:rsidRPr="00881891" w:rsidRDefault="00881891" w:rsidP="00881891">
      <w:pPr>
        <w:pBdr>
          <w:bottom w:val="single" w:sz="12" w:space="1" w:color="auto"/>
        </w:pBdr>
        <w:spacing w:after="0" w:line="240" w:lineRule="auto"/>
        <w:jc w:val="both"/>
        <w:rPr>
          <w:rFonts w:ascii="Adobe Garamond Pro" w:hAnsi="Adobe Garamond Pro" w:cs="Times New Roman"/>
          <w:sz w:val="20"/>
          <w:szCs w:val="20"/>
        </w:rPr>
      </w:pPr>
    </w:p>
    <w:p w:rsidR="00881891" w:rsidRDefault="00881891" w:rsidP="00881891">
      <w:pPr>
        <w:spacing w:after="0" w:line="240" w:lineRule="auto"/>
        <w:jc w:val="both"/>
        <w:rPr>
          <w:rFonts w:ascii="Adobe Garamond Pro" w:hAnsi="Adobe Garamond Pro" w:cs="Times New Roman"/>
          <w:i/>
          <w:sz w:val="20"/>
          <w:szCs w:val="20"/>
        </w:rPr>
      </w:pPr>
      <w:r w:rsidRPr="006E2929">
        <w:rPr>
          <w:rFonts w:ascii="Adobe Garamond Pro" w:hAnsi="Adobe Garamond Pro" w:cs="Times New Roman"/>
          <w:i/>
          <w:sz w:val="20"/>
          <w:szCs w:val="20"/>
        </w:rPr>
        <w:t>Izvor: www.pio.rs.rs</w:t>
      </w:r>
      <w:r w:rsidRPr="006E2929">
        <w:rPr>
          <w:rFonts w:ascii="Adobe Garamond Pro" w:hAnsi="Adobe Garamond Pro" w:cs="Times New Roman"/>
          <w:i/>
          <w:sz w:val="20"/>
          <w:szCs w:val="20"/>
        </w:rPr>
        <w:tab/>
      </w:r>
    </w:p>
    <w:p w:rsidR="006E2929" w:rsidRDefault="006E2929" w:rsidP="00881891">
      <w:pPr>
        <w:spacing w:after="0" w:line="240" w:lineRule="auto"/>
        <w:jc w:val="both"/>
        <w:rPr>
          <w:rFonts w:ascii="Adobe Garamond Pro" w:hAnsi="Adobe Garamond Pro" w:cs="Times New Roman"/>
          <w:i/>
          <w:sz w:val="20"/>
          <w:szCs w:val="20"/>
        </w:rPr>
      </w:pPr>
    </w:p>
    <w:p w:rsidR="006E2929" w:rsidRDefault="006E2929" w:rsidP="00881891">
      <w:pPr>
        <w:spacing w:after="0" w:line="240" w:lineRule="auto"/>
        <w:jc w:val="both"/>
        <w:rPr>
          <w:rFonts w:ascii="Adobe Garamond Pro" w:hAnsi="Adobe Garamond Pro" w:cs="Times New Roman"/>
          <w:i/>
          <w:sz w:val="20"/>
          <w:szCs w:val="20"/>
        </w:rPr>
      </w:pPr>
    </w:p>
    <w:p w:rsidR="006E2929" w:rsidRDefault="006E2929" w:rsidP="00881891">
      <w:pPr>
        <w:spacing w:after="0" w:line="240" w:lineRule="auto"/>
        <w:jc w:val="both"/>
        <w:rPr>
          <w:rFonts w:ascii="Adobe Garamond Pro" w:hAnsi="Adobe Garamond Pro" w:cs="Times New Roman"/>
          <w:i/>
          <w:sz w:val="20"/>
          <w:szCs w:val="20"/>
        </w:rPr>
      </w:pPr>
    </w:p>
    <w:p w:rsidR="006E2929" w:rsidRDefault="006E2929" w:rsidP="00881891">
      <w:pPr>
        <w:spacing w:after="0" w:line="240" w:lineRule="auto"/>
        <w:jc w:val="both"/>
        <w:rPr>
          <w:rFonts w:ascii="Adobe Garamond Pro" w:hAnsi="Adobe Garamond Pro" w:cs="Times New Roman"/>
          <w:i/>
          <w:sz w:val="20"/>
          <w:szCs w:val="20"/>
        </w:rPr>
      </w:pPr>
    </w:p>
    <w:p w:rsidR="006E2929" w:rsidRDefault="006E2929" w:rsidP="00881891">
      <w:pPr>
        <w:spacing w:after="0" w:line="240" w:lineRule="auto"/>
        <w:jc w:val="both"/>
        <w:rPr>
          <w:rFonts w:ascii="Adobe Garamond Pro" w:hAnsi="Adobe Garamond Pro" w:cs="Times New Roman"/>
          <w:i/>
          <w:sz w:val="20"/>
          <w:szCs w:val="20"/>
        </w:rPr>
      </w:pPr>
    </w:p>
    <w:p w:rsidR="006E2929" w:rsidRDefault="006E2929" w:rsidP="00881891">
      <w:pPr>
        <w:spacing w:after="0" w:line="240" w:lineRule="auto"/>
        <w:jc w:val="both"/>
        <w:rPr>
          <w:rFonts w:ascii="Adobe Garamond Pro" w:hAnsi="Adobe Garamond Pro" w:cs="Times New Roman"/>
          <w:i/>
          <w:sz w:val="20"/>
          <w:szCs w:val="20"/>
        </w:rPr>
      </w:pPr>
    </w:p>
    <w:p w:rsidR="006E2929" w:rsidRPr="006E2929" w:rsidRDefault="006E2929" w:rsidP="00881891">
      <w:pPr>
        <w:spacing w:after="0" w:line="240" w:lineRule="auto"/>
        <w:jc w:val="both"/>
        <w:rPr>
          <w:rFonts w:ascii="Adobe Garamond Pro" w:hAnsi="Adobe Garamond Pro" w:cs="Times New Roman"/>
          <w:i/>
          <w:sz w:val="20"/>
          <w:szCs w:val="20"/>
        </w:rPr>
      </w:pPr>
    </w:p>
    <w:p w:rsidR="00881891" w:rsidRPr="00881891" w:rsidRDefault="00881891" w:rsidP="00881891">
      <w:pPr>
        <w:spacing w:after="0" w:line="240" w:lineRule="auto"/>
        <w:jc w:val="both"/>
        <w:rPr>
          <w:rFonts w:ascii="Adobe Garamond Pro" w:hAnsi="Adobe Garamond Pro" w:cs="Times New Roman"/>
          <w:b/>
          <w:sz w:val="20"/>
          <w:szCs w:val="20"/>
        </w:rPr>
      </w:pPr>
    </w:p>
    <w:p w:rsidR="00881891" w:rsidRPr="006E2929" w:rsidRDefault="00881891" w:rsidP="00881891">
      <w:pPr>
        <w:spacing w:after="0" w:line="240" w:lineRule="auto"/>
        <w:jc w:val="both"/>
        <w:rPr>
          <w:rFonts w:ascii="Adobe Garamond Pro" w:hAnsi="Adobe Garamond Pro" w:cs="Times New Roman"/>
          <w:b/>
        </w:rPr>
      </w:pPr>
      <w:r w:rsidRPr="006E2929">
        <w:rPr>
          <w:rFonts w:ascii="Adobe Garamond Pro" w:hAnsi="Adobe Garamond Pro" w:cs="Times New Roman"/>
          <w:b/>
        </w:rPr>
        <w:t>Struktura bruto plate u Republici Hrvatskoj</w:t>
      </w:r>
    </w:p>
    <w:p w:rsidR="006E2929" w:rsidRPr="00881891" w:rsidRDefault="006E2929" w:rsidP="00881891">
      <w:pPr>
        <w:spacing w:after="0" w:line="240" w:lineRule="auto"/>
        <w:jc w:val="both"/>
        <w:rPr>
          <w:rFonts w:ascii="Adobe Garamond Pro" w:hAnsi="Adobe Garamond Pro" w:cs="Times New Roman"/>
          <w:b/>
          <w:sz w:val="20"/>
          <w:szCs w:val="20"/>
        </w:rPr>
      </w:pPr>
    </w:p>
    <w:p w:rsidR="00881891" w:rsidRDefault="00881891" w:rsidP="0088189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Na početku ove tačke domah ćemo prikazati tabelu obračuna troškova plate zaposlenika:</w:t>
      </w:r>
    </w:p>
    <w:p w:rsidR="006E2929" w:rsidRDefault="006E2929" w:rsidP="00881891">
      <w:pPr>
        <w:spacing w:after="0" w:line="240" w:lineRule="auto"/>
        <w:jc w:val="both"/>
        <w:rPr>
          <w:rFonts w:ascii="Adobe Garamond Pro" w:hAnsi="Adobe Garamond Pro" w:cs="Times New Roman"/>
          <w:sz w:val="20"/>
          <w:szCs w:val="20"/>
        </w:rPr>
      </w:pPr>
    </w:p>
    <w:p w:rsidR="006E2929" w:rsidRPr="00881891" w:rsidRDefault="006E2929" w:rsidP="00881891">
      <w:pPr>
        <w:spacing w:after="0" w:line="240" w:lineRule="auto"/>
        <w:jc w:val="both"/>
        <w:rPr>
          <w:rFonts w:ascii="Adobe Garamond Pro" w:hAnsi="Adobe Garamond Pro" w:cs="Times New Roman"/>
          <w:sz w:val="20"/>
          <w:szCs w:val="20"/>
        </w:rPr>
      </w:pPr>
      <w:r w:rsidRPr="00881891">
        <w:rPr>
          <w:rFonts w:ascii="Adobe Garamond Pro" w:eastAsia="Times New Roman" w:hAnsi="Adobe Garamond Pro" w:cs="Times New Roman"/>
          <w:color w:val="000000"/>
          <w:sz w:val="20"/>
          <w:szCs w:val="20"/>
          <w:lang w:eastAsia="bs-Latn-BA"/>
        </w:rPr>
        <w:t>Tabela 5:</w:t>
      </w:r>
      <w:r>
        <w:rPr>
          <w:rFonts w:ascii="Adobe Garamond Pro" w:eastAsia="Times New Roman" w:hAnsi="Adobe Garamond Pro" w:cs="Times New Roman"/>
          <w:color w:val="000000"/>
          <w:sz w:val="20"/>
          <w:szCs w:val="20"/>
          <w:lang w:eastAsia="bs-Latn-BA"/>
        </w:rPr>
        <w:t xml:space="preserve"> O</w:t>
      </w:r>
      <w:r w:rsidRPr="00881891">
        <w:rPr>
          <w:rFonts w:ascii="Adobe Garamond Pro" w:eastAsia="Times New Roman" w:hAnsi="Adobe Garamond Pro" w:cs="Times New Roman"/>
          <w:color w:val="000000"/>
          <w:sz w:val="20"/>
          <w:szCs w:val="20"/>
          <w:lang w:eastAsia="bs-Latn-BA"/>
        </w:rPr>
        <w:t xml:space="preserve">bračun bruto plate u </w:t>
      </w:r>
      <w:r>
        <w:rPr>
          <w:rFonts w:ascii="Adobe Garamond Pro" w:eastAsia="Times New Roman" w:hAnsi="Adobe Garamond Pro" w:cs="Times New Roman"/>
          <w:color w:val="000000"/>
          <w:sz w:val="20"/>
          <w:szCs w:val="20"/>
          <w:lang w:eastAsia="bs-Latn-BA"/>
        </w:rPr>
        <w:t>R</w:t>
      </w:r>
      <w:r w:rsidRPr="00881891">
        <w:rPr>
          <w:rFonts w:ascii="Adobe Garamond Pro" w:eastAsia="Times New Roman" w:hAnsi="Adobe Garamond Pro" w:cs="Times New Roman"/>
          <w:color w:val="000000"/>
          <w:sz w:val="20"/>
          <w:szCs w:val="20"/>
          <w:lang w:eastAsia="bs-Latn-BA"/>
        </w:rPr>
        <w:t xml:space="preserve">epublici </w:t>
      </w:r>
      <w:r>
        <w:rPr>
          <w:rFonts w:ascii="Adobe Garamond Pro" w:eastAsia="Times New Roman" w:hAnsi="Adobe Garamond Pro" w:cs="Times New Roman"/>
          <w:color w:val="000000"/>
          <w:sz w:val="20"/>
          <w:szCs w:val="20"/>
          <w:lang w:eastAsia="bs-Latn-BA"/>
        </w:rPr>
        <w:t>H</w:t>
      </w:r>
      <w:r w:rsidRPr="00881891">
        <w:rPr>
          <w:rFonts w:ascii="Adobe Garamond Pro" w:eastAsia="Times New Roman" w:hAnsi="Adobe Garamond Pro" w:cs="Times New Roman"/>
          <w:color w:val="000000"/>
          <w:sz w:val="20"/>
          <w:szCs w:val="20"/>
          <w:lang w:eastAsia="bs-Latn-BA"/>
        </w:rPr>
        <w:t>rvatskoj</w:t>
      </w:r>
    </w:p>
    <w:p w:rsidR="00881891" w:rsidRPr="00881891" w:rsidRDefault="00881891" w:rsidP="00881891">
      <w:pPr>
        <w:spacing w:after="0" w:line="240" w:lineRule="auto"/>
        <w:jc w:val="both"/>
        <w:rPr>
          <w:rFonts w:ascii="Adobe Garamond Pro" w:hAnsi="Adobe Garamond Pro" w:cs="Times New Roman"/>
          <w:sz w:val="20"/>
          <w:szCs w:val="20"/>
        </w:rPr>
      </w:pPr>
    </w:p>
    <w:tbl>
      <w:tblPr>
        <w:tblW w:w="5000" w:type="pct"/>
        <w:tblLayout w:type="fixed"/>
        <w:tblLook w:val="04A0"/>
      </w:tblPr>
      <w:tblGrid>
        <w:gridCol w:w="811"/>
        <w:gridCol w:w="2376"/>
        <w:gridCol w:w="1263"/>
        <w:gridCol w:w="752"/>
        <w:gridCol w:w="840"/>
        <w:gridCol w:w="1403"/>
      </w:tblGrid>
      <w:tr w:rsidR="00881891" w:rsidRPr="00611D01" w:rsidTr="00611D01">
        <w:trPr>
          <w:trHeight w:val="510"/>
        </w:trPr>
        <w:tc>
          <w:tcPr>
            <w:tcW w:w="545" w:type="pct"/>
            <w:tcBorders>
              <w:top w:val="single" w:sz="8" w:space="0" w:color="auto"/>
              <w:left w:val="single" w:sz="8" w:space="0" w:color="auto"/>
              <w:bottom w:val="double" w:sz="6" w:space="0" w:color="auto"/>
              <w:right w:val="single" w:sz="4" w:space="0" w:color="auto"/>
            </w:tcBorders>
            <w:shd w:val="clear" w:color="000000" w:fill="D8D8D8"/>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b/>
                <w:bCs/>
                <w:color w:val="000000"/>
                <w:sz w:val="16"/>
                <w:szCs w:val="16"/>
                <w:lang w:eastAsia="bs-Latn-BA"/>
              </w:rPr>
            </w:pPr>
            <w:r w:rsidRPr="00611D01">
              <w:rPr>
                <w:rFonts w:ascii="Adobe Garamond Pro" w:eastAsia="Times New Roman" w:hAnsi="Adobe Garamond Pro" w:cs="Times New Roman"/>
                <w:b/>
                <w:bCs/>
                <w:color w:val="000000"/>
                <w:sz w:val="16"/>
                <w:szCs w:val="16"/>
                <w:lang w:eastAsia="bs-Latn-BA"/>
              </w:rPr>
              <w:t>Red. broj</w:t>
            </w:r>
          </w:p>
        </w:tc>
        <w:tc>
          <w:tcPr>
            <w:tcW w:w="1596" w:type="pct"/>
            <w:tcBorders>
              <w:top w:val="single" w:sz="8" w:space="0" w:color="auto"/>
              <w:left w:val="nil"/>
              <w:bottom w:val="double" w:sz="6" w:space="0" w:color="auto"/>
              <w:right w:val="single" w:sz="4" w:space="0" w:color="auto"/>
            </w:tcBorders>
            <w:shd w:val="clear" w:color="000000" w:fill="D8D8D8"/>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6"/>
                <w:szCs w:val="16"/>
                <w:lang w:eastAsia="bs-Latn-BA"/>
              </w:rPr>
            </w:pPr>
            <w:r w:rsidRPr="00611D01">
              <w:rPr>
                <w:rFonts w:ascii="Adobe Garamond Pro" w:eastAsia="Times New Roman" w:hAnsi="Adobe Garamond Pro" w:cs="Times New Roman"/>
                <w:color w:val="000000"/>
                <w:sz w:val="16"/>
                <w:szCs w:val="16"/>
                <w:lang w:eastAsia="bs-Latn-BA"/>
              </w:rPr>
              <w:t> </w:t>
            </w:r>
          </w:p>
        </w:tc>
        <w:tc>
          <w:tcPr>
            <w:tcW w:w="848" w:type="pct"/>
            <w:tcBorders>
              <w:top w:val="single" w:sz="8" w:space="0" w:color="auto"/>
              <w:left w:val="nil"/>
              <w:bottom w:val="double" w:sz="6" w:space="0" w:color="auto"/>
              <w:right w:val="single" w:sz="4" w:space="0" w:color="auto"/>
            </w:tcBorders>
            <w:shd w:val="clear" w:color="000000" w:fill="D8D8D8"/>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b/>
                <w:bCs/>
                <w:color w:val="000000"/>
                <w:sz w:val="16"/>
                <w:szCs w:val="16"/>
                <w:lang w:eastAsia="bs-Latn-BA"/>
              </w:rPr>
            </w:pPr>
            <w:r w:rsidRPr="00611D01">
              <w:rPr>
                <w:rFonts w:ascii="Adobe Garamond Pro" w:eastAsia="Times New Roman" w:hAnsi="Adobe Garamond Pro" w:cs="Times New Roman"/>
                <w:b/>
                <w:bCs/>
                <w:color w:val="000000"/>
                <w:sz w:val="16"/>
                <w:szCs w:val="16"/>
                <w:lang w:eastAsia="bs-Latn-BA"/>
              </w:rPr>
              <w:t>Iznos</w:t>
            </w:r>
          </w:p>
        </w:tc>
        <w:tc>
          <w:tcPr>
            <w:tcW w:w="505" w:type="pct"/>
            <w:tcBorders>
              <w:top w:val="single" w:sz="8" w:space="0" w:color="auto"/>
              <w:left w:val="nil"/>
              <w:bottom w:val="double" w:sz="6" w:space="0" w:color="auto"/>
              <w:right w:val="single" w:sz="4" w:space="0" w:color="auto"/>
            </w:tcBorders>
            <w:shd w:val="clear" w:color="000000" w:fill="D8D8D8"/>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b/>
                <w:bCs/>
                <w:color w:val="000000"/>
                <w:sz w:val="16"/>
                <w:szCs w:val="16"/>
                <w:lang w:eastAsia="bs-Latn-BA"/>
              </w:rPr>
            </w:pPr>
            <w:r w:rsidRPr="00611D01">
              <w:rPr>
                <w:rFonts w:ascii="Adobe Garamond Pro" w:eastAsia="Times New Roman" w:hAnsi="Adobe Garamond Pro" w:cs="Times New Roman"/>
                <w:b/>
                <w:bCs/>
                <w:color w:val="000000"/>
                <w:sz w:val="16"/>
                <w:szCs w:val="16"/>
                <w:lang w:eastAsia="bs-Latn-BA"/>
              </w:rPr>
              <w:t>Stopa</w:t>
            </w:r>
          </w:p>
        </w:tc>
        <w:tc>
          <w:tcPr>
            <w:tcW w:w="564" w:type="pct"/>
            <w:tcBorders>
              <w:top w:val="single" w:sz="8" w:space="0" w:color="auto"/>
              <w:left w:val="nil"/>
              <w:bottom w:val="double" w:sz="6" w:space="0" w:color="auto"/>
              <w:right w:val="nil"/>
            </w:tcBorders>
            <w:shd w:val="clear" w:color="000000" w:fill="D8D8D8"/>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b/>
                <w:bCs/>
                <w:color w:val="000000"/>
                <w:sz w:val="16"/>
                <w:szCs w:val="16"/>
                <w:lang w:eastAsia="bs-Latn-BA"/>
              </w:rPr>
            </w:pPr>
            <w:r w:rsidRPr="00611D01">
              <w:rPr>
                <w:rFonts w:ascii="Adobe Garamond Pro" w:eastAsia="Times New Roman" w:hAnsi="Adobe Garamond Pro" w:cs="Times New Roman"/>
                <w:b/>
                <w:bCs/>
                <w:color w:val="000000"/>
                <w:sz w:val="16"/>
                <w:szCs w:val="16"/>
                <w:lang w:eastAsia="bs-Latn-BA"/>
              </w:rPr>
              <w:t>Osnovica</w:t>
            </w:r>
          </w:p>
        </w:tc>
        <w:tc>
          <w:tcPr>
            <w:tcW w:w="942" w:type="pct"/>
            <w:tcBorders>
              <w:top w:val="single" w:sz="8" w:space="0" w:color="auto"/>
              <w:left w:val="single" w:sz="4" w:space="0" w:color="auto"/>
              <w:bottom w:val="double" w:sz="6" w:space="0" w:color="auto"/>
              <w:right w:val="single" w:sz="8" w:space="0" w:color="auto"/>
            </w:tcBorders>
            <w:shd w:val="clear" w:color="000000" w:fill="D8D8D8"/>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6"/>
                <w:szCs w:val="16"/>
                <w:lang w:eastAsia="bs-Latn-BA"/>
              </w:rPr>
            </w:pPr>
            <w:r w:rsidRPr="00611D01">
              <w:rPr>
                <w:rFonts w:ascii="Adobe Garamond Pro" w:eastAsia="Times New Roman" w:hAnsi="Adobe Garamond Pro" w:cs="Times New Roman"/>
                <w:color w:val="000000"/>
                <w:sz w:val="16"/>
                <w:szCs w:val="16"/>
                <w:lang w:eastAsia="bs-Latn-BA"/>
              </w:rPr>
              <w:t>Napomena</w:t>
            </w:r>
          </w:p>
        </w:tc>
      </w:tr>
      <w:tr w:rsidR="00881891" w:rsidRPr="00611D01" w:rsidTr="00611D01">
        <w:trPr>
          <w:trHeight w:val="42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1</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11D01">
              <w:rPr>
                <w:rFonts w:ascii="Adobe Garamond Pro" w:eastAsia="Times New Roman" w:hAnsi="Adobe Garamond Pro" w:cs="Times New Roman"/>
                <w:b/>
                <w:bCs/>
                <w:color w:val="000000"/>
                <w:sz w:val="18"/>
                <w:szCs w:val="18"/>
                <w:lang w:eastAsia="bs-Latn-BA"/>
              </w:rPr>
              <w:t>Bruto plaća</w:t>
            </w:r>
          </w:p>
        </w:tc>
        <w:tc>
          <w:tcPr>
            <w:tcW w:w="848" w:type="pct"/>
            <w:tcBorders>
              <w:top w:val="nil"/>
              <w:left w:val="nil"/>
              <w:bottom w:val="single" w:sz="4" w:space="0" w:color="auto"/>
              <w:right w:val="single" w:sz="4" w:space="0" w:color="auto"/>
            </w:tcBorders>
            <w:shd w:val="clear" w:color="000000" w:fill="D7E4BC"/>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11D01">
              <w:rPr>
                <w:rFonts w:ascii="Adobe Garamond Pro" w:eastAsia="Times New Roman" w:hAnsi="Adobe Garamond Pro" w:cs="Times New Roman"/>
                <w:b/>
                <w:bCs/>
                <w:color w:val="000000"/>
                <w:sz w:val="18"/>
                <w:szCs w:val="18"/>
                <w:lang w:eastAsia="bs-Latn-BA"/>
              </w:rPr>
              <w:t>EUR 2.000,00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75"/>
        </w:trPr>
        <w:tc>
          <w:tcPr>
            <w:tcW w:w="545"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2</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Mirovinsko/penzijsko 1. stup</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300,00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15,00%</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60"/>
        </w:trPr>
        <w:tc>
          <w:tcPr>
            <w:tcW w:w="545" w:type="pct"/>
            <w:vMerge/>
            <w:tcBorders>
              <w:top w:val="nil"/>
              <w:left w:val="single" w:sz="8" w:space="0" w:color="auto"/>
              <w:bottom w:val="single" w:sz="4" w:space="0" w:color="auto"/>
              <w:right w:val="single" w:sz="4" w:space="0" w:color="auto"/>
            </w:tcBorders>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xml:space="preserve">Mirovinsko/penzijsko 2. stup </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100,00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5,00%</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60"/>
        </w:trPr>
        <w:tc>
          <w:tcPr>
            <w:tcW w:w="545" w:type="pct"/>
            <w:vMerge/>
            <w:tcBorders>
              <w:top w:val="nil"/>
              <w:left w:val="single" w:sz="8" w:space="0" w:color="auto"/>
              <w:bottom w:val="single" w:sz="4" w:space="0" w:color="auto"/>
              <w:right w:val="single" w:sz="4" w:space="0" w:color="auto"/>
            </w:tcBorders>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Doprinosi iz plaće</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400,00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3</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11D01">
              <w:rPr>
                <w:rFonts w:ascii="Adobe Garamond Pro" w:eastAsia="Times New Roman" w:hAnsi="Adobe Garamond Pro" w:cs="Times New Roman"/>
                <w:b/>
                <w:bCs/>
                <w:color w:val="000000"/>
                <w:sz w:val="18"/>
                <w:szCs w:val="18"/>
                <w:lang w:eastAsia="bs-Latn-BA"/>
              </w:rPr>
              <w:t>Dohodak (1-2)</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1.600,00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4</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xml:space="preserve">Osobni odbitak </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314,00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5</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11D01">
              <w:rPr>
                <w:rFonts w:ascii="Adobe Garamond Pro" w:eastAsia="Times New Roman" w:hAnsi="Adobe Garamond Pro" w:cs="Times New Roman"/>
                <w:b/>
                <w:bCs/>
                <w:color w:val="000000"/>
                <w:sz w:val="18"/>
                <w:szCs w:val="18"/>
                <w:lang w:eastAsia="bs-Latn-BA"/>
              </w:rPr>
              <w:t>Porezna osnovica (3-4)</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1.286,00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6</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Porez po stopi 12%</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154,32</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12%</w:t>
            </w:r>
          </w:p>
        </w:tc>
        <w:tc>
          <w:tcPr>
            <w:tcW w:w="564"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nil"/>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do 2.200 Kn</w:t>
            </w:r>
          </w:p>
        </w:tc>
      </w:tr>
      <w:tr w:rsidR="00881891" w:rsidRPr="00611D01" w:rsidTr="00611D01">
        <w:trPr>
          <w:trHeight w:val="300"/>
        </w:trPr>
        <w:tc>
          <w:tcPr>
            <w:tcW w:w="545" w:type="pct"/>
            <w:vMerge/>
            <w:tcBorders>
              <w:top w:val="nil"/>
              <w:left w:val="single" w:sz="8" w:space="0" w:color="auto"/>
              <w:bottom w:val="single" w:sz="4" w:space="0" w:color="auto"/>
              <w:right w:val="single" w:sz="4" w:space="0" w:color="auto"/>
            </w:tcBorders>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Porez po stopi 25%</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321,50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25%</w:t>
            </w:r>
          </w:p>
        </w:tc>
        <w:tc>
          <w:tcPr>
            <w:tcW w:w="564"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nil"/>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xml:space="preserve"> 2.200 do 8.800 Kn</w:t>
            </w:r>
          </w:p>
        </w:tc>
      </w:tr>
      <w:tr w:rsidR="00881891" w:rsidRPr="00611D01" w:rsidTr="00611D01">
        <w:trPr>
          <w:trHeight w:val="300"/>
        </w:trPr>
        <w:tc>
          <w:tcPr>
            <w:tcW w:w="545" w:type="pct"/>
            <w:vMerge/>
            <w:tcBorders>
              <w:top w:val="nil"/>
              <w:left w:val="single" w:sz="8" w:space="0" w:color="auto"/>
              <w:bottom w:val="single" w:sz="4" w:space="0" w:color="auto"/>
              <w:right w:val="single" w:sz="4" w:space="0" w:color="auto"/>
            </w:tcBorders>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Porez po stopi 40%</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514,40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40%</w:t>
            </w:r>
          </w:p>
        </w:tc>
        <w:tc>
          <w:tcPr>
            <w:tcW w:w="564"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nil"/>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od 8.800 Kn</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7</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11D01">
              <w:rPr>
                <w:rFonts w:ascii="Adobe Garamond Pro" w:eastAsia="Times New Roman" w:hAnsi="Adobe Garamond Pro" w:cs="Times New Roman"/>
                <w:b/>
                <w:bCs/>
                <w:color w:val="000000"/>
                <w:sz w:val="18"/>
                <w:szCs w:val="18"/>
                <w:lang w:eastAsia="bs-Latn-BA"/>
              </w:rPr>
              <w:t>Porez ukupno</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321,50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nil"/>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8</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Prirez porezu na dohodak</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32,15</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10%</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prosjek</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9</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11D01">
              <w:rPr>
                <w:rFonts w:ascii="Adobe Garamond Pro" w:eastAsia="Times New Roman" w:hAnsi="Adobe Garamond Pro" w:cs="Times New Roman"/>
                <w:b/>
                <w:bCs/>
                <w:color w:val="000000"/>
                <w:sz w:val="18"/>
                <w:szCs w:val="18"/>
                <w:lang w:eastAsia="bs-Latn-BA"/>
              </w:rPr>
              <w:t>Ukupno porez i prirez</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353,65</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10</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11D01">
              <w:rPr>
                <w:rFonts w:ascii="Adobe Garamond Pro" w:eastAsia="Times New Roman" w:hAnsi="Adobe Garamond Pro" w:cs="Times New Roman"/>
                <w:b/>
                <w:bCs/>
                <w:color w:val="000000"/>
                <w:sz w:val="18"/>
                <w:szCs w:val="18"/>
                <w:lang w:eastAsia="bs-Latn-BA"/>
              </w:rPr>
              <w:t>Neto (3-9)</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1.246,35</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11D01">
              <w:rPr>
                <w:rFonts w:ascii="Adobe Garamond Pro" w:eastAsia="Times New Roman" w:hAnsi="Adobe Garamond Pro" w:cs="Times New Roman"/>
                <w:b/>
                <w:bCs/>
                <w:color w:val="000000"/>
                <w:sz w:val="18"/>
                <w:szCs w:val="18"/>
                <w:lang w:eastAsia="bs-Latn-BA"/>
              </w:rPr>
              <w:t>Bruto plaća</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11D01">
              <w:rPr>
                <w:rFonts w:ascii="Adobe Garamond Pro" w:eastAsia="Times New Roman" w:hAnsi="Adobe Garamond Pro" w:cs="Times New Roman"/>
                <w:b/>
                <w:bCs/>
                <w:color w:val="000000"/>
                <w:sz w:val="18"/>
                <w:szCs w:val="18"/>
                <w:lang w:eastAsia="bs-Latn-BA"/>
              </w:rPr>
              <w:t>2.000,00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Doprinos za zdravstveno</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260,00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13,00%</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Doprinos za slučaj ozljede</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10,00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0,50%</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00"/>
        </w:trPr>
        <w:tc>
          <w:tcPr>
            <w:tcW w:w="545" w:type="pct"/>
            <w:tcBorders>
              <w:top w:val="nil"/>
              <w:left w:val="single" w:sz="8" w:space="0" w:color="auto"/>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1596" w:type="pct"/>
            <w:tcBorders>
              <w:top w:val="nil"/>
              <w:left w:val="nil"/>
              <w:bottom w:val="single" w:sz="4"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Doprinos za zapošljavanje</w:t>
            </w:r>
          </w:p>
        </w:tc>
        <w:tc>
          <w:tcPr>
            <w:tcW w:w="848"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34,00</w:t>
            </w:r>
          </w:p>
        </w:tc>
        <w:tc>
          <w:tcPr>
            <w:tcW w:w="505" w:type="pct"/>
            <w:tcBorders>
              <w:top w:val="nil"/>
              <w:left w:val="nil"/>
              <w:bottom w:val="single" w:sz="4"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1,70%</w:t>
            </w:r>
          </w:p>
        </w:tc>
        <w:tc>
          <w:tcPr>
            <w:tcW w:w="564" w:type="pct"/>
            <w:tcBorders>
              <w:top w:val="nil"/>
              <w:left w:val="nil"/>
              <w:bottom w:val="single" w:sz="4"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4"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r w:rsidR="00881891" w:rsidRPr="00611D01" w:rsidTr="00611D01">
        <w:trPr>
          <w:trHeight w:val="315"/>
        </w:trPr>
        <w:tc>
          <w:tcPr>
            <w:tcW w:w="545" w:type="pct"/>
            <w:tcBorders>
              <w:top w:val="nil"/>
              <w:left w:val="single" w:sz="8" w:space="0" w:color="auto"/>
              <w:bottom w:val="single" w:sz="8" w:space="0" w:color="auto"/>
              <w:right w:val="single" w:sz="4" w:space="0" w:color="auto"/>
            </w:tcBorders>
            <w:shd w:val="clear" w:color="auto" w:fill="auto"/>
            <w:noWrap/>
            <w:vAlign w:val="center"/>
            <w:hideMark/>
          </w:tcPr>
          <w:p w:rsidR="00881891" w:rsidRPr="00611D01" w:rsidRDefault="00881891" w:rsidP="00881891">
            <w:pPr>
              <w:spacing w:after="0" w:line="240" w:lineRule="auto"/>
              <w:jc w:val="center"/>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1596" w:type="pct"/>
            <w:tcBorders>
              <w:top w:val="nil"/>
              <w:left w:val="nil"/>
              <w:bottom w:val="single" w:sz="8" w:space="0" w:color="auto"/>
              <w:right w:val="single" w:sz="4" w:space="0" w:color="auto"/>
            </w:tcBorders>
            <w:shd w:val="clear" w:color="auto" w:fill="auto"/>
            <w:noWrap/>
            <w:vAlign w:val="center"/>
            <w:hideMark/>
          </w:tcPr>
          <w:p w:rsidR="00881891" w:rsidRPr="00611D01"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11D01">
              <w:rPr>
                <w:rFonts w:ascii="Adobe Garamond Pro" w:eastAsia="Times New Roman" w:hAnsi="Adobe Garamond Pro" w:cs="Times New Roman"/>
                <w:b/>
                <w:bCs/>
                <w:color w:val="000000"/>
                <w:sz w:val="18"/>
                <w:szCs w:val="18"/>
                <w:lang w:eastAsia="bs-Latn-BA"/>
              </w:rPr>
              <w:t>Ukupni trošak plaće (Bruto 2)</w:t>
            </w:r>
          </w:p>
        </w:tc>
        <w:tc>
          <w:tcPr>
            <w:tcW w:w="848" w:type="pct"/>
            <w:tcBorders>
              <w:top w:val="nil"/>
              <w:left w:val="nil"/>
              <w:bottom w:val="single" w:sz="8" w:space="0" w:color="auto"/>
              <w:right w:val="single" w:sz="4" w:space="0" w:color="auto"/>
            </w:tcBorders>
            <w:shd w:val="clear" w:color="auto" w:fill="auto"/>
            <w:noWrap/>
            <w:vAlign w:val="bottom"/>
            <w:hideMark/>
          </w:tcPr>
          <w:p w:rsidR="00881891" w:rsidRPr="00611D01"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11D01">
              <w:rPr>
                <w:rFonts w:ascii="Adobe Garamond Pro" w:eastAsia="Times New Roman" w:hAnsi="Adobe Garamond Pro" w:cs="Times New Roman"/>
                <w:b/>
                <w:bCs/>
                <w:color w:val="000000"/>
                <w:sz w:val="18"/>
                <w:szCs w:val="18"/>
                <w:lang w:eastAsia="bs-Latn-BA"/>
              </w:rPr>
              <w:t>2.304,00</w:t>
            </w:r>
          </w:p>
        </w:tc>
        <w:tc>
          <w:tcPr>
            <w:tcW w:w="505" w:type="pct"/>
            <w:tcBorders>
              <w:top w:val="nil"/>
              <w:left w:val="nil"/>
              <w:bottom w:val="single" w:sz="8" w:space="0" w:color="auto"/>
              <w:right w:val="single" w:sz="4"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564" w:type="pct"/>
            <w:tcBorders>
              <w:top w:val="nil"/>
              <w:left w:val="nil"/>
              <w:bottom w:val="single" w:sz="8" w:space="0" w:color="auto"/>
              <w:right w:val="nil"/>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c>
          <w:tcPr>
            <w:tcW w:w="942" w:type="pct"/>
            <w:tcBorders>
              <w:top w:val="nil"/>
              <w:left w:val="single" w:sz="4" w:space="0" w:color="auto"/>
              <w:bottom w:val="single" w:sz="8" w:space="0" w:color="auto"/>
              <w:right w:val="single" w:sz="8" w:space="0" w:color="auto"/>
            </w:tcBorders>
            <w:shd w:val="clear" w:color="auto" w:fill="auto"/>
            <w:noWrap/>
            <w:vAlign w:val="bottom"/>
            <w:hideMark/>
          </w:tcPr>
          <w:p w:rsidR="00881891" w:rsidRPr="00611D01"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11D01">
              <w:rPr>
                <w:rFonts w:ascii="Adobe Garamond Pro" w:eastAsia="Times New Roman" w:hAnsi="Adobe Garamond Pro" w:cs="Times New Roman"/>
                <w:color w:val="000000"/>
                <w:sz w:val="18"/>
                <w:szCs w:val="18"/>
                <w:lang w:eastAsia="bs-Latn-BA"/>
              </w:rPr>
              <w:t> </w:t>
            </w:r>
          </w:p>
        </w:tc>
      </w:tr>
    </w:tbl>
    <w:p w:rsidR="00881891" w:rsidRPr="00881891" w:rsidRDefault="00881891" w:rsidP="00881891">
      <w:pPr>
        <w:spacing w:after="0" w:line="240" w:lineRule="auto"/>
        <w:jc w:val="both"/>
        <w:rPr>
          <w:rFonts w:ascii="Adobe Garamond Pro" w:hAnsi="Adobe Garamond Pro" w:cs="Times New Roman"/>
          <w:sz w:val="20"/>
          <w:szCs w:val="20"/>
        </w:rPr>
      </w:pPr>
    </w:p>
    <w:p w:rsidR="00881891" w:rsidRPr="00881891" w:rsidRDefault="00881891" w:rsidP="00881891">
      <w:pPr>
        <w:pBdr>
          <w:top w:val="single" w:sz="12" w:space="1" w:color="auto"/>
          <w:bottom w:val="single" w:sz="12" w:space="1" w:color="auto"/>
        </w:pBd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lastRenderedPageBreak/>
        <w:t>*U zadnjoj koloni r.br. 6 prethodne tabele su iskazane zakonske osnovice za oporezivanje dohodka, po hrvatskom zakonu, po progresivnim stopama u Hrvatskim Kunama (Kn)</w:t>
      </w:r>
    </w:p>
    <w:p w:rsidR="00881891" w:rsidRDefault="00881891" w:rsidP="00881891">
      <w:pPr>
        <w:spacing w:after="0" w:line="240" w:lineRule="auto"/>
        <w:jc w:val="both"/>
        <w:rPr>
          <w:rFonts w:ascii="Adobe Garamond Pro" w:hAnsi="Adobe Garamond Pro" w:cs="Times New Roman"/>
          <w:i/>
          <w:sz w:val="20"/>
          <w:szCs w:val="20"/>
        </w:rPr>
      </w:pPr>
      <w:r w:rsidRPr="00611D01">
        <w:rPr>
          <w:rFonts w:ascii="Adobe Garamond Pro" w:hAnsi="Adobe Garamond Pro" w:cs="Times New Roman"/>
          <w:i/>
          <w:sz w:val="20"/>
          <w:szCs w:val="20"/>
        </w:rPr>
        <w:t>www.mirovinsko.hr</w:t>
      </w:r>
    </w:p>
    <w:p w:rsidR="00611D01" w:rsidRPr="00611D01" w:rsidRDefault="00611D01" w:rsidP="00881891">
      <w:pPr>
        <w:spacing w:after="0" w:line="240" w:lineRule="auto"/>
        <w:jc w:val="both"/>
        <w:rPr>
          <w:rFonts w:ascii="Adobe Garamond Pro" w:hAnsi="Adobe Garamond Pro" w:cs="Times New Roman"/>
          <w:i/>
          <w:sz w:val="20"/>
          <w:szCs w:val="20"/>
        </w:rPr>
      </w:pPr>
    </w:p>
    <w:p w:rsid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t>Kao što se iz prethodne tabele vidi obračun bruto plate u Republici Hrvatskoj je sličan kao i u ostalim državama bivše Jugoslavije. Dakle postoji obračun doprinosa iz bruto plate na teret zaposlenika i na bruto platu na teret poslodavca.</w:t>
      </w:r>
    </w:p>
    <w:p w:rsidR="00611D01" w:rsidRPr="00881891" w:rsidRDefault="00611D01" w:rsidP="00881891">
      <w:pPr>
        <w:spacing w:after="0" w:line="240" w:lineRule="auto"/>
        <w:ind w:firstLine="708"/>
        <w:jc w:val="both"/>
        <w:rPr>
          <w:rFonts w:ascii="Adobe Garamond Pro" w:hAnsi="Adobe Garamond Pro" w:cs="Times New Roman"/>
          <w:sz w:val="20"/>
          <w:szCs w:val="20"/>
        </w:rPr>
      </w:pPr>
    </w:p>
    <w:p w:rsid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t>Specifičnosti postoje u obračunu poreza na dohodak koji ima uz sebe i prirez koji propisuje lokalan zajednica kao svoj prihod i koji se razlikuje od jedne do druge lokalne zajednice, ali je prosjek, koji smo i primjenili 10%, kao i različita stopa poreza na dohodak zavisno od visine plate. U obračun smo uzeli srednju stopu od 25%, koja je iz osnovice prosječene plate u Hrvatskoj. Takođe,  slično kao u Srbiji i Crnoj Gori stopa poreza na dohodak ovisi o visini bruto plate i nema oslobađajućeg dijela osnovice.</w:t>
      </w:r>
    </w:p>
    <w:p w:rsidR="00611D01" w:rsidRDefault="00611D01" w:rsidP="00881891">
      <w:pPr>
        <w:spacing w:after="0" w:line="240" w:lineRule="auto"/>
        <w:ind w:firstLine="708"/>
        <w:jc w:val="both"/>
        <w:rPr>
          <w:rFonts w:ascii="Adobe Garamond Pro" w:hAnsi="Adobe Garamond Pro" w:cs="Times New Roman"/>
          <w:sz w:val="20"/>
          <w:szCs w:val="20"/>
        </w:rPr>
      </w:pPr>
    </w:p>
    <w:p w:rsidR="00881891" w:rsidRPr="00881891" w:rsidRDefault="00881891" w:rsidP="00611D0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Kada se iz tabele izdvoje osnovni parametri slika je sljedeća:</w:t>
      </w:r>
    </w:p>
    <w:p w:rsidR="00881891" w:rsidRPr="00881891" w:rsidRDefault="00881891" w:rsidP="00616109">
      <w:pPr>
        <w:pStyle w:val="ListParagraph"/>
        <w:numPr>
          <w:ilvl w:val="0"/>
          <w:numId w:val="14"/>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ukupan trošak zaposenika</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2.304,00 EUR,</w:t>
      </w:r>
    </w:p>
    <w:p w:rsidR="00881891" w:rsidRPr="00881891" w:rsidRDefault="00881891" w:rsidP="00616109">
      <w:pPr>
        <w:pStyle w:val="ListParagraph"/>
        <w:numPr>
          <w:ilvl w:val="0"/>
          <w:numId w:val="14"/>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neto zarada zaposlenika</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1.246,35 EUR,</w:t>
      </w:r>
    </w:p>
    <w:p w:rsidR="00881891" w:rsidRPr="00881891" w:rsidRDefault="00881891" w:rsidP="00616109">
      <w:pPr>
        <w:pStyle w:val="ListParagraph"/>
        <w:numPr>
          <w:ilvl w:val="0"/>
          <w:numId w:val="14"/>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ukupno porezi i doprinosi</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1.057,65 EUR,</w:t>
      </w:r>
    </w:p>
    <w:p w:rsidR="00881891" w:rsidRPr="00881891" w:rsidRDefault="00881891" w:rsidP="00616109">
      <w:pPr>
        <w:pStyle w:val="ListParagraph"/>
        <w:numPr>
          <w:ilvl w:val="0"/>
          <w:numId w:val="14"/>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stopa poreza i doprinosa iz ukunog trošak zaposl.</w:t>
      </w:r>
      <w:r w:rsidRPr="00881891">
        <w:rPr>
          <w:rFonts w:ascii="Adobe Garamond Pro" w:hAnsi="Adobe Garamond Pro" w:cs="Times New Roman"/>
          <w:sz w:val="20"/>
          <w:szCs w:val="20"/>
        </w:rPr>
        <w:tab/>
        <w:t>45,90%</w:t>
      </w:r>
    </w:p>
    <w:p w:rsidR="00611D01" w:rsidRPr="00611D01" w:rsidRDefault="00881891" w:rsidP="00616109">
      <w:pPr>
        <w:pStyle w:val="ListParagraph"/>
        <w:numPr>
          <w:ilvl w:val="0"/>
          <w:numId w:val="14"/>
        </w:numPr>
        <w:spacing w:after="0" w:line="240" w:lineRule="auto"/>
        <w:jc w:val="both"/>
        <w:rPr>
          <w:rFonts w:ascii="Adobe Garamond Pro" w:hAnsi="Adobe Garamond Pro" w:cs="Times New Roman"/>
          <w:b/>
          <w:sz w:val="20"/>
          <w:szCs w:val="20"/>
        </w:rPr>
      </w:pPr>
      <w:r w:rsidRPr="00611D01">
        <w:rPr>
          <w:rFonts w:ascii="Adobe Garamond Pro" w:hAnsi="Adobe Garamond Pro" w:cs="Times New Roman"/>
          <w:sz w:val="20"/>
          <w:szCs w:val="20"/>
        </w:rPr>
        <w:t>izdvajanje po doprinosima za PIO</w:t>
      </w:r>
      <w:r w:rsidRPr="00611D01">
        <w:rPr>
          <w:rFonts w:ascii="Adobe Garamond Pro" w:hAnsi="Adobe Garamond Pro" w:cs="Times New Roman"/>
          <w:sz w:val="20"/>
          <w:szCs w:val="20"/>
        </w:rPr>
        <w:tab/>
      </w:r>
      <w:r w:rsidRPr="00611D01">
        <w:rPr>
          <w:rFonts w:ascii="Adobe Garamond Pro" w:hAnsi="Adobe Garamond Pro" w:cs="Times New Roman"/>
          <w:sz w:val="20"/>
          <w:szCs w:val="20"/>
        </w:rPr>
        <w:tab/>
      </w:r>
      <w:r w:rsidRPr="00611D01">
        <w:rPr>
          <w:rFonts w:ascii="Adobe Garamond Pro" w:hAnsi="Adobe Garamond Pro" w:cs="Times New Roman"/>
          <w:sz w:val="20"/>
          <w:szCs w:val="20"/>
        </w:rPr>
        <w:tab/>
        <w:t>400,00 EUR, ili 17,36 %</w:t>
      </w:r>
    </w:p>
    <w:p w:rsidR="00611D01" w:rsidRDefault="00611D01" w:rsidP="00611D01">
      <w:pPr>
        <w:pStyle w:val="ListParagraph"/>
        <w:spacing w:after="0" w:line="240" w:lineRule="auto"/>
        <w:ind w:left="0"/>
        <w:jc w:val="both"/>
        <w:rPr>
          <w:rFonts w:ascii="Adobe Garamond Pro" w:hAnsi="Adobe Garamond Pro" w:cs="Times New Roman"/>
          <w:sz w:val="20"/>
          <w:szCs w:val="20"/>
        </w:rPr>
      </w:pPr>
    </w:p>
    <w:p w:rsidR="00881891" w:rsidRPr="00611D01" w:rsidRDefault="00881891" w:rsidP="00611D01">
      <w:pPr>
        <w:pStyle w:val="ListParagraph"/>
        <w:spacing w:after="0" w:line="240" w:lineRule="auto"/>
        <w:ind w:left="0"/>
        <w:jc w:val="both"/>
        <w:rPr>
          <w:rFonts w:ascii="Adobe Garamond Pro" w:hAnsi="Adobe Garamond Pro" w:cs="Times New Roman"/>
          <w:b/>
        </w:rPr>
      </w:pPr>
      <w:r w:rsidRPr="00611D01">
        <w:rPr>
          <w:rFonts w:ascii="Adobe Garamond Pro" w:hAnsi="Adobe Garamond Pro" w:cs="Times New Roman"/>
          <w:b/>
        </w:rPr>
        <w:t>Struktura bruto plate u Republici Sloveniji</w:t>
      </w:r>
    </w:p>
    <w:p w:rsidR="00611D01" w:rsidRPr="00611D01" w:rsidRDefault="00611D01" w:rsidP="00611D01">
      <w:pPr>
        <w:pStyle w:val="ListParagraph"/>
        <w:spacing w:after="0" w:line="240" w:lineRule="auto"/>
        <w:ind w:left="0"/>
        <w:jc w:val="both"/>
        <w:rPr>
          <w:rFonts w:ascii="Adobe Garamond Pro" w:hAnsi="Adobe Garamond Pro" w:cs="Times New Roman"/>
          <w:b/>
          <w:sz w:val="20"/>
          <w:szCs w:val="20"/>
        </w:rPr>
      </w:pPr>
    </w:p>
    <w:p w:rsid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t>U Republici Sloveniji, kao državi nastaloj raspadom bivše Jugoslavije, je sistem obračuna doprinosa na platu sličan Hrvatskoj i F BiH, dakle kombinovani: prvo iz bruto plate na teret zaposlenika, a zatim na bruto platu na teret poslodavca. Porez na dohodak se obračunava na osnovicu: bruto plata umanjena za doprinose iz bruto plate. Bruto plata umanjena za ta dva davanja čini neto isplatu uposleniku. Kada se stave u odnos ukupna davanja iz i na bruto platu, te porez na dohodak prema ukupnom trošku po jednom zaposleniku, opterećenje plata porezima i doprinosima u Republici Sloveniji je:</w:t>
      </w:r>
    </w:p>
    <w:p w:rsidR="00611D01" w:rsidRPr="00881891" w:rsidRDefault="00611D01" w:rsidP="00881891">
      <w:pPr>
        <w:spacing w:after="0" w:line="240" w:lineRule="auto"/>
        <w:ind w:firstLine="708"/>
        <w:jc w:val="both"/>
        <w:rPr>
          <w:rFonts w:ascii="Adobe Garamond Pro" w:hAnsi="Adobe Garamond Pro" w:cs="Times New Roman"/>
          <w:sz w:val="20"/>
          <w:szCs w:val="20"/>
        </w:rPr>
      </w:pPr>
    </w:p>
    <w:p w:rsidR="00881891" w:rsidRPr="00881891" w:rsidRDefault="00881891" w:rsidP="00616109">
      <w:pPr>
        <w:pStyle w:val="ListParagraph"/>
        <w:numPr>
          <w:ilvl w:val="0"/>
          <w:numId w:val="15"/>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ukupan trošak zaposlenika</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2.322,00 EUR,</w:t>
      </w:r>
    </w:p>
    <w:p w:rsidR="00881891" w:rsidRPr="00881891" w:rsidRDefault="00881891" w:rsidP="00616109">
      <w:pPr>
        <w:pStyle w:val="ListParagraph"/>
        <w:numPr>
          <w:ilvl w:val="0"/>
          <w:numId w:val="15"/>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neto primanje zaposlenika</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1.285,20 EUR,</w:t>
      </w:r>
    </w:p>
    <w:p w:rsidR="00881891" w:rsidRPr="00881891" w:rsidRDefault="00881891" w:rsidP="00616109">
      <w:pPr>
        <w:pStyle w:val="ListParagraph"/>
        <w:numPr>
          <w:ilvl w:val="0"/>
          <w:numId w:val="15"/>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ukupni porezi i doprinosi</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1.036,80 EUR,</w:t>
      </w:r>
    </w:p>
    <w:p w:rsidR="00881891" w:rsidRPr="00881891" w:rsidRDefault="00881891" w:rsidP="00616109">
      <w:pPr>
        <w:pStyle w:val="ListParagraph"/>
        <w:numPr>
          <w:ilvl w:val="0"/>
          <w:numId w:val="15"/>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stopa ukupnog opterećenja porezima i doprinosima</w:t>
      </w:r>
      <w:r w:rsidRPr="00881891">
        <w:rPr>
          <w:rFonts w:ascii="Adobe Garamond Pro" w:hAnsi="Adobe Garamond Pro" w:cs="Times New Roman"/>
          <w:sz w:val="20"/>
          <w:szCs w:val="20"/>
        </w:rPr>
        <w:tab/>
        <w:t>44,65 %,</w:t>
      </w:r>
    </w:p>
    <w:p w:rsidR="00881891" w:rsidRDefault="00881891" w:rsidP="00616109">
      <w:pPr>
        <w:pStyle w:val="ListParagraph"/>
        <w:numPr>
          <w:ilvl w:val="0"/>
          <w:numId w:val="15"/>
        </w:num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ukupno izdvajanje za PIO</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487,00 EUR, ili 20,97%</w:t>
      </w:r>
    </w:p>
    <w:p w:rsidR="00611D01" w:rsidRDefault="00611D01" w:rsidP="00611D01">
      <w:pPr>
        <w:spacing w:after="0" w:line="240" w:lineRule="auto"/>
        <w:jc w:val="both"/>
        <w:rPr>
          <w:rFonts w:ascii="Adobe Garamond Pro" w:hAnsi="Adobe Garamond Pro" w:cs="Times New Roman"/>
          <w:sz w:val="20"/>
          <w:szCs w:val="20"/>
        </w:rPr>
      </w:pPr>
    </w:p>
    <w:p w:rsidR="00611D01" w:rsidRDefault="00611D01" w:rsidP="00611D01">
      <w:pPr>
        <w:spacing w:after="0" w:line="240" w:lineRule="auto"/>
        <w:jc w:val="both"/>
        <w:rPr>
          <w:rFonts w:ascii="Adobe Garamond Pro" w:hAnsi="Adobe Garamond Pro" w:cs="Times New Roman"/>
          <w:sz w:val="20"/>
          <w:szCs w:val="20"/>
        </w:rPr>
      </w:pPr>
    </w:p>
    <w:p w:rsidR="00611D01" w:rsidRDefault="00611D01" w:rsidP="00611D01">
      <w:pPr>
        <w:spacing w:after="0" w:line="240" w:lineRule="auto"/>
        <w:jc w:val="both"/>
        <w:rPr>
          <w:rFonts w:ascii="Adobe Garamond Pro" w:hAnsi="Adobe Garamond Pro" w:cs="Times New Roman"/>
          <w:sz w:val="20"/>
          <w:szCs w:val="20"/>
        </w:rPr>
      </w:pPr>
    </w:p>
    <w:p w:rsidR="00611D01" w:rsidRPr="00611D01" w:rsidRDefault="00611D01" w:rsidP="00611D01">
      <w:pPr>
        <w:spacing w:after="0" w:line="240" w:lineRule="auto"/>
        <w:jc w:val="both"/>
        <w:rPr>
          <w:rFonts w:ascii="Adobe Garamond Pro" w:hAnsi="Adobe Garamond Pro" w:cs="Times New Roman"/>
          <w:sz w:val="20"/>
          <w:szCs w:val="20"/>
        </w:rPr>
      </w:pPr>
    </w:p>
    <w:p w:rsidR="00693D79" w:rsidRDefault="00881891" w:rsidP="00693D79">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lastRenderedPageBreak/>
        <w:t>Naprijed obrađeni podaci su iz tabele koja slijedi:</w:t>
      </w:r>
    </w:p>
    <w:p w:rsidR="00693D79" w:rsidRDefault="00693D79" w:rsidP="00693D79">
      <w:pPr>
        <w:spacing w:after="0" w:line="240" w:lineRule="auto"/>
        <w:jc w:val="both"/>
        <w:rPr>
          <w:rFonts w:ascii="Adobe Garamond Pro" w:hAnsi="Adobe Garamond Pro" w:cs="Times New Roman"/>
          <w:sz w:val="20"/>
          <w:szCs w:val="20"/>
        </w:rPr>
      </w:pPr>
    </w:p>
    <w:p w:rsidR="00693D79" w:rsidRDefault="00693D79" w:rsidP="0088189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Tabela 6: Obračun bruto plate u Republici Sloveniji</w:t>
      </w:r>
    </w:p>
    <w:p w:rsidR="00611D01" w:rsidRPr="00881891" w:rsidRDefault="00611D01" w:rsidP="00881891">
      <w:pPr>
        <w:spacing w:after="0" w:line="240" w:lineRule="auto"/>
        <w:jc w:val="both"/>
        <w:rPr>
          <w:rFonts w:ascii="Adobe Garamond Pro" w:hAnsi="Adobe Garamond Pro" w:cs="Times New Roman"/>
          <w:sz w:val="20"/>
          <w:szCs w:val="20"/>
        </w:rPr>
      </w:pPr>
    </w:p>
    <w:tbl>
      <w:tblPr>
        <w:tblW w:w="5000" w:type="pct"/>
        <w:jc w:val="center"/>
        <w:tblLook w:val="04A0"/>
      </w:tblPr>
      <w:tblGrid>
        <w:gridCol w:w="486"/>
        <w:gridCol w:w="2403"/>
        <w:gridCol w:w="1532"/>
        <w:gridCol w:w="194"/>
        <w:gridCol w:w="1525"/>
        <w:gridCol w:w="1305"/>
      </w:tblGrid>
      <w:tr w:rsidR="00881891" w:rsidRPr="00693D79" w:rsidTr="00693D79">
        <w:trPr>
          <w:trHeight w:val="315"/>
          <w:jc w:val="center"/>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881891" w:rsidRPr="00693D79" w:rsidRDefault="00881891" w:rsidP="00881891">
            <w:pPr>
              <w:spacing w:after="0" w:line="240" w:lineRule="auto"/>
              <w:jc w:val="center"/>
              <w:rPr>
                <w:rFonts w:ascii="Adobe Garamond Pro" w:eastAsia="Times New Roman" w:hAnsi="Adobe Garamond Pro" w:cs="Times New Roman"/>
                <w:b/>
                <w:bCs/>
                <w:color w:val="000000"/>
                <w:sz w:val="18"/>
                <w:szCs w:val="18"/>
                <w:lang w:eastAsia="bs-Latn-BA"/>
              </w:rPr>
            </w:pPr>
          </w:p>
          <w:p w:rsidR="00881891" w:rsidRPr="00693D79" w:rsidRDefault="00881891" w:rsidP="00881891">
            <w:pPr>
              <w:spacing w:after="0" w:line="240" w:lineRule="auto"/>
              <w:jc w:val="center"/>
              <w:rPr>
                <w:rFonts w:ascii="Adobe Garamond Pro" w:eastAsia="Times New Roman" w:hAnsi="Adobe Garamond Pro" w:cs="Times New Roman"/>
                <w:b/>
                <w:bCs/>
                <w:color w:val="000000"/>
                <w:sz w:val="18"/>
                <w:szCs w:val="18"/>
                <w:lang w:eastAsia="bs-Latn-BA"/>
              </w:rPr>
            </w:pPr>
          </w:p>
          <w:p w:rsidR="00881891" w:rsidRPr="00693D79" w:rsidRDefault="00881891" w:rsidP="00881891">
            <w:pPr>
              <w:spacing w:after="0" w:line="240" w:lineRule="auto"/>
              <w:jc w:val="center"/>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OBRAČUN  FISKALITETA NA I IZ BRUTO ZARADA</w:t>
            </w:r>
          </w:p>
          <w:p w:rsidR="00881891" w:rsidRPr="00693D79" w:rsidRDefault="00881891" w:rsidP="00881891">
            <w:pPr>
              <w:spacing w:after="0" w:line="240" w:lineRule="auto"/>
              <w:jc w:val="center"/>
              <w:rPr>
                <w:rFonts w:ascii="Adobe Garamond Pro" w:eastAsia="Times New Roman" w:hAnsi="Adobe Garamond Pro" w:cs="Times New Roman"/>
                <w:b/>
                <w:bCs/>
                <w:color w:val="000000"/>
                <w:sz w:val="18"/>
                <w:szCs w:val="18"/>
                <w:lang w:eastAsia="bs-Latn-BA"/>
              </w:rPr>
            </w:pPr>
          </w:p>
          <w:p w:rsidR="00881891" w:rsidRPr="00693D79" w:rsidRDefault="00881891" w:rsidP="00881891">
            <w:pPr>
              <w:spacing w:after="0" w:line="240" w:lineRule="auto"/>
              <w:jc w:val="center"/>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PREMA PROPISIMA U SLOVENIJI</w:t>
            </w:r>
          </w:p>
        </w:tc>
      </w:tr>
      <w:tr w:rsidR="00881891" w:rsidRPr="00693D79" w:rsidTr="00693D79">
        <w:trPr>
          <w:gridAfter w:val="2"/>
          <w:wAfter w:w="1694" w:type="pct"/>
          <w:trHeight w:val="255"/>
          <w:jc w:val="center"/>
        </w:trPr>
        <w:tc>
          <w:tcPr>
            <w:tcW w:w="3306" w:type="pct"/>
            <w:gridSpan w:val="4"/>
            <w:tcBorders>
              <w:top w:val="nil"/>
              <w:left w:val="nil"/>
              <w:bottom w:val="nil"/>
              <w:right w:val="nil"/>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p>
        </w:tc>
      </w:tr>
      <w:tr w:rsidR="00881891" w:rsidRPr="00693D79" w:rsidTr="00693D79">
        <w:trPr>
          <w:trHeight w:val="255"/>
          <w:jc w:val="center"/>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w:t>
            </w:r>
          </w:p>
        </w:tc>
        <w:tc>
          <w:tcPr>
            <w:tcW w:w="1694" w:type="pct"/>
            <w:tcBorders>
              <w:top w:val="single" w:sz="4" w:space="0" w:color="auto"/>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w:t>
            </w:r>
          </w:p>
        </w:tc>
        <w:tc>
          <w:tcPr>
            <w:tcW w:w="1109" w:type="pct"/>
            <w:tcBorders>
              <w:top w:val="single" w:sz="4" w:space="0" w:color="auto"/>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center"/>
              <w:rPr>
                <w:rFonts w:ascii="Adobe Garamond Pro" w:eastAsia="Times New Roman" w:hAnsi="Adobe Garamond Pro" w:cs="Times New Roman"/>
                <w:b/>
                <w:color w:val="000000"/>
                <w:sz w:val="18"/>
                <w:szCs w:val="18"/>
                <w:lang w:eastAsia="bs-Latn-BA"/>
              </w:rPr>
            </w:pPr>
            <w:r w:rsidRPr="00693D79">
              <w:rPr>
                <w:rFonts w:ascii="Adobe Garamond Pro" w:eastAsia="Times New Roman" w:hAnsi="Adobe Garamond Pro" w:cs="Times New Roman"/>
                <w:b/>
                <w:color w:val="000000"/>
                <w:sz w:val="18"/>
                <w:szCs w:val="18"/>
                <w:lang w:eastAsia="bs-Latn-BA"/>
              </w:rPr>
              <w:t xml:space="preserve">osnovica </w:t>
            </w:r>
          </w:p>
        </w:tc>
        <w:tc>
          <w:tcPr>
            <w:tcW w:w="13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center"/>
              <w:rPr>
                <w:rFonts w:ascii="Adobe Garamond Pro" w:eastAsia="Times New Roman" w:hAnsi="Adobe Garamond Pro" w:cs="Times New Roman"/>
                <w:b/>
                <w:color w:val="000000"/>
                <w:sz w:val="18"/>
                <w:szCs w:val="18"/>
                <w:lang w:eastAsia="bs-Latn-BA"/>
              </w:rPr>
            </w:pPr>
            <w:r w:rsidRPr="00693D79">
              <w:rPr>
                <w:rFonts w:ascii="Adobe Garamond Pro" w:eastAsia="Times New Roman" w:hAnsi="Adobe Garamond Pro" w:cs="Times New Roman"/>
                <w:b/>
                <w:color w:val="000000"/>
                <w:sz w:val="18"/>
                <w:szCs w:val="18"/>
                <w:lang w:eastAsia="bs-Latn-BA"/>
              </w:rPr>
              <w:t xml:space="preserve">stopa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center"/>
              <w:rPr>
                <w:rFonts w:ascii="Adobe Garamond Pro" w:eastAsia="Times New Roman" w:hAnsi="Adobe Garamond Pro" w:cs="Times New Roman"/>
                <w:b/>
                <w:color w:val="000000"/>
                <w:sz w:val="18"/>
                <w:szCs w:val="18"/>
                <w:lang w:eastAsia="bs-Latn-BA"/>
              </w:rPr>
            </w:pPr>
            <w:r w:rsidRPr="00693D79">
              <w:rPr>
                <w:rFonts w:ascii="Adobe Garamond Pro" w:eastAsia="Times New Roman" w:hAnsi="Adobe Garamond Pro" w:cs="Times New Roman"/>
                <w:b/>
                <w:color w:val="000000"/>
                <w:sz w:val="18"/>
                <w:szCs w:val="18"/>
                <w:lang w:eastAsia="bs-Latn-BA"/>
              </w:rPr>
              <w:t>iznos</w:t>
            </w:r>
          </w:p>
        </w:tc>
      </w:tr>
      <w:tr w:rsidR="00881891" w:rsidRPr="00693D79" w:rsidTr="00693D79">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1.</w:t>
            </w:r>
          </w:p>
        </w:tc>
        <w:tc>
          <w:tcPr>
            <w:tcW w:w="1694"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bruto zarada</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 </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 </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EUR 2.000,00</w:t>
            </w:r>
          </w:p>
        </w:tc>
      </w:tr>
      <w:tr w:rsidR="00881891" w:rsidRPr="00693D79" w:rsidTr="00693D79">
        <w:trPr>
          <w:trHeight w:val="503"/>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2.</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porez na dohodak fizičkih lica</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nato zarada</w:t>
            </w:r>
          </w:p>
        </w:tc>
        <w:tc>
          <w:tcPr>
            <w:tcW w:w="1314" w:type="pct"/>
            <w:gridSpan w:val="2"/>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27,0%</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272,80</w:t>
            </w:r>
          </w:p>
        </w:tc>
      </w:tr>
      <w:tr w:rsidR="00881891" w:rsidRPr="00693D79" w:rsidTr="00693D79">
        <w:trPr>
          <w:trHeight w:val="410"/>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3.</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doprinosi na teret zaposlenog</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bruto zarada</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22,1%</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442,00</w:t>
            </w:r>
          </w:p>
        </w:tc>
      </w:tr>
      <w:tr w:rsidR="00881891" w:rsidRPr="00693D79" w:rsidTr="00693D79">
        <w:trPr>
          <w:trHeight w:val="255"/>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3.1.</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Doprinos za PIO</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bruto zarada</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15,50%</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310,00</w:t>
            </w:r>
          </w:p>
        </w:tc>
      </w:tr>
      <w:tr w:rsidR="00881891" w:rsidRPr="00693D79" w:rsidTr="00693D79">
        <w:trPr>
          <w:trHeight w:val="675"/>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3.2.</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Doprinos za zdravstveno osiguranje</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bruto zarada</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6,36%</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127,20</w:t>
            </w:r>
          </w:p>
        </w:tc>
      </w:tr>
      <w:tr w:rsidR="00881891" w:rsidRPr="00693D79" w:rsidTr="00693D79">
        <w:trPr>
          <w:trHeight w:val="255"/>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3.3.</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xml:space="preserve">Doprinos za osiguranje </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bruto zarada</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0,24%</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4,80</w:t>
            </w:r>
          </w:p>
        </w:tc>
      </w:tr>
      <w:tr w:rsidR="00881891" w:rsidRPr="00693D79" w:rsidTr="00693D79">
        <w:trPr>
          <w:trHeight w:val="495"/>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4.</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Neto zarada (1-2-3)</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 </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 </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1.285,20</w:t>
            </w:r>
          </w:p>
        </w:tc>
      </w:tr>
      <w:tr w:rsidR="00881891" w:rsidRPr="00693D79" w:rsidTr="00693D79">
        <w:trPr>
          <w:trHeight w:val="255"/>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w:t>
            </w:r>
          </w:p>
        </w:tc>
      </w:tr>
      <w:tr w:rsidR="00881891" w:rsidRPr="00693D79" w:rsidTr="00693D79">
        <w:trPr>
          <w:trHeight w:val="417"/>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5.</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Doprinosi na teret poslodavca</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 </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16,10%</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322,00</w:t>
            </w:r>
          </w:p>
        </w:tc>
      </w:tr>
      <w:tr w:rsidR="00881891" w:rsidRPr="00693D79" w:rsidTr="00693D79">
        <w:trPr>
          <w:trHeight w:val="255"/>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5.1.</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Doprinos za PIO</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bruto zarada</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8,85%</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177,00</w:t>
            </w:r>
          </w:p>
        </w:tc>
      </w:tr>
      <w:tr w:rsidR="00881891" w:rsidRPr="00693D79" w:rsidTr="00693D79">
        <w:trPr>
          <w:trHeight w:val="527"/>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5.2.</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Doprinos za zdravstveno osiguranje</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bruto zarada</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6,56%</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131,20</w:t>
            </w:r>
          </w:p>
        </w:tc>
      </w:tr>
      <w:tr w:rsidR="00881891" w:rsidRPr="00693D79" w:rsidTr="00693D79">
        <w:trPr>
          <w:trHeight w:val="420"/>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5.3.</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xml:space="preserve">Doprinos za osiguranje </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bruto zarada</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0,06%</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1,20</w:t>
            </w:r>
          </w:p>
        </w:tc>
      </w:tr>
      <w:tr w:rsidR="00881891" w:rsidRPr="00693D79" w:rsidTr="00693D79">
        <w:trPr>
          <w:trHeight w:val="450"/>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5.4.</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Doprinos Fondu rada</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bruto zarada</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w:t>
            </w:r>
          </w:p>
        </w:tc>
      </w:tr>
      <w:tr w:rsidR="00881891" w:rsidRPr="00693D79" w:rsidTr="00693D79">
        <w:trPr>
          <w:trHeight w:val="315"/>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5.5.</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Sredstva sindikata</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bruto zarada</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 </w:t>
            </w:r>
          </w:p>
        </w:tc>
      </w:tr>
      <w:tr w:rsidR="00881891" w:rsidRPr="00693D79" w:rsidTr="00693D79">
        <w:trPr>
          <w:trHeight w:val="285"/>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5.6.</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Ostali porezi</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bruto zarada</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0,63%</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color w:val="000000"/>
                <w:sz w:val="18"/>
                <w:szCs w:val="18"/>
                <w:lang w:eastAsia="bs-Latn-BA"/>
              </w:rPr>
            </w:pPr>
            <w:r w:rsidRPr="00693D79">
              <w:rPr>
                <w:rFonts w:ascii="Adobe Garamond Pro" w:eastAsia="Times New Roman" w:hAnsi="Adobe Garamond Pro" w:cs="Times New Roman"/>
                <w:color w:val="000000"/>
                <w:sz w:val="18"/>
                <w:szCs w:val="18"/>
                <w:lang w:eastAsia="bs-Latn-BA"/>
              </w:rPr>
              <w:t>12,60</w:t>
            </w:r>
          </w:p>
        </w:tc>
      </w:tr>
      <w:tr w:rsidR="00881891" w:rsidRPr="00693D79" w:rsidTr="00693D79">
        <w:trPr>
          <w:trHeight w:val="570"/>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6.</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Prirez porezu na dohodak fizičkih lica</w:t>
            </w:r>
          </w:p>
        </w:tc>
        <w:tc>
          <w:tcPr>
            <w:tcW w:w="1109"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porez na dohodak</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 </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 </w:t>
            </w:r>
          </w:p>
        </w:tc>
      </w:tr>
      <w:tr w:rsidR="00881891" w:rsidRPr="00693D79" w:rsidTr="00693D79">
        <w:trPr>
          <w:trHeight w:val="465"/>
          <w:jc w:val="center"/>
        </w:trPr>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7.</w:t>
            </w:r>
          </w:p>
        </w:tc>
        <w:tc>
          <w:tcPr>
            <w:tcW w:w="1694" w:type="pct"/>
            <w:tcBorders>
              <w:top w:val="nil"/>
              <w:left w:val="nil"/>
              <w:bottom w:val="single" w:sz="4" w:space="0" w:color="auto"/>
              <w:right w:val="single" w:sz="4" w:space="0" w:color="auto"/>
            </w:tcBorders>
            <w:shd w:val="clear" w:color="auto" w:fill="auto"/>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Ukupni troškovi zarada (1+5+6)</w:t>
            </w:r>
          </w:p>
        </w:tc>
        <w:tc>
          <w:tcPr>
            <w:tcW w:w="1109"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 </w:t>
            </w:r>
          </w:p>
        </w:tc>
        <w:tc>
          <w:tcPr>
            <w:tcW w:w="1314" w:type="pct"/>
            <w:gridSpan w:val="2"/>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 </w:t>
            </w:r>
          </w:p>
        </w:tc>
        <w:tc>
          <w:tcPr>
            <w:tcW w:w="591" w:type="pct"/>
            <w:tcBorders>
              <w:top w:val="nil"/>
              <w:left w:val="nil"/>
              <w:bottom w:val="single" w:sz="4" w:space="0" w:color="auto"/>
              <w:right w:val="single" w:sz="4" w:space="0" w:color="auto"/>
            </w:tcBorders>
            <w:shd w:val="clear" w:color="auto" w:fill="auto"/>
            <w:noWrap/>
            <w:vAlign w:val="bottom"/>
            <w:hideMark/>
          </w:tcPr>
          <w:p w:rsidR="00881891" w:rsidRPr="00693D79" w:rsidRDefault="00881891" w:rsidP="00881891">
            <w:pPr>
              <w:spacing w:after="0" w:line="240" w:lineRule="auto"/>
              <w:jc w:val="right"/>
              <w:rPr>
                <w:rFonts w:ascii="Adobe Garamond Pro" w:eastAsia="Times New Roman" w:hAnsi="Adobe Garamond Pro" w:cs="Times New Roman"/>
                <w:b/>
                <w:bCs/>
                <w:color w:val="000000"/>
                <w:sz w:val="18"/>
                <w:szCs w:val="18"/>
                <w:lang w:eastAsia="bs-Latn-BA"/>
              </w:rPr>
            </w:pPr>
            <w:r w:rsidRPr="00693D79">
              <w:rPr>
                <w:rFonts w:ascii="Adobe Garamond Pro" w:eastAsia="Times New Roman" w:hAnsi="Adobe Garamond Pro" w:cs="Times New Roman"/>
                <w:b/>
                <w:bCs/>
                <w:color w:val="000000"/>
                <w:sz w:val="18"/>
                <w:szCs w:val="18"/>
                <w:lang w:eastAsia="bs-Latn-BA"/>
              </w:rPr>
              <w:t>2.322,00</w:t>
            </w:r>
          </w:p>
        </w:tc>
      </w:tr>
    </w:tbl>
    <w:p w:rsidR="00881891" w:rsidRPr="00881891" w:rsidRDefault="00881891" w:rsidP="00881891">
      <w:pPr>
        <w:spacing w:after="0" w:line="240" w:lineRule="auto"/>
        <w:jc w:val="both"/>
        <w:rPr>
          <w:rFonts w:ascii="Adobe Garamond Pro" w:hAnsi="Adobe Garamond Pro" w:cs="Times New Roman"/>
          <w:sz w:val="20"/>
          <w:szCs w:val="20"/>
        </w:rPr>
      </w:pPr>
    </w:p>
    <w:p w:rsidR="00881891" w:rsidRPr="00881891" w:rsidRDefault="00881891" w:rsidP="00881891">
      <w:pPr>
        <w:pBdr>
          <w:bottom w:val="single" w:sz="12" w:space="1" w:color="auto"/>
        </w:pBdr>
        <w:spacing w:after="0" w:line="240" w:lineRule="auto"/>
        <w:jc w:val="both"/>
        <w:rPr>
          <w:rFonts w:ascii="Adobe Garamond Pro" w:hAnsi="Adobe Garamond Pro" w:cs="Times New Roman"/>
          <w:sz w:val="20"/>
          <w:szCs w:val="20"/>
        </w:rPr>
      </w:pPr>
    </w:p>
    <w:p w:rsidR="00881891" w:rsidRDefault="00881891" w:rsidP="00881891">
      <w:pPr>
        <w:spacing w:after="0" w:line="240" w:lineRule="auto"/>
        <w:jc w:val="both"/>
        <w:rPr>
          <w:rFonts w:ascii="Adobe Garamond Pro" w:hAnsi="Adobe Garamond Pro" w:cs="Times New Roman"/>
          <w:i/>
          <w:sz w:val="20"/>
          <w:szCs w:val="20"/>
        </w:rPr>
      </w:pPr>
      <w:r w:rsidRPr="00693D79">
        <w:rPr>
          <w:rFonts w:ascii="Adobe Garamond Pro" w:hAnsi="Adobe Garamond Pro" w:cs="Times New Roman"/>
          <w:i/>
          <w:sz w:val="20"/>
          <w:szCs w:val="20"/>
        </w:rPr>
        <w:t>Izvor: www.zpiz.si</w:t>
      </w:r>
    </w:p>
    <w:p w:rsidR="00693D79" w:rsidRPr="00693D79" w:rsidRDefault="00881891" w:rsidP="00693D79">
      <w:pPr>
        <w:spacing w:after="0" w:line="240" w:lineRule="auto"/>
        <w:jc w:val="both"/>
        <w:rPr>
          <w:rFonts w:ascii="Adobe Garamond Pro" w:hAnsi="Adobe Garamond Pro" w:cs="Times New Roman"/>
          <w:b/>
        </w:rPr>
      </w:pPr>
      <w:r w:rsidRPr="00693D79">
        <w:rPr>
          <w:rFonts w:ascii="Adobe Garamond Pro" w:hAnsi="Adobe Garamond Pro" w:cs="Times New Roman"/>
          <w:b/>
        </w:rPr>
        <w:lastRenderedPageBreak/>
        <w:t>Struktura bruto plate u Republici Francuskoj</w:t>
      </w:r>
    </w:p>
    <w:p w:rsidR="00693D79" w:rsidRDefault="00693D79" w:rsidP="00693D79">
      <w:pPr>
        <w:spacing w:after="0" w:line="240" w:lineRule="auto"/>
        <w:jc w:val="both"/>
        <w:rPr>
          <w:rFonts w:ascii="Adobe Garamond Pro" w:hAnsi="Adobe Garamond Pro" w:cs="Times New Roman"/>
          <w:b/>
          <w:sz w:val="20"/>
          <w:szCs w:val="20"/>
        </w:rPr>
      </w:pPr>
    </w:p>
    <w:p w:rsidR="00693D79" w:rsidRDefault="00881891" w:rsidP="00693D79">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Na početku ćemo odmah prikazati tabelu obračun bruto plate u Francuskoj, a zatim iz nje izvući parametre:</w:t>
      </w:r>
    </w:p>
    <w:p w:rsidR="00693D79" w:rsidRDefault="00693D79" w:rsidP="00693D79">
      <w:pPr>
        <w:spacing w:after="0" w:line="240" w:lineRule="auto"/>
        <w:jc w:val="both"/>
        <w:rPr>
          <w:rFonts w:ascii="Adobe Garamond Pro" w:hAnsi="Adobe Garamond Pro" w:cs="Times New Roman"/>
          <w:sz w:val="20"/>
          <w:szCs w:val="20"/>
        </w:rPr>
      </w:pPr>
    </w:p>
    <w:p w:rsidR="00693D79" w:rsidRPr="00693D79" w:rsidRDefault="00693D79" w:rsidP="00693D79">
      <w:pPr>
        <w:spacing w:after="0" w:line="240" w:lineRule="auto"/>
        <w:jc w:val="both"/>
        <w:rPr>
          <w:rFonts w:ascii="Adobe Garamond Pro" w:hAnsi="Adobe Garamond Pro" w:cs="Times New Roman"/>
          <w:sz w:val="20"/>
          <w:szCs w:val="20"/>
        </w:rPr>
      </w:pPr>
      <w:r w:rsidRPr="00693D79">
        <w:rPr>
          <w:rFonts w:ascii="Adobe Garamond Pro" w:hAnsi="Adobe Garamond Pro" w:cs="Times New Roman"/>
          <w:sz w:val="20"/>
          <w:szCs w:val="20"/>
        </w:rPr>
        <w:t>Tabela 7: Obračun bruto plate u Republici Francuskoj</w:t>
      </w:r>
    </w:p>
    <w:p w:rsidR="00693D79" w:rsidRPr="00693D79" w:rsidRDefault="00693D79" w:rsidP="00693D79">
      <w:pPr>
        <w:spacing w:after="0" w:line="240" w:lineRule="auto"/>
        <w:jc w:val="both"/>
        <w:rPr>
          <w:rFonts w:ascii="Adobe Garamond Pro" w:hAnsi="Adobe Garamond Pro" w:cs="Times New Roman"/>
          <w:b/>
          <w:sz w:val="20"/>
          <w:szCs w:val="20"/>
        </w:rPr>
      </w:pPr>
    </w:p>
    <w:tbl>
      <w:tblPr>
        <w:tblW w:w="5000" w:type="pct"/>
        <w:jc w:val="center"/>
        <w:tblLook w:val="04A0"/>
      </w:tblPr>
      <w:tblGrid>
        <w:gridCol w:w="1616"/>
        <w:gridCol w:w="2131"/>
        <w:gridCol w:w="1298"/>
        <w:gridCol w:w="868"/>
        <w:gridCol w:w="1532"/>
      </w:tblGrid>
      <w:tr w:rsidR="00881891" w:rsidRPr="00881891" w:rsidTr="00693D79">
        <w:trPr>
          <w:trHeight w:val="300"/>
          <w:jc w:val="center"/>
        </w:trPr>
        <w:tc>
          <w:tcPr>
            <w:tcW w:w="10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425"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866"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xml:space="preserve">osnovica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xml:space="preserve">stopa </w:t>
            </w:r>
          </w:p>
        </w:tc>
        <w:tc>
          <w:tcPr>
            <w:tcW w:w="1048"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iznos</w:t>
            </w:r>
          </w:p>
        </w:tc>
      </w:tr>
      <w:tr w:rsidR="00881891" w:rsidRPr="00881891" w:rsidTr="00693D79">
        <w:trPr>
          <w:trHeight w:val="300"/>
          <w:jc w:val="center"/>
        </w:trPr>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1.</w:t>
            </w:r>
          </w:p>
        </w:tc>
        <w:tc>
          <w:tcPr>
            <w:tcW w:w="1431"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bruto zarada</w:t>
            </w:r>
          </w:p>
        </w:tc>
        <w:tc>
          <w:tcPr>
            <w:tcW w:w="872"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5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1054"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EUR 2.000,00</w:t>
            </w:r>
          </w:p>
        </w:tc>
      </w:tr>
      <w:tr w:rsidR="00881891" w:rsidRPr="00881891" w:rsidTr="00693D79">
        <w:trPr>
          <w:trHeight w:val="551"/>
          <w:jc w:val="center"/>
        </w:trPr>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2.</w:t>
            </w:r>
          </w:p>
        </w:tc>
        <w:tc>
          <w:tcPr>
            <w:tcW w:w="1431"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porez na dohodak fizičkih lica</w:t>
            </w:r>
          </w:p>
        </w:tc>
        <w:tc>
          <w:tcPr>
            <w:tcW w:w="872"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bruto zarada</w:t>
            </w:r>
          </w:p>
        </w:tc>
        <w:tc>
          <w:tcPr>
            <w:tcW w:w="5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7,9%</w:t>
            </w:r>
          </w:p>
        </w:tc>
        <w:tc>
          <w:tcPr>
            <w:tcW w:w="1054"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157,00</w:t>
            </w:r>
          </w:p>
        </w:tc>
      </w:tr>
      <w:tr w:rsidR="00881891" w:rsidRPr="00881891" w:rsidTr="00693D79">
        <w:trPr>
          <w:trHeight w:val="600"/>
          <w:jc w:val="center"/>
        </w:trPr>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3.</w:t>
            </w:r>
          </w:p>
        </w:tc>
        <w:tc>
          <w:tcPr>
            <w:tcW w:w="1431"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doprinosi na teret zaposlenog</w:t>
            </w:r>
          </w:p>
        </w:tc>
        <w:tc>
          <w:tcPr>
            <w:tcW w:w="872"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bruto zarada</w:t>
            </w:r>
          </w:p>
        </w:tc>
        <w:tc>
          <w:tcPr>
            <w:tcW w:w="5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13,2%</w:t>
            </w:r>
          </w:p>
        </w:tc>
        <w:tc>
          <w:tcPr>
            <w:tcW w:w="1054"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264,00</w:t>
            </w:r>
          </w:p>
        </w:tc>
      </w:tr>
      <w:tr w:rsidR="00881891" w:rsidRPr="00881891" w:rsidTr="00693D79">
        <w:trPr>
          <w:trHeight w:val="300"/>
          <w:jc w:val="center"/>
        </w:trPr>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3.1.</w:t>
            </w:r>
          </w:p>
        </w:tc>
        <w:tc>
          <w:tcPr>
            <w:tcW w:w="1431"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za PIO</w:t>
            </w:r>
          </w:p>
        </w:tc>
        <w:tc>
          <w:tcPr>
            <w:tcW w:w="872"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10,05%</w:t>
            </w:r>
          </w:p>
        </w:tc>
        <w:tc>
          <w:tcPr>
            <w:tcW w:w="1054"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201,00</w:t>
            </w:r>
          </w:p>
        </w:tc>
      </w:tr>
      <w:tr w:rsidR="00881891" w:rsidRPr="00881891" w:rsidTr="00693D79">
        <w:trPr>
          <w:trHeight w:val="525"/>
          <w:jc w:val="center"/>
        </w:trPr>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3.2.</w:t>
            </w:r>
          </w:p>
        </w:tc>
        <w:tc>
          <w:tcPr>
            <w:tcW w:w="1431"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za zdravstveno osiguranje</w:t>
            </w:r>
          </w:p>
        </w:tc>
        <w:tc>
          <w:tcPr>
            <w:tcW w:w="872"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0,75%</w:t>
            </w:r>
          </w:p>
        </w:tc>
        <w:tc>
          <w:tcPr>
            <w:tcW w:w="1054"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15,00</w:t>
            </w:r>
          </w:p>
        </w:tc>
      </w:tr>
      <w:tr w:rsidR="00881891" w:rsidRPr="00881891" w:rsidTr="00693D79">
        <w:trPr>
          <w:trHeight w:val="367"/>
          <w:jc w:val="center"/>
        </w:trPr>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3.3.</w:t>
            </w:r>
          </w:p>
        </w:tc>
        <w:tc>
          <w:tcPr>
            <w:tcW w:w="1431"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xml:space="preserve">Doprinos za osiguranje </w:t>
            </w:r>
          </w:p>
        </w:tc>
        <w:tc>
          <w:tcPr>
            <w:tcW w:w="872"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2,40%</w:t>
            </w:r>
          </w:p>
        </w:tc>
        <w:tc>
          <w:tcPr>
            <w:tcW w:w="1054"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48,00</w:t>
            </w:r>
          </w:p>
        </w:tc>
      </w:tr>
      <w:tr w:rsidR="00881891" w:rsidRPr="00881891" w:rsidTr="00693D79">
        <w:trPr>
          <w:trHeight w:val="390"/>
          <w:jc w:val="center"/>
        </w:trPr>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4.</w:t>
            </w:r>
          </w:p>
        </w:tc>
        <w:tc>
          <w:tcPr>
            <w:tcW w:w="1431"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Neto zarada (1-2-3)</w:t>
            </w:r>
          </w:p>
        </w:tc>
        <w:tc>
          <w:tcPr>
            <w:tcW w:w="872"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5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1054"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1.579,00</w:t>
            </w:r>
          </w:p>
        </w:tc>
      </w:tr>
      <w:tr w:rsidR="00881891" w:rsidRPr="00881891" w:rsidTr="00693D79">
        <w:trPr>
          <w:trHeight w:val="434"/>
          <w:jc w:val="center"/>
        </w:trPr>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5.</w:t>
            </w:r>
          </w:p>
        </w:tc>
        <w:tc>
          <w:tcPr>
            <w:tcW w:w="1431"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Doprinosi na teret poslodavca</w:t>
            </w:r>
          </w:p>
        </w:tc>
        <w:tc>
          <w:tcPr>
            <w:tcW w:w="872"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557"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41,47%</w:t>
            </w:r>
          </w:p>
        </w:tc>
        <w:tc>
          <w:tcPr>
            <w:tcW w:w="1054"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829,40</w:t>
            </w:r>
          </w:p>
        </w:tc>
      </w:tr>
      <w:tr w:rsidR="00881891" w:rsidRPr="00881891" w:rsidTr="00693D79">
        <w:trPr>
          <w:trHeight w:val="435"/>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5.1.</w:t>
            </w:r>
          </w:p>
        </w:tc>
        <w:tc>
          <w:tcPr>
            <w:tcW w:w="1425"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za PIO</w:t>
            </w:r>
          </w:p>
        </w:tc>
        <w:tc>
          <w:tcPr>
            <w:tcW w:w="86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83"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14,70%</w:t>
            </w:r>
          </w:p>
        </w:tc>
        <w:tc>
          <w:tcPr>
            <w:tcW w:w="104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294,00</w:t>
            </w:r>
          </w:p>
        </w:tc>
      </w:tr>
      <w:tr w:rsidR="00881891" w:rsidRPr="00881891" w:rsidTr="00693D79">
        <w:trPr>
          <w:trHeight w:val="605"/>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5.2.</w:t>
            </w:r>
          </w:p>
        </w:tc>
        <w:tc>
          <w:tcPr>
            <w:tcW w:w="1425"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za zdravstveno osiguranje</w:t>
            </w:r>
          </w:p>
        </w:tc>
        <w:tc>
          <w:tcPr>
            <w:tcW w:w="86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83"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13,10%</w:t>
            </w:r>
          </w:p>
        </w:tc>
        <w:tc>
          <w:tcPr>
            <w:tcW w:w="104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262,00</w:t>
            </w:r>
          </w:p>
        </w:tc>
      </w:tr>
      <w:tr w:rsidR="00881891" w:rsidRPr="00881891" w:rsidTr="00693D79">
        <w:trPr>
          <w:trHeight w:val="630"/>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5.3.</w:t>
            </w:r>
          </w:p>
        </w:tc>
        <w:tc>
          <w:tcPr>
            <w:tcW w:w="1425"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xml:space="preserve">Doprinos za osiguranje </w:t>
            </w:r>
          </w:p>
        </w:tc>
        <w:tc>
          <w:tcPr>
            <w:tcW w:w="86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83"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5,50%</w:t>
            </w:r>
          </w:p>
        </w:tc>
        <w:tc>
          <w:tcPr>
            <w:tcW w:w="104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110,00</w:t>
            </w:r>
          </w:p>
        </w:tc>
      </w:tr>
      <w:tr w:rsidR="00881891" w:rsidRPr="00881891" w:rsidTr="00693D79">
        <w:trPr>
          <w:trHeight w:val="495"/>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5.4.</w:t>
            </w:r>
          </w:p>
        </w:tc>
        <w:tc>
          <w:tcPr>
            <w:tcW w:w="1425"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Fondu rada</w:t>
            </w:r>
          </w:p>
        </w:tc>
        <w:tc>
          <w:tcPr>
            <w:tcW w:w="86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83"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04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r>
      <w:tr w:rsidR="00881891" w:rsidRPr="00881891" w:rsidTr="00693D79">
        <w:trPr>
          <w:trHeight w:val="300"/>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5.5.</w:t>
            </w:r>
          </w:p>
        </w:tc>
        <w:tc>
          <w:tcPr>
            <w:tcW w:w="1425"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Sredstva sindikata</w:t>
            </w:r>
          </w:p>
        </w:tc>
        <w:tc>
          <w:tcPr>
            <w:tcW w:w="86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83"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04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r>
      <w:tr w:rsidR="00881891" w:rsidRPr="00881891" w:rsidTr="00693D79">
        <w:trPr>
          <w:trHeight w:val="300"/>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5.6.</w:t>
            </w:r>
          </w:p>
        </w:tc>
        <w:tc>
          <w:tcPr>
            <w:tcW w:w="1425"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Ostali porezi</w:t>
            </w:r>
          </w:p>
        </w:tc>
        <w:tc>
          <w:tcPr>
            <w:tcW w:w="86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83"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8,17%</w:t>
            </w:r>
          </w:p>
        </w:tc>
        <w:tc>
          <w:tcPr>
            <w:tcW w:w="104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163,40</w:t>
            </w:r>
          </w:p>
        </w:tc>
      </w:tr>
      <w:tr w:rsidR="00881891" w:rsidRPr="00881891" w:rsidTr="00693D79">
        <w:trPr>
          <w:trHeight w:val="690"/>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6.</w:t>
            </w:r>
          </w:p>
        </w:tc>
        <w:tc>
          <w:tcPr>
            <w:tcW w:w="1425"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Prirez porezu na dohodak fizičkih lica</w:t>
            </w:r>
          </w:p>
        </w:tc>
        <w:tc>
          <w:tcPr>
            <w:tcW w:w="866"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porez na dohodak</w:t>
            </w:r>
          </w:p>
        </w:tc>
        <w:tc>
          <w:tcPr>
            <w:tcW w:w="583"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104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r>
      <w:tr w:rsidR="00881891" w:rsidRPr="00881891" w:rsidTr="00693D79">
        <w:trPr>
          <w:trHeight w:val="540"/>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7.</w:t>
            </w:r>
          </w:p>
        </w:tc>
        <w:tc>
          <w:tcPr>
            <w:tcW w:w="1425"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Ukupni troškovi zarada (1+5+6)</w:t>
            </w:r>
          </w:p>
        </w:tc>
        <w:tc>
          <w:tcPr>
            <w:tcW w:w="86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583"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1048"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2.829,40</w:t>
            </w:r>
          </w:p>
        </w:tc>
      </w:tr>
    </w:tbl>
    <w:p w:rsidR="00881891" w:rsidRPr="00881891" w:rsidRDefault="00881891" w:rsidP="00881891">
      <w:pPr>
        <w:pBdr>
          <w:bottom w:val="single" w:sz="12" w:space="1" w:color="auto"/>
        </w:pBdr>
        <w:spacing w:after="0" w:line="240" w:lineRule="auto"/>
        <w:jc w:val="both"/>
        <w:rPr>
          <w:rFonts w:ascii="Adobe Garamond Pro" w:hAnsi="Adobe Garamond Pro" w:cs="Times New Roman"/>
          <w:sz w:val="20"/>
          <w:szCs w:val="20"/>
        </w:rPr>
      </w:pPr>
    </w:p>
    <w:p w:rsidR="00881891" w:rsidRPr="00693D79" w:rsidRDefault="00881891" w:rsidP="00881891">
      <w:pPr>
        <w:spacing w:after="0" w:line="240" w:lineRule="auto"/>
        <w:jc w:val="both"/>
        <w:rPr>
          <w:rFonts w:ascii="Adobe Garamond Pro" w:hAnsi="Adobe Garamond Pro" w:cs="Times New Roman"/>
          <w:i/>
          <w:sz w:val="20"/>
          <w:szCs w:val="20"/>
        </w:rPr>
      </w:pPr>
      <w:r w:rsidRPr="00693D79">
        <w:rPr>
          <w:rFonts w:ascii="Adobe Garamond Pro" w:hAnsi="Adobe Garamond Pro" w:cs="Times New Roman"/>
          <w:i/>
          <w:sz w:val="20"/>
          <w:szCs w:val="20"/>
        </w:rPr>
        <w:t>Izvor: www.franceretraite.fr</w:t>
      </w:r>
    </w:p>
    <w:p w:rsidR="00693D79" w:rsidRDefault="00693D79" w:rsidP="00881891">
      <w:pPr>
        <w:spacing w:after="0" w:line="240" w:lineRule="auto"/>
        <w:ind w:firstLine="708"/>
        <w:jc w:val="both"/>
        <w:rPr>
          <w:rFonts w:ascii="Adobe Garamond Pro" w:hAnsi="Adobe Garamond Pro" w:cs="Times New Roman"/>
          <w:sz w:val="20"/>
          <w:szCs w:val="20"/>
        </w:rPr>
      </w:pPr>
    </w:p>
    <w:p w:rsidR="00693D79" w:rsidRDefault="00693D79" w:rsidP="00881891">
      <w:pPr>
        <w:spacing w:after="0" w:line="240" w:lineRule="auto"/>
        <w:ind w:firstLine="708"/>
        <w:jc w:val="both"/>
        <w:rPr>
          <w:rFonts w:ascii="Adobe Garamond Pro" w:hAnsi="Adobe Garamond Pro" w:cs="Times New Roman"/>
          <w:sz w:val="20"/>
          <w:szCs w:val="20"/>
        </w:rPr>
      </w:pPr>
    </w:p>
    <w:p w:rsidR="00881891" w:rsidRDefault="00881891" w:rsidP="00881891">
      <w:pPr>
        <w:spacing w:after="0" w:line="240" w:lineRule="auto"/>
        <w:ind w:firstLine="708"/>
        <w:jc w:val="both"/>
        <w:rPr>
          <w:rFonts w:ascii="Adobe Garamond Pro" w:hAnsi="Adobe Garamond Pro" w:cs="Times New Roman"/>
          <w:sz w:val="20"/>
          <w:szCs w:val="20"/>
        </w:rPr>
      </w:pPr>
      <w:r w:rsidRPr="00881891">
        <w:rPr>
          <w:rFonts w:ascii="Adobe Garamond Pro" w:hAnsi="Adobe Garamond Pro" w:cs="Times New Roman"/>
          <w:sz w:val="20"/>
          <w:szCs w:val="20"/>
        </w:rPr>
        <w:t>Kao što se iz tabele vidi model obračuna poreza i doprinosa u Francuskoj je sličan kao i u državama bivše Jugoslavije. Osnovna razlika je suštinske prirode i ogleda se u tome da je relativno veće opterećenje na teret poslodvaca.</w:t>
      </w:r>
    </w:p>
    <w:p w:rsidR="00693D79" w:rsidRPr="00881891" w:rsidRDefault="00693D79" w:rsidP="00881891">
      <w:pPr>
        <w:spacing w:after="0" w:line="240" w:lineRule="auto"/>
        <w:ind w:firstLine="708"/>
        <w:jc w:val="both"/>
        <w:rPr>
          <w:rFonts w:ascii="Adobe Garamond Pro" w:hAnsi="Adobe Garamond Pro" w:cs="Times New Roman"/>
          <w:sz w:val="20"/>
          <w:szCs w:val="20"/>
        </w:rPr>
      </w:pPr>
    </w:p>
    <w:p w:rsidR="00881891" w:rsidRPr="00881891" w:rsidRDefault="00881891" w:rsidP="0088189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Kada se poredaju osnovni parametri slika je sljedeća:</w:t>
      </w:r>
    </w:p>
    <w:p w:rsidR="00881891" w:rsidRPr="00881891" w:rsidRDefault="00881891" w:rsidP="00616109">
      <w:pPr>
        <w:pStyle w:val="ListParagraph"/>
        <w:numPr>
          <w:ilvl w:val="0"/>
          <w:numId w:val="16"/>
        </w:numPr>
        <w:spacing w:after="0" w:line="240" w:lineRule="auto"/>
        <w:ind w:left="709"/>
        <w:jc w:val="both"/>
        <w:rPr>
          <w:rFonts w:ascii="Adobe Garamond Pro" w:hAnsi="Adobe Garamond Pro" w:cs="Times New Roman"/>
          <w:sz w:val="20"/>
          <w:szCs w:val="20"/>
        </w:rPr>
      </w:pPr>
      <w:r w:rsidRPr="00881891">
        <w:rPr>
          <w:rFonts w:ascii="Adobe Garamond Pro" w:hAnsi="Adobe Garamond Pro" w:cs="Times New Roman"/>
          <w:sz w:val="20"/>
          <w:szCs w:val="20"/>
        </w:rPr>
        <w:t>ukupan trošak za zaposlenika</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2.829,40 EUR,</w:t>
      </w:r>
    </w:p>
    <w:p w:rsidR="00881891" w:rsidRPr="00881891" w:rsidRDefault="00881891" w:rsidP="00616109">
      <w:pPr>
        <w:pStyle w:val="ListParagraph"/>
        <w:numPr>
          <w:ilvl w:val="0"/>
          <w:numId w:val="16"/>
        </w:numPr>
        <w:spacing w:after="0" w:line="240" w:lineRule="auto"/>
        <w:ind w:left="709"/>
        <w:jc w:val="both"/>
        <w:rPr>
          <w:rFonts w:ascii="Adobe Garamond Pro" w:hAnsi="Adobe Garamond Pro" w:cs="Times New Roman"/>
          <w:sz w:val="20"/>
          <w:szCs w:val="20"/>
        </w:rPr>
      </w:pPr>
      <w:r w:rsidRPr="00881891">
        <w:rPr>
          <w:rFonts w:ascii="Adobe Garamond Pro" w:hAnsi="Adobe Garamond Pro" w:cs="Times New Roman"/>
          <w:sz w:val="20"/>
          <w:szCs w:val="20"/>
        </w:rPr>
        <w:t>neto primanje zaposlenika</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1.579,00 EUR,</w:t>
      </w:r>
    </w:p>
    <w:p w:rsidR="00881891" w:rsidRPr="00881891" w:rsidRDefault="00881891" w:rsidP="00616109">
      <w:pPr>
        <w:pStyle w:val="ListParagraph"/>
        <w:numPr>
          <w:ilvl w:val="0"/>
          <w:numId w:val="16"/>
        </w:numPr>
        <w:spacing w:after="0" w:line="240" w:lineRule="auto"/>
        <w:ind w:left="709"/>
        <w:jc w:val="both"/>
        <w:rPr>
          <w:rFonts w:ascii="Adobe Garamond Pro" w:hAnsi="Adobe Garamond Pro" w:cs="Times New Roman"/>
          <w:sz w:val="20"/>
          <w:szCs w:val="20"/>
        </w:rPr>
      </w:pPr>
      <w:r w:rsidRPr="00881891">
        <w:rPr>
          <w:rFonts w:ascii="Adobe Garamond Pro" w:hAnsi="Adobe Garamond Pro" w:cs="Times New Roman"/>
          <w:sz w:val="20"/>
          <w:szCs w:val="20"/>
        </w:rPr>
        <w:t>porezi i doprinosi</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1.250,40 EUR,</w:t>
      </w:r>
    </w:p>
    <w:p w:rsidR="00881891" w:rsidRPr="00881891" w:rsidRDefault="00881891" w:rsidP="00616109">
      <w:pPr>
        <w:pStyle w:val="ListParagraph"/>
        <w:numPr>
          <w:ilvl w:val="0"/>
          <w:numId w:val="16"/>
        </w:numPr>
        <w:spacing w:after="0" w:line="240" w:lineRule="auto"/>
        <w:ind w:left="709"/>
        <w:jc w:val="both"/>
        <w:rPr>
          <w:rFonts w:ascii="Adobe Garamond Pro" w:hAnsi="Adobe Garamond Pro" w:cs="Times New Roman"/>
          <w:sz w:val="20"/>
          <w:szCs w:val="20"/>
        </w:rPr>
      </w:pPr>
      <w:r w:rsidRPr="00881891">
        <w:rPr>
          <w:rFonts w:ascii="Adobe Garamond Pro" w:hAnsi="Adobe Garamond Pro" w:cs="Times New Roman"/>
          <w:sz w:val="20"/>
          <w:szCs w:val="20"/>
        </w:rPr>
        <w:t>stopa opterećenosti plata porezima i doprinosima</w:t>
      </w:r>
      <w:r w:rsidRPr="00881891">
        <w:rPr>
          <w:rFonts w:ascii="Adobe Garamond Pro" w:hAnsi="Adobe Garamond Pro" w:cs="Times New Roman"/>
          <w:sz w:val="20"/>
          <w:szCs w:val="20"/>
        </w:rPr>
        <w:tab/>
        <w:t>44,19 %,</w:t>
      </w:r>
    </w:p>
    <w:p w:rsidR="00881891" w:rsidRDefault="00881891" w:rsidP="00616109">
      <w:pPr>
        <w:pStyle w:val="ListParagraph"/>
        <w:numPr>
          <w:ilvl w:val="0"/>
          <w:numId w:val="16"/>
        </w:numPr>
        <w:spacing w:after="0" w:line="240" w:lineRule="auto"/>
        <w:ind w:left="709"/>
        <w:jc w:val="both"/>
        <w:rPr>
          <w:rFonts w:ascii="Adobe Garamond Pro" w:hAnsi="Adobe Garamond Pro" w:cs="Times New Roman"/>
          <w:sz w:val="20"/>
          <w:szCs w:val="20"/>
        </w:rPr>
      </w:pPr>
      <w:r w:rsidRPr="00881891">
        <w:rPr>
          <w:rFonts w:ascii="Adobe Garamond Pro" w:hAnsi="Adobe Garamond Pro" w:cs="Times New Roman"/>
          <w:sz w:val="20"/>
          <w:szCs w:val="20"/>
        </w:rPr>
        <w:t>izdvajanje po doprinosima za PIO</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495,00 EUR, ili 17,50 %</w:t>
      </w:r>
    </w:p>
    <w:p w:rsidR="00693D79" w:rsidRPr="00693D79" w:rsidRDefault="00693D79" w:rsidP="00693D79">
      <w:pPr>
        <w:spacing w:after="0" w:line="240" w:lineRule="auto"/>
        <w:jc w:val="both"/>
        <w:rPr>
          <w:rFonts w:ascii="Adobe Garamond Pro" w:hAnsi="Adobe Garamond Pro" w:cs="Times New Roman"/>
          <w:sz w:val="20"/>
          <w:szCs w:val="20"/>
        </w:rPr>
      </w:pPr>
    </w:p>
    <w:p w:rsidR="00881891" w:rsidRPr="00693D79" w:rsidRDefault="00881891" w:rsidP="00881891">
      <w:pPr>
        <w:spacing w:after="0" w:line="240" w:lineRule="auto"/>
        <w:jc w:val="both"/>
        <w:rPr>
          <w:rFonts w:ascii="Adobe Garamond Pro" w:hAnsi="Adobe Garamond Pro" w:cs="Times New Roman"/>
          <w:b/>
        </w:rPr>
      </w:pPr>
      <w:r w:rsidRPr="00693D79">
        <w:rPr>
          <w:rFonts w:ascii="Adobe Garamond Pro" w:hAnsi="Adobe Garamond Pro" w:cs="Times New Roman"/>
          <w:b/>
        </w:rPr>
        <w:t>Struktura bruto plate u Saveznoj Republici Njemačkoj</w:t>
      </w:r>
    </w:p>
    <w:p w:rsidR="00693D79" w:rsidRPr="00881891" w:rsidRDefault="00693D79" w:rsidP="00881891">
      <w:pPr>
        <w:spacing w:after="0" w:line="240" w:lineRule="auto"/>
        <w:jc w:val="both"/>
        <w:rPr>
          <w:rFonts w:ascii="Adobe Garamond Pro" w:hAnsi="Adobe Garamond Pro" w:cs="Times New Roman"/>
          <w:sz w:val="20"/>
          <w:szCs w:val="20"/>
        </w:rPr>
      </w:pPr>
    </w:p>
    <w:p w:rsidR="00881891" w:rsidRPr="00881891" w:rsidRDefault="00881891" w:rsidP="0088189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Tabela 8: Obračun bruto plate u SR Njemačkoj</w:t>
      </w:r>
    </w:p>
    <w:tbl>
      <w:tblPr>
        <w:tblW w:w="5000" w:type="pct"/>
        <w:tblLook w:val="04A0"/>
      </w:tblPr>
      <w:tblGrid>
        <w:gridCol w:w="797"/>
        <w:gridCol w:w="2017"/>
        <w:gridCol w:w="1678"/>
        <w:gridCol w:w="868"/>
        <w:gridCol w:w="2085"/>
      </w:tblGrid>
      <w:tr w:rsidR="00881891" w:rsidRPr="00881891" w:rsidTr="00693D79">
        <w:trPr>
          <w:trHeight w:val="300"/>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363"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136"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xml:space="preserve">osnovica </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xml:space="preserve">stopa </w:t>
            </w:r>
          </w:p>
        </w:tc>
        <w:tc>
          <w:tcPr>
            <w:tcW w:w="1409" w:type="pct"/>
            <w:tcBorders>
              <w:top w:val="single" w:sz="4" w:space="0" w:color="auto"/>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iznos</w:t>
            </w:r>
          </w:p>
        </w:tc>
      </w:tr>
      <w:tr w:rsidR="00881891" w:rsidRPr="00881891" w:rsidTr="00693D79">
        <w:trPr>
          <w:trHeight w:val="30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1.</w:t>
            </w:r>
          </w:p>
        </w:tc>
        <w:tc>
          <w:tcPr>
            <w:tcW w:w="1363"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bruto zarada</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EUR 2.000,00</w:t>
            </w:r>
          </w:p>
        </w:tc>
      </w:tr>
      <w:tr w:rsidR="00881891" w:rsidRPr="00881891" w:rsidTr="00693D79">
        <w:trPr>
          <w:trHeight w:val="855"/>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2.</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porez na dohodak fizičkih lica</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bruto zarada</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11,1%</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222,00</w:t>
            </w:r>
          </w:p>
        </w:tc>
      </w:tr>
      <w:tr w:rsidR="00881891" w:rsidRPr="00881891" w:rsidTr="00693D79">
        <w:trPr>
          <w:trHeight w:val="60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3.</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doprinosi na teret zaposlenog</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bruto zarada</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19,3%</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385,50</w:t>
            </w:r>
          </w:p>
        </w:tc>
      </w:tr>
      <w:tr w:rsidR="00881891" w:rsidRPr="00881891" w:rsidTr="00693D79">
        <w:trPr>
          <w:trHeight w:val="30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3.1.</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za PIO</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9,45%</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189,00</w:t>
            </w:r>
          </w:p>
        </w:tc>
      </w:tr>
      <w:tr w:rsidR="00881891" w:rsidRPr="00881891" w:rsidTr="00693D79">
        <w:trPr>
          <w:trHeight w:val="525"/>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3.2.</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za zdravstveno osiguranje</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7,30%</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146,00</w:t>
            </w:r>
          </w:p>
        </w:tc>
      </w:tr>
      <w:tr w:rsidR="00881891" w:rsidRPr="00881891" w:rsidTr="00693D79">
        <w:trPr>
          <w:trHeight w:val="525"/>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3.3.</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xml:space="preserve">Doprinos za osiguranje </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2,53%</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50,50</w:t>
            </w:r>
          </w:p>
        </w:tc>
      </w:tr>
      <w:tr w:rsidR="00881891" w:rsidRPr="00881891" w:rsidTr="00693D79">
        <w:trPr>
          <w:trHeight w:val="39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4.</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Neto zarada (1-2-3)</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1.392,50</w:t>
            </w:r>
          </w:p>
        </w:tc>
      </w:tr>
      <w:tr w:rsidR="00881891" w:rsidRPr="00881891" w:rsidTr="00693D79">
        <w:trPr>
          <w:trHeight w:val="30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r>
      <w:tr w:rsidR="00881891" w:rsidRPr="00881891" w:rsidTr="00693D79">
        <w:trPr>
          <w:trHeight w:val="735"/>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5.</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Doprinosi na teret poslodavca</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19,28%</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385,60</w:t>
            </w:r>
          </w:p>
        </w:tc>
      </w:tr>
      <w:tr w:rsidR="00881891" w:rsidRPr="00881891" w:rsidTr="00693D79">
        <w:trPr>
          <w:trHeight w:val="435"/>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5.1.</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za PIO</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9,45%</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189,00</w:t>
            </w:r>
          </w:p>
        </w:tc>
      </w:tr>
      <w:tr w:rsidR="00881891" w:rsidRPr="00881891" w:rsidTr="00693D79">
        <w:trPr>
          <w:trHeight w:val="75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5.2.</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za zdravstveno osiguranje</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7,30%</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146,00</w:t>
            </w:r>
          </w:p>
        </w:tc>
      </w:tr>
      <w:tr w:rsidR="00881891" w:rsidRPr="00881891" w:rsidTr="00693D79">
        <w:trPr>
          <w:trHeight w:val="63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5.3.</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xml:space="preserve">Doprinos za osiguranje </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2,53%</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50,60</w:t>
            </w:r>
          </w:p>
        </w:tc>
      </w:tr>
      <w:tr w:rsidR="00881891" w:rsidRPr="00881891" w:rsidTr="00693D79">
        <w:trPr>
          <w:trHeight w:val="495"/>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lastRenderedPageBreak/>
              <w:t>5.4.</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Doprinos Fondu rada</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r>
      <w:tr w:rsidR="00881891" w:rsidRPr="00881891" w:rsidTr="00693D79">
        <w:trPr>
          <w:trHeight w:val="30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5.5.</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Sredstva sindikata</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r>
      <w:tr w:rsidR="00881891" w:rsidRPr="00881891" w:rsidTr="00693D79">
        <w:trPr>
          <w:trHeight w:val="30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5.6.</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Ostali porezi</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bruto zarada</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color w:val="000000"/>
                <w:sz w:val="20"/>
                <w:szCs w:val="20"/>
                <w:lang w:eastAsia="bs-Latn-BA"/>
              </w:rPr>
            </w:pPr>
            <w:r w:rsidRPr="00881891">
              <w:rPr>
                <w:rFonts w:ascii="Adobe Garamond Pro" w:eastAsia="Times New Roman" w:hAnsi="Adobe Garamond Pro" w:cs="Times New Roman"/>
                <w:color w:val="000000"/>
                <w:sz w:val="20"/>
                <w:szCs w:val="20"/>
                <w:lang w:eastAsia="bs-Latn-BA"/>
              </w:rPr>
              <w:t> </w:t>
            </w:r>
          </w:p>
        </w:tc>
      </w:tr>
      <w:tr w:rsidR="00881891" w:rsidRPr="00881891" w:rsidTr="00693D79">
        <w:trPr>
          <w:trHeight w:val="69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6.</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Prirez porezu na dohodak fizičkih lica</w:t>
            </w:r>
          </w:p>
        </w:tc>
        <w:tc>
          <w:tcPr>
            <w:tcW w:w="1136"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porez na dohodak</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r>
      <w:tr w:rsidR="00881891" w:rsidRPr="00881891" w:rsidTr="00693D79">
        <w:trPr>
          <w:trHeight w:val="54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7.</w:t>
            </w:r>
          </w:p>
        </w:tc>
        <w:tc>
          <w:tcPr>
            <w:tcW w:w="1363" w:type="pct"/>
            <w:tcBorders>
              <w:top w:val="nil"/>
              <w:left w:val="nil"/>
              <w:bottom w:val="single" w:sz="4" w:space="0" w:color="auto"/>
              <w:right w:val="single" w:sz="4" w:space="0" w:color="auto"/>
            </w:tcBorders>
            <w:shd w:val="clear" w:color="auto" w:fill="auto"/>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Ukupni troškovi zarada (1+5+6)</w:t>
            </w:r>
          </w:p>
        </w:tc>
        <w:tc>
          <w:tcPr>
            <w:tcW w:w="1136"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545"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 </w:t>
            </w:r>
          </w:p>
        </w:tc>
        <w:tc>
          <w:tcPr>
            <w:tcW w:w="1409" w:type="pct"/>
            <w:tcBorders>
              <w:top w:val="nil"/>
              <w:left w:val="nil"/>
              <w:bottom w:val="single" w:sz="4" w:space="0" w:color="auto"/>
              <w:right w:val="single" w:sz="4" w:space="0" w:color="auto"/>
            </w:tcBorders>
            <w:shd w:val="clear" w:color="auto" w:fill="auto"/>
            <w:noWrap/>
            <w:vAlign w:val="bottom"/>
            <w:hideMark/>
          </w:tcPr>
          <w:p w:rsidR="00881891" w:rsidRPr="00881891" w:rsidRDefault="00881891" w:rsidP="00881891">
            <w:pPr>
              <w:spacing w:after="0" w:line="240" w:lineRule="auto"/>
              <w:jc w:val="right"/>
              <w:rPr>
                <w:rFonts w:ascii="Adobe Garamond Pro" w:eastAsia="Times New Roman" w:hAnsi="Adobe Garamond Pro" w:cs="Times New Roman"/>
                <w:b/>
                <w:bCs/>
                <w:color w:val="000000"/>
                <w:sz w:val="20"/>
                <w:szCs w:val="20"/>
                <w:lang w:eastAsia="bs-Latn-BA"/>
              </w:rPr>
            </w:pPr>
            <w:r w:rsidRPr="00881891">
              <w:rPr>
                <w:rFonts w:ascii="Adobe Garamond Pro" w:eastAsia="Times New Roman" w:hAnsi="Adobe Garamond Pro" w:cs="Times New Roman"/>
                <w:b/>
                <w:bCs/>
                <w:color w:val="000000"/>
                <w:sz w:val="20"/>
                <w:szCs w:val="20"/>
                <w:lang w:eastAsia="bs-Latn-BA"/>
              </w:rPr>
              <w:t>2.385,60</w:t>
            </w:r>
          </w:p>
        </w:tc>
      </w:tr>
    </w:tbl>
    <w:p w:rsidR="00881891" w:rsidRPr="00881891" w:rsidRDefault="00881891" w:rsidP="00881891">
      <w:pPr>
        <w:pBdr>
          <w:bottom w:val="single" w:sz="12" w:space="1" w:color="auto"/>
        </w:pBdr>
        <w:spacing w:after="0" w:line="240" w:lineRule="auto"/>
        <w:jc w:val="both"/>
        <w:rPr>
          <w:rFonts w:ascii="Adobe Garamond Pro" w:hAnsi="Adobe Garamond Pro" w:cs="Times New Roman"/>
          <w:sz w:val="20"/>
          <w:szCs w:val="20"/>
        </w:rPr>
      </w:pPr>
    </w:p>
    <w:p w:rsidR="00881891" w:rsidRPr="00693D79" w:rsidRDefault="00881891" w:rsidP="00881891">
      <w:pPr>
        <w:spacing w:after="0" w:line="240" w:lineRule="auto"/>
        <w:jc w:val="both"/>
        <w:rPr>
          <w:rFonts w:ascii="Adobe Garamond Pro" w:hAnsi="Adobe Garamond Pro" w:cs="Times New Roman"/>
          <w:i/>
          <w:sz w:val="20"/>
          <w:szCs w:val="20"/>
        </w:rPr>
      </w:pPr>
      <w:r w:rsidRPr="00693D79">
        <w:rPr>
          <w:rFonts w:ascii="Adobe Garamond Pro" w:hAnsi="Adobe Garamond Pro" w:cs="Times New Roman"/>
          <w:i/>
          <w:sz w:val="20"/>
          <w:szCs w:val="20"/>
        </w:rPr>
        <w:t>Izvor: www.deutsche-renetnversicherung.de</w:t>
      </w:r>
    </w:p>
    <w:p w:rsidR="00881891" w:rsidRPr="00881891" w:rsidRDefault="00881891" w:rsidP="0088189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 xml:space="preserve">             </w:t>
      </w:r>
    </w:p>
    <w:p w:rsidR="00881891" w:rsidRPr="00881891" w:rsidRDefault="00881891" w:rsidP="00881891">
      <w:pPr>
        <w:spacing w:after="0" w:line="240" w:lineRule="auto"/>
        <w:jc w:val="both"/>
        <w:rPr>
          <w:rFonts w:ascii="Adobe Garamond Pro" w:hAnsi="Adobe Garamond Pro" w:cs="Times New Roman"/>
          <w:sz w:val="20"/>
          <w:szCs w:val="20"/>
        </w:rPr>
      </w:pPr>
      <w:r w:rsidRPr="00881891">
        <w:rPr>
          <w:rFonts w:ascii="Adobe Garamond Pro" w:hAnsi="Adobe Garamond Pro" w:cs="Times New Roman"/>
          <w:sz w:val="20"/>
          <w:szCs w:val="20"/>
        </w:rPr>
        <w:t>Obradom podataka iz prethodne tabele vidi se da su osnovni parametri opterećenja plata porezima i doprinosima u SR Njemačkoj kako slijedi:</w:t>
      </w:r>
    </w:p>
    <w:p w:rsidR="00881891" w:rsidRPr="00881891" w:rsidRDefault="00881891" w:rsidP="00616109">
      <w:pPr>
        <w:pStyle w:val="ListParagraph"/>
        <w:numPr>
          <w:ilvl w:val="0"/>
          <w:numId w:val="17"/>
        </w:numPr>
        <w:spacing w:after="0" w:line="240" w:lineRule="auto"/>
        <w:ind w:left="709"/>
        <w:jc w:val="both"/>
        <w:rPr>
          <w:rFonts w:ascii="Adobe Garamond Pro" w:hAnsi="Adobe Garamond Pro" w:cs="Times New Roman"/>
          <w:sz w:val="20"/>
          <w:szCs w:val="20"/>
        </w:rPr>
      </w:pPr>
      <w:r w:rsidRPr="00881891">
        <w:rPr>
          <w:rFonts w:ascii="Adobe Garamond Pro" w:hAnsi="Adobe Garamond Pro" w:cs="Times New Roman"/>
          <w:sz w:val="20"/>
          <w:szCs w:val="20"/>
        </w:rPr>
        <w:t>Ukupan trošak zaposlenika</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2.385,60 EUR,</w:t>
      </w:r>
    </w:p>
    <w:p w:rsidR="00881891" w:rsidRPr="00881891" w:rsidRDefault="00881891" w:rsidP="00616109">
      <w:pPr>
        <w:pStyle w:val="ListParagraph"/>
        <w:numPr>
          <w:ilvl w:val="0"/>
          <w:numId w:val="17"/>
        </w:numPr>
        <w:spacing w:after="0" w:line="240" w:lineRule="auto"/>
        <w:ind w:left="709"/>
        <w:jc w:val="both"/>
        <w:rPr>
          <w:rFonts w:ascii="Adobe Garamond Pro" w:hAnsi="Adobe Garamond Pro" w:cs="Times New Roman"/>
          <w:sz w:val="20"/>
          <w:szCs w:val="20"/>
        </w:rPr>
      </w:pPr>
      <w:r w:rsidRPr="00881891">
        <w:rPr>
          <w:rFonts w:ascii="Adobe Garamond Pro" w:hAnsi="Adobe Garamond Pro" w:cs="Times New Roman"/>
          <w:sz w:val="20"/>
          <w:szCs w:val="20"/>
        </w:rPr>
        <w:t>Neto primanje zaposlenika</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1.392,50 EUR,</w:t>
      </w:r>
    </w:p>
    <w:p w:rsidR="00881891" w:rsidRPr="00881891" w:rsidRDefault="00881891" w:rsidP="00616109">
      <w:pPr>
        <w:pStyle w:val="ListParagraph"/>
        <w:numPr>
          <w:ilvl w:val="0"/>
          <w:numId w:val="17"/>
        </w:numPr>
        <w:spacing w:after="0" w:line="240" w:lineRule="auto"/>
        <w:ind w:left="709"/>
        <w:jc w:val="both"/>
        <w:rPr>
          <w:rFonts w:ascii="Adobe Garamond Pro" w:hAnsi="Adobe Garamond Pro" w:cs="Times New Roman"/>
          <w:sz w:val="20"/>
          <w:szCs w:val="20"/>
        </w:rPr>
      </w:pPr>
      <w:r w:rsidRPr="00881891">
        <w:rPr>
          <w:rFonts w:ascii="Adobe Garamond Pro" w:hAnsi="Adobe Garamond Pro" w:cs="Times New Roman"/>
          <w:sz w:val="20"/>
          <w:szCs w:val="20"/>
        </w:rPr>
        <w:t>Ukupni porezi i doprinosi</w:t>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r>
      <w:r w:rsidRPr="00881891">
        <w:rPr>
          <w:rFonts w:ascii="Adobe Garamond Pro" w:hAnsi="Adobe Garamond Pro" w:cs="Times New Roman"/>
          <w:sz w:val="20"/>
          <w:szCs w:val="20"/>
        </w:rPr>
        <w:tab/>
        <w:t>993,10 EUR,</w:t>
      </w:r>
    </w:p>
    <w:p w:rsidR="00881891" w:rsidRPr="00881891" w:rsidRDefault="00881891" w:rsidP="00616109">
      <w:pPr>
        <w:pStyle w:val="ListParagraph"/>
        <w:numPr>
          <w:ilvl w:val="0"/>
          <w:numId w:val="17"/>
        </w:numPr>
        <w:spacing w:after="0" w:line="240" w:lineRule="auto"/>
        <w:ind w:left="709"/>
        <w:jc w:val="both"/>
        <w:rPr>
          <w:rFonts w:ascii="Adobe Garamond Pro" w:hAnsi="Adobe Garamond Pro" w:cs="Times New Roman"/>
          <w:sz w:val="20"/>
          <w:szCs w:val="20"/>
        </w:rPr>
      </w:pPr>
      <w:r w:rsidRPr="00881891">
        <w:rPr>
          <w:rFonts w:ascii="Adobe Garamond Pro" w:hAnsi="Adobe Garamond Pro" w:cs="Times New Roman"/>
          <w:sz w:val="20"/>
          <w:szCs w:val="20"/>
        </w:rPr>
        <w:t>Stopa opterećenosti plata porezima i doprinosima</w:t>
      </w:r>
      <w:r w:rsidRPr="00881891">
        <w:rPr>
          <w:rFonts w:ascii="Adobe Garamond Pro" w:hAnsi="Adobe Garamond Pro" w:cs="Times New Roman"/>
          <w:sz w:val="20"/>
          <w:szCs w:val="20"/>
        </w:rPr>
        <w:tab/>
        <w:t xml:space="preserve">     41,62 %</w:t>
      </w:r>
    </w:p>
    <w:p w:rsidR="00881891" w:rsidRDefault="00881891" w:rsidP="00616109">
      <w:pPr>
        <w:pStyle w:val="ListParagraph"/>
        <w:numPr>
          <w:ilvl w:val="0"/>
          <w:numId w:val="17"/>
        </w:numPr>
        <w:spacing w:after="0" w:line="240" w:lineRule="auto"/>
        <w:ind w:left="709"/>
        <w:jc w:val="both"/>
        <w:rPr>
          <w:rFonts w:ascii="Adobe Garamond Pro" w:hAnsi="Adobe Garamond Pro" w:cs="Times New Roman"/>
          <w:sz w:val="20"/>
          <w:szCs w:val="20"/>
        </w:rPr>
      </w:pPr>
      <w:r w:rsidRPr="00881891">
        <w:rPr>
          <w:rFonts w:ascii="Adobe Garamond Pro" w:hAnsi="Adobe Garamond Pro" w:cs="Times New Roman"/>
          <w:sz w:val="20"/>
          <w:szCs w:val="20"/>
        </w:rPr>
        <w:t>Izdvajanje po osnovu doprinosa za PIO</w:t>
      </w:r>
      <w:r w:rsidRPr="00881891">
        <w:rPr>
          <w:rFonts w:ascii="Adobe Garamond Pro" w:hAnsi="Adobe Garamond Pro" w:cs="Times New Roman"/>
          <w:sz w:val="20"/>
          <w:szCs w:val="20"/>
        </w:rPr>
        <w:tab/>
        <w:t>378,00 EUR, ili 15,84%</w:t>
      </w:r>
    </w:p>
    <w:p w:rsidR="00693D79" w:rsidRPr="00881891" w:rsidRDefault="00693D79" w:rsidP="00693D79">
      <w:pPr>
        <w:pStyle w:val="ListParagraph"/>
        <w:spacing w:after="0" w:line="240" w:lineRule="auto"/>
        <w:ind w:left="0"/>
        <w:jc w:val="both"/>
        <w:rPr>
          <w:rFonts w:ascii="Adobe Garamond Pro" w:hAnsi="Adobe Garamond Pro" w:cs="Times New Roman"/>
          <w:sz w:val="20"/>
          <w:szCs w:val="20"/>
        </w:rPr>
      </w:pPr>
    </w:p>
    <w:p w:rsidR="00881891" w:rsidRDefault="00693D79" w:rsidP="00881891">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881891" w:rsidRPr="00881891">
        <w:rPr>
          <w:rFonts w:ascii="Adobe Garamond Pro" w:hAnsi="Adobe Garamond Pro" w:cs="Times New Roman"/>
          <w:sz w:val="20"/>
          <w:szCs w:val="20"/>
        </w:rPr>
        <w:t>Kod S.R.Njemačke postoji specifičan porez na plate koji ima preciznu namjenu: za obnovu Istočne Njemačke i koji je sadržan u ukupnoj stopi opterećenja 41,62%.</w:t>
      </w:r>
    </w:p>
    <w:p w:rsidR="00693D79" w:rsidRPr="00881891" w:rsidRDefault="00693D79" w:rsidP="00881891">
      <w:pPr>
        <w:spacing w:after="0" w:line="240" w:lineRule="auto"/>
        <w:jc w:val="both"/>
        <w:rPr>
          <w:rFonts w:ascii="Adobe Garamond Pro" w:hAnsi="Adobe Garamond Pro" w:cs="Times New Roman"/>
          <w:sz w:val="20"/>
          <w:szCs w:val="20"/>
        </w:rPr>
      </w:pPr>
    </w:p>
    <w:p w:rsidR="00881891" w:rsidRPr="00881891" w:rsidRDefault="00881891" w:rsidP="00881891">
      <w:pPr>
        <w:spacing w:after="0" w:line="240" w:lineRule="auto"/>
        <w:ind w:firstLine="648"/>
        <w:jc w:val="both"/>
        <w:rPr>
          <w:rFonts w:ascii="Adobe Garamond Pro" w:hAnsi="Adobe Garamond Pro" w:cs="Times New Roman"/>
          <w:sz w:val="20"/>
          <w:szCs w:val="20"/>
        </w:rPr>
      </w:pPr>
      <w:r w:rsidRPr="00881891">
        <w:rPr>
          <w:rFonts w:ascii="Adobe Garamond Pro" w:hAnsi="Adobe Garamond Pro" w:cs="Times New Roman"/>
          <w:sz w:val="20"/>
          <w:szCs w:val="20"/>
        </w:rPr>
        <w:t>Relativno niska stopa doprinosa za PIO u SR Njemačkoj se, osim ekonomske razvijenosti, koja se ogleda i u povoljnijem odnosu broja zaposlenih i broja penzionera, može objasniti i značajnijim učešćem sufinansiranja penzija iz budžeta, tj. iz poreznih prihoda, nego što je to situacija u Bosni i Hercegovini. U sljedećoj tabeli je prikazano, u apsolutnim i relativnim brojkama, sufinansiranje penzija iz budžeta u SR Njemačkoj:</w:t>
      </w:r>
    </w:p>
    <w:p w:rsidR="00881891" w:rsidRPr="00881891" w:rsidRDefault="00881891" w:rsidP="00881891">
      <w:pPr>
        <w:spacing w:after="0" w:line="240" w:lineRule="auto"/>
        <w:jc w:val="both"/>
        <w:rPr>
          <w:rFonts w:ascii="Adobe Garamond Pro" w:hAnsi="Adobe Garamond Pro" w:cs="Times New Roman"/>
          <w:sz w:val="20"/>
          <w:szCs w:val="20"/>
        </w:rPr>
      </w:pPr>
    </w:p>
    <w:p w:rsidR="00881891" w:rsidRPr="00693D79" w:rsidRDefault="00881891" w:rsidP="00881891">
      <w:pPr>
        <w:spacing w:after="0" w:line="240" w:lineRule="auto"/>
        <w:jc w:val="both"/>
        <w:rPr>
          <w:rFonts w:ascii="Adobe Garamond Pro" w:hAnsi="Adobe Garamond Pro" w:cs="Times New Roman"/>
          <w:sz w:val="20"/>
          <w:szCs w:val="20"/>
        </w:rPr>
      </w:pPr>
      <w:r w:rsidRPr="00693D79">
        <w:rPr>
          <w:rFonts w:ascii="Adobe Garamond Pro" w:hAnsi="Adobe Garamond Pro" w:cs="Times New Roman"/>
          <w:sz w:val="20"/>
          <w:szCs w:val="20"/>
        </w:rPr>
        <w:t>Tabela 9: Finansiranje penzija iz budžeta 2012.god Njemačka, u milijardama eura</w:t>
      </w:r>
    </w:p>
    <w:tbl>
      <w:tblPr>
        <w:tblW w:w="5000" w:type="pct"/>
        <w:jc w:val="center"/>
        <w:tblCellMar>
          <w:left w:w="0" w:type="dxa"/>
          <w:right w:w="0" w:type="dxa"/>
        </w:tblCellMar>
        <w:tblLook w:val="04A0"/>
      </w:tblPr>
      <w:tblGrid>
        <w:gridCol w:w="5377"/>
        <w:gridCol w:w="2068"/>
      </w:tblGrid>
      <w:tr w:rsidR="00881891" w:rsidRPr="00881891" w:rsidTr="00693D79">
        <w:trPr>
          <w:trHeight w:val="308"/>
          <w:jc w:val="center"/>
        </w:trPr>
        <w:tc>
          <w:tcPr>
            <w:tcW w:w="3611" w:type="pct"/>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b/>
                <w:color w:val="000000"/>
                <w:sz w:val="20"/>
                <w:szCs w:val="20"/>
                <w:lang w:eastAsia="bs-Latn-BA"/>
              </w:rPr>
            </w:pPr>
          </w:p>
        </w:tc>
        <w:tc>
          <w:tcPr>
            <w:tcW w:w="1389" w:type="pct"/>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eastAsiaTheme="minorEastAsia" w:hAnsi="Adobe Garamond Pro" w:cs="Times New Roman"/>
                <w:b/>
                <w:sz w:val="20"/>
                <w:szCs w:val="20"/>
                <w:lang w:eastAsia="bs-Latn-BA"/>
              </w:rPr>
            </w:pPr>
          </w:p>
        </w:tc>
      </w:tr>
      <w:tr w:rsidR="00881891" w:rsidRPr="00881891" w:rsidTr="00693D79">
        <w:trPr>
          <w:trHeight w:val="308"/>
          <w:jc w:val="center"/>
        </w:trPr>
        <w:tc>
          <w:tcPr>
            <w:tcW w:w="3611"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color w:val="000000"/>
                <w:sz w:val="20"/>
                <w:szCs w:val="20"/>
                <w:lang w:eastAsia="bs-Latn-BA"/>
              </w:rPr>
            </w:pPr>
            <w:r w:rsidRPr="00881891">
              <w:rPr>
                <w:rFonts w:ascii="Adobe Garamond Pro" w:hAnsi="Adobe Garamond Pro" w:cs="Times New Roman"/>
                <w:color w:val="000000"/>
                <w:sz w:val="20"/>
                <w:szCs w:val="20"/>
                <w:lang w:eastAsia="bs-Latn-BA"/>
              </w:rPr>
              <w:t>iz budzeta za penz.</w:t>
            </w:r>
          </w:p>
        </w:tc>
        <w:tc>
          <w:tcPr>
            <w:tcW w:w="138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color w:val="000000"/>
                <w:sz w:val="20"/>
                <w:szCs w:val="20"/>
                <w:lang w:eastAsia="bs-Latn-BA"/>
              </w:rPr>
            </w:pPr>
            <w:r w:rsidRPr="00881891">
              <w:rPr>
                <w:rFonts w:ascii="Adobe Garamond Pro" w:hAnsi="Adobe Garamond Pro" w:cs="Times New Roman"/>
                <w:color w:val="000000"/>
                <w:sz w:val="20"/>
                <w:szCs w:val="20"/>
                <w:lang w:eastAsia="bs-Latn-BA"/>
              </w:rPr>
              <w:t>81,2</w:t>
            </w:r>
          </w:p>
        </w:tc>
      </w:tr>
      <w:tr w:rsidR="00881891" w:rsidRPr="00881891" w:rsidTr="00693D79">
        <w:trPr>
          <w:trHeight w:val="308"/>
          <w:jc w:val="center"/>
        </w:trPr>
        <w:tc>
          <w:tcPr>
            <w:tcW w:w="361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color w:val="000000"/>
                <w:sz w:val="20"/>
                <w:szCs w:val="20"/>
                <w:lang w:eastAsia="bs-Latn-BA"/>
              </w:rPr>
            </w:pPr>
            <w:r w:rsidRPr="00881891">
              <w:rPr>
                <w:rFonts w:ascii="Adobe Garamond Pro" w:hAnsi="Adobe Garamond Pro" w:cs="Times New Roman"/>
                <w:color w:val="000000"/>
                <w:sz w:val="20"/>
                <w:szCs w:val="20"/>
                <w:lang w:eastAsia="bs-Latn-BA"/>
              </w:rPr>
              <w:t>ukupno za penzije</w:t>
            </w:r>
          </w:p>
        </w:tc>
        <w:tc>
          <w:tcPr>
            <w:tcW w:w="1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color w:val="000000"/>
                <w:sz w:val="20"/>
                <w:szCs w:val="20"/>
                <w:lang w:eastAsia="bs-Latn-BA"/>
              </w:rPr>
            </w:pPr>
            <w:r w:rsidRPr="00881891">
              <w:rPr>
                <w:rFonts w:ascii="Adobe Garamond Pro" w:hAnsi="Adobe Garamond Pro" w:cs="Times New Roman"/>
                <w:color w:val="000000"/>
                <w:sz w:val="20"/>
                <w:szCs w:val="20"/>
                <w:lang w:eastAsia="bs-Latn-BA"/>
              </w:rPr>
              <w:t>229,23</w:t>
            </w:r>
          </w:p>
        </w:tc>
      </w:tr>
      <w:tr w:rsidR="00881891" w:rsidRPr="00881891" w:rsidTr="00693D79">
        <w:trPr>
          <w:trHeight w:val="308"/>
          <w:jc w:val="center"/>
        </w:trPr>
        <w:tc>
          <w:tcPr>
            <w:tcW w:w="361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color w:val="000000"/>
                <w:sz w:val="20"/>
                <w:szCs w:val="20"/>
                <w:lang w:eastAsia="bs-Latn-BA"/>
              </w:rPr>
            </w:pPr>
            <w:r w:rsidRPr="00881891">
              <w:rPr>
                <w:rFonts w:ascii="Adobe Garamond Pro" w:hAnsi="Adobe Garamond Pro" w:cs="Times New Roman"/>
                <w:color w:val="000000"/>
                <w:sz w:val="20"/>
                <w:szCs w:val="20"/>
                <w:lang w:eastAsia="bs-Latn-BA"/>
              </w:rPr>
              <w:t>budzet</w:t>
            </w:r>
          </w:p>
        </w:tc>
        <w:tc>
          <w:tcPr>
            <w:tcW w:w="1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color w:val="000000"/>
                <w:sz w:val="20"/>
                <w:szCs w:val="20"/>
                <w:lang w:eastAsia="bs-Latn-BA"/>
              </w:rPr>
            </w:pPr>
            <w:r w:rsidRPr="00881891">
              <w:rPr>
                <w:rFonts w:ascii="Adobe Garamond Pro" w:hAnsi="Adobe Garamond Pro" w:cs="Times New Roman"/>
                <w:color w:val="000000"/>
                <w:sz w:val="20"/>
                <w:szCs w:val="20"/>
                <w:lang w:eastAsia="bs-Latn-BA"/>
              </w:rPr>
              <w:t>305,8</w:t>
            </w:r>
          </w:p>
        </w:tc>
      </w:tr>
      <w:tr w:rsidR="00881891" w:rsidRPr="00881891" w:rsidTr="00693D79">
        <w:trPr>
          <w:trHeight w:val="308"/>
          <w:jc w:val="center"/>
        </w:trPr>
        <w:tc>
          <w:tcPr>
            <w:tcW w:w="361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color w:val="000000"/>
                <w:sz w:val="20"/>
                <w:szCs w:val="20"/>
                <w:lang w:eastAsia="bs-Latn-BA"/>
              </w:rPr>
            </w:pPr>
            <w:r w:rsidRPr="00881891">
              <w:rPr>
                <w:rFonts w:ascii="Adobe Garamond Pro" w:hAnsi="Adobe Garamond Pro" w:cs="Times New Roman"/>
                <w:color w:val="000000"/>
                <w:sz w:val="20"/>
                <w:szCs w:val="20"/>
                <w:lang w:eastAsia="bs-Latn-BA"/>
              </w:rPr>
              <w:t>budzet za penz./uk.penz</w:t>
            </w:r>
          </w:p>
        </w:tc>
        <w:tc>
          <w:tcPr>
            <w:tcW w:w="1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color w:val="000000"/>
                <w:sz w:val="20"/>
                <w:szCs w:val="20"/>
                <w:lang w:eastAsia="bs-Latn-BA"/>
              </w:rPr>
            </w:pPr>
            <w:r w:rsidRPr="00881891">
              <w:rPr>
                <w:rFonts w:ascii="Adobe Garamond Pro" w:hAnsi="Adobe Garamond Pro" w:cs="Times New Roman"/>
                <w:color w:val="000000"/>
                <w:sz w:val="20"/>
                <w:szCs w:val="20"/>
                <w:lang w:eastAsia="bs-Latn-BA"/>
              </w:rPr>
              <w:t>35,42%</w:t>
            </w:r>
          </w:p>
        </w:tc>
      </w:tr>
      <w:tr w:rsidR="00881891" w:rsidRPr="00881891" w:rsidTr="00693D79">
        <w:trPr>
          <w:trHeight w:val="308"/>
          <w:jc w:val="center"/>
        </w:trPr>
        <w:tc>
          <w:tcPr>
            <w:tcW w:w="361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rPr>
                <w:rFonts w:ascii="Adobe Garamond Pro" w:hAnsi="Adobe Garamond Pro" w:cs="Times New Roman"/>
                <w:color w:val="000000"/>
                <w:sz w:val="20"/>
                <w:szCs w:val="20"/>
                <w:lang w:eastAsia="bs-Latn-BA"/>
              </w:rPr>
            </w:pPr>
            <w:r w:rsidRPr="00881891">
              <w:rPr>
                <w:rFonts w:ascii="Adobe Garamond Pro" w:hAnsi="Adobe Garamond Pro" w:cs="Times New Roman"/>
                <w:color w:val="000000"/>
                <w:sz w:val="20"/>
                <w:szCs w:val="20"/>
                <w:lang w:eastAsia="bs-Latn-BA"/>
              </w:rPr>
              <w:t>budzet za penz./budzet</w:t>
            </w:r>
          </w:p>
        </w:tc>
        <w:tc>
          <w:tcPr>
            <w:tcW w:w="1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81891" w:rsidRPr="00881891" w:rsidRDefault="00881891" w:rsidP="00881891">
            <w:pPr>
              <w:spacing w:after="0" w:line="240" w:lineRule="auto"/>
              <w:jc w:val="right"/>
              <w:rPr>
                <w:rFonts w:ascii="Adobe Garamond Pro" w:hAnsi="Adobe Garamond Pro" w:cs="Times New Roman"/>
                <w:color w:val="000000"/>
                <w:sz w:val="20"/>
                <w:szCs w:val="20"/>
                <w:lang w:eastAsia="bs-Latn-BA"/>
              </w:rPr>
            </w:pPr>
            <w:r w:rsidRPr="00881891">
              <w:rPr>
                <w:rFonts w:ascii="Adobe Garamond Pro" w:hAnsi="Adobe Garamond Pro" w:cs="Times New Roman"/>
                <w:color w:val="000000"/>
                <w:sz w:val="20"/>
                <w:szCs w:val="20"/>
                <w:lang w:eastAsia="bs-Latn-BA"/>
              </w:rPr>
              <w:t>26,55%</w:t>
            </w:r>
          </w:p>
        </w:tc>
      </w:tr>
    </w:tbl>
    <w:p w:rsidR="00881891" w:rsidRPr="00881891" w:rsidRDefault="00881891" w:rsidP="00881891">
      <w:pPr>
        <w:spacing w:after="0" w:line="240" w:lineRule="auto"/>
        <w:jc w:val="both"/>
        <w:rPr>
          <w:rFonts w:ascii="Adobe Garamond Pro" w:hAnsi="Adobe Garamond Pro" w:cs="Times New Roman"/>
          <w:sz w:val="20"/>
          <w:szCs w:val="20"/>
        </w:rPr>
      </w:pPr>
    </w:p>
    <w:p w:rsidR="00881891" w:rsidRPr="00881891" w:rsidRDefault="00881891" w:rsidP="00881891">
      <w:pPr>
        <w:spacing w:after="0" w:line="240" w:lineRule="auto"/>
        <w:jc w:val="both"/>
        <w:rPr>
          <w:rFonts w:ascii="Adobe Garamond Pro" w:hAnsi="Adobe Garamond Pro"/>
          <w:sz w:val="20"/>
          <w:szCs w:val="20"/>
        </w:rPr>
      </w:pPr>
    </w:p>
    <w:p w:rsidR="00693D79" w:rsidRDefault="00693D79" w:rsidP="00881891">
      <w:pPr>
        <w:pStyle w:val="ListParagraph"/>
        <w:spacing w:after="0" w:line="240" w:lineRule="auto"/>
        <w:ind w:left="0"/>
        <w:jc w:val="both"/>
        <w:rPr>
          <w:rFonts w:ascii="Adobe Garamond Pro" w:hAnsi="Adobe Garamond Pro" w:cs="Times New Roman"/>
          <w:b/>
          <w:sz w:val="20"/>
          <w:szCs w:val="20"/>
        </w:rPr>
      </w:pPr>
    </w:p>
    <w:p w:rsidR="00693D79" w:rsidRDefault="00693D79" w:rsidP="00881891">
      <w:pPr>
        <w:pStyle w:val="ListParagraph"/>
        <w:spacing w:after="0" w:line="240" w:lineRule="auto"/>
        <w:ind w:left="0"/>
        <w:jc w:val="both"/>
        <w:rPr>
          <w:rFonts w:ascii="Adobe Garamond Pro" w:hAnsi="Adobe Garamond Pro" w:cs="Times New Roman"/>
          <w:b/>
          <w:sz w:val="20"/>
          <w:szCs w:val="20"/>
        </w:rPr>
      </w:pPr>
    </w:p>
    <w:p w:rsidR="00881891" w:rsidRPr="00693D79" w:rsidRDefault="00881891" w:rsidP="00881891">
      <w:pPr>
        <w:pStyle w:val="ListParagraph"/>
        <w:spacing w:after="0" w:line="240" w:lineRule="auto"/>
        <w:ind w:left="0"/>
        <w:jc w:val="both"/>
        <w:rPr>
          <w:rFonts w:ascii="Adobe Garamond Pro" w:hAnsi="Adobe Garamond Pro" w:cs="Times New Roman"/>
          <w:b/>
        </w:rPr>
      </w:pPr>
      <w:r w:rsidRPr="00693D79">
        <w:rPr>
          <w:rFonts w:ascii="Adobe Garamond Pro" w:hAnsi="Adobe Garamond Pro" w:cs="Times New Roman"/>
          <w:b/>
        </w:rPr>
        <w:t>Komparacija opterećenja porezima i doprinosima u Bosni i Hercegovini i nekim, referentnim, državama iz okruženja i Evropske Unije</w:t>
      </w:r>
    </w:p>
    <w:p w:rsidR="00881891" w:rsidRPr="00881891" w:rsidRDefault="00881891" w:rsidP="00881891">
      <w:pPr>
        <w:pStyle w:val="ListParagraph"/>
        <w:spacing w:after="0" w:line="240" w:lineRule="auto"/>
        <w:ind w:left="0"/>
        <w:jc w:val="both"/>
        <w:rPr>
          <w:rFonts w:ascii="Adobe Garamond Pro" w:hAnsi="Adobe Garamond Pro" w:cs="Times New Roman"/>
          <w:sz w:val="20"/>
          <w:szCs w:val="20"/>
        </w:rPr>
      </w:pPr>
    </w:p>
    <w:p w:rsidR="00881891" w:rsidRPr="00693D79" w:rsidRDefault="00881891" w:rsidP="00881891">
      <w:pPr>
        <w:pStyle w:val="ListParagraph"/>
        <w:spacing w:after="0" w:line="240" w:lineRule="auto"/>
        <w:ind w:left="0"/>
        <w:jc w:val="both"/>
        <w:rPr>
          <w:rFonts w:ascii="Adobe Garamond Pro" w:hAnsi="Adobe Garamond Pro" w:cs="Times New Roman"/>
          <w:b/>
        </w:rPr>
      </w:pPr>
      <w:r w:rsidRPr="00693D79">
        <w:rPr>
          <w:rFonts w:ascii="Adobe Garamond Pro" w:hAnsi="Adobe Garamond Pro" w:cs="Times New Roman"/>
          <w:b/>
        </w:rPr>
        <w:t>Komparacija opterećenja porezima i doprinosima prema važećim propisima</w:t>
      </w:r>
    </w:p>
    <w:p w:rsidR="00881891" w:rsidRPr="00881891" w:rsidRDefault="00881891" w:rsidP="00881891">
      <w:pPr>
        <w:pStyle w:val="ListParagraph"/>
        <w:spacing w:after="0" w:line="240" w:lineRule="auto"/>
        <w:ind w:left="0"/>
        <w:jc w:val="both"/>
        <w:rPr>
          <w:rFonts w:ascii="Adobe Garamond Pro" w:hAnsi="Adobe Garamond Pro" w:cs="Times New Roman"/>
          <w:sz w:val="20"/>
          <w:szCs w:val="20"/>
        </w:rPr>
      </w:pPr>
    </w:p>
    <w:p w:rsidR="00881891" w:rsidRDefault="00881891" w:rsidP="00881891">
      <w:pPr>
        <w:pStyle w:val="ListParagraph"/>
        <w:spacing w:after="0" w:line="240" w:lineRule="auto"/>
        <w:ind w:left="0" w:firstLine="708"/>
        <w:jc w:val="both"/>
        <w:rPr>
          <w:rFonts w:ascii="Adobe Garamond Pro" w:hAnsi="Adobe Garamond Pro" w:cs="Times New Roman"/>
          <w:sz w:val="20"/>
          <w:szCs w:val="20"/>
        </w:rPr>
      </w:pPr>
      <w:r w:rsidRPr="00881891">
        <w:rPr>
          <w:rFonts w:ascii="Adobe Garamond Pro" w:hAnsi="Adobe Garamond Pro" w:cs="Times New Roman"/>
          <w:sz w:val="20"/>
          <w:szCs w:val="20"/>
        </w:rPr>
        <w:t>Iz prethodnog poglavlja, na primjerima pojedinačne i prosječne plate, svedene na 2000 EUR-a bruto, prikazani su sistemi obračuna poreza i doprinosa iz bruto plate i na bruto platu za nekoliko država. Kao što se može vidjeti postoje značajne razlike između svake države, ali su principi prilično slični i rezulatati se mogu porediti. Naime u svim državama se na platu obračunavaju: doprinos za PIO, doprinos za zdravstveno osiguranje i doprinos za zaštitu od nezaposlenosti i, uglavnom , je osnovica bruto plata, s tim da su velike razlike u obračunu na teret zaposlenika i na teret poslodavca. Kod poreza na dohodak postoje značajne razlike i u osnovici i u procentu i u oslobađajućem dijelu osnovice. U nekim državama je osnovica bruto plata, u drugim neto plata, zatim kod nekih postoji neoporezivi dio plate, dok kod drugih je kompletna bruto plata osnovica za obračun. Postoje razlike i u namjeni poreza na dohodak, npr. u SR Njemačkoj imamo porez na bruto platu za obnovu Istočne Njemačke, u Hrvatskoj imamo prirez na porez koji ubire lokalna zajednica i čija stopa se jako razlikuje od općine do općine. Dakle, porez na dohodak je produkt porezne politike u dotičnoj državi, ali mu je zajedničko da je obavezan i da mu je osnovica bruto, ili neto plata, te ga se u tom smislu tretira kao opterećenje na plate. Pregled konsolidiranih podataka iz obračuna opterećenja na plate komparativno je dat u sljedećoj tabeli i ilustriran u grafikonu urađenom na bazi podataka iz tabele:</w:t>
      </w:r>
    </w:p>
    <w:p w:rsidR="00693D79" w:rsidRPr="00881891" w:rsidRDefault="00693D79" w:rsidP="00881891">
      <w:pPr>
        <w:pStyle w:val="ListParagraph"/>
        <w:spacing w:after="0" w:line="240" w:lineRule="auto"/>
        <w:ind w:left="0" w:firstLine="708"/>
        <w:jc w:val="both"/>
        <w:rPr>
          <w:rFonts w:ascii="Adobe Garamond Pro" w:hAnsi="Adobe Garamond Pro" w:cs="Times New Roman"/>
          <w:sz w:val="20"/>
          <w:szCs w:val="20"/>
        </w:rPr>
      </w:pPr>
    </w:p>
    <w:p w:rsidR="00881891" w:rsidRPr="00693D79" w:rsidRDefault="00881891" w:rsidP="00693D79">
      <w:pPr>
        <w:spacing w:after="0" w:line="240" w:lineRule="auto"/>
        <w:rPr>
          <w:rFonts w:ascii="Adobe Garamond Pro" w:hAnsi="Adobe Garamond Pro" w:cs="Times New Roman"/>
          <w:sz w:val="20"/>
          <w:szCs w:val="20"/>
        </w:rPr>
      </w:pPr>
      <w:r w:rsidRPr="00693D79">
        <w:rPr>
          <w:rFonts w:ascii="Adobe Garamond Pro" w:hAnsi="Adobe Garamond Pro" w:cs="Times New Roman"/>
          <w:sz w:val="20"/>
          <w:szCs w:val="20"/>
        </w:rPr>
        <w:t xml:space="preserve">Tabela 10: </w:t>
      </w:r>
      <w:r w:rsidR="00693D79">
        <w:rPr>
          <w:rFonts w:ascii="Adobe Garamond Pro" w:hAnsi="Adobe Garamond Pro" w:cs="Times New Roman"/>
          <w:sz w:val="20"/>
          <w:szCs w:val="20"/>
        </w:rPr>
        <w:t>O</w:t>
      </w:r>
      <w:r w:rsidR="00693D79" w:rsidRPr="00693D79">
        <w:rPr>
          <w:rFonts w:ascii="Adobe Garamond Pro" w:hAnsi="Adobe Garamond Pro" w:cs="Times New Roman"/>
          <w:sz w:val="20"/>
          <w:szCs w:val="20"/>
        </w:rPr>
        <w:t xml:space="preserve">pterećenje ukupnog troška zaposlenika porezima i doprinosima u nekoliko država </w:t>
      </w:r>
      <w:r w:rsidR="00693D79">
        <w:rPr>
          <w:rFonts w:ascii="Adobe Garamond Pro" w:hAnsi="Adobe Garamond Pro" w:cs="Times New Roman"/>
          <w:sz w:val="20"/>
          <w:szCs w:val="20"/>
        </w:rPr>
        <w:t>E</w:t>
      </w:r>
      <w:r w:rsidR="00693D79" w:rsidRPr="00693D79">
        <w:rPr>
          <w:rFonts w:ascii="Adobe Garamond Pro" w:hAnsi="Adobe Garamond Pro" w:cs="Times New Roman"/>
          <w:sz w:val="20"/>
          <w:szCs w:val="20"/>
        </w:rPr>
        <w:t>vrope</w:t>
      </w:r>
    </w:p>
    <w:tbl>
      <w:tblPr>
        <w:tblStyle w:val="TableGrid"/>
        <w:tblW w:w="5000" w:type="pct"/>
        <w:jc w:val="center"/>
        <w:tblLook w:val="04A0"/>
      </w:tblPr>
      <w:tblGrid>
        <w:gridCol w:w="880"/>
        <w:gridCol w:w="763"/>
        <w:gridCol w:w="763"/>
        <w:gridCol w:w="762"/>
        <w:gridCol w:w="762"/>
        <w:gridCol w:w="841"/>
        <w:gridCol w:w="844"/>
        <w:gridCol w:w="919"/>
        <w:gridCol w:w="911"/>
      </w:tblGrid>
      <w:tr w:rsidR="00881891" w:rsidRPr="00693D79" w:rsidTr="00693D79">
        <w:trPr>
          <w:jc w:val="center"/>
        </w:trPr>
        <w:tc>
          <w:tcPr>
            <w:tcW w:w="590"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Elementi</w:t>
            </w:r>
          </w:p>
        </w:tc>
        <w:tc>
          <w:tcPr>
            <w:tcW w:w="512"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BiH-FBiH</w:t>
            </w:r>
          </w:p>
        </w:tc>
        <w:tc>
          <w:tcPr>
            <w:tcW w:w="512"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BiH-RS</w:t>
            </w:r>
          </w:p>
        </w:tc>
        <w:tc>
          <w:tcPr>
            <w:tcW w:w="512"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Crna Gora</w:t>
            </w:r>
          </w:p>
        </w:tc>
        <w:tc>
          <w:tcPr>
            <w:tcW w:w="512"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Srbija</w:t>
            </w:r>
          </w:p>
        </w:tc>
        <w:tc>
          <w:tcPr>
            <w:tcW w:w="565"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Hrvatska</w:t>
            </w:r>
          </w:p>
        </w:tc>
        <w:tc>
          <w:tcPr>
            <w:tcW w:w="567"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Slovenija</w:t>
            </w:r>
          </w:p>
        </w:tc>
        <w:tc>
          <w:tcPr>
            <w:tcW w:w="617"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Francuska</w:t>
            </w:r>
          </w:p>
        </w:tc>
        <w:tc>
          <w:tcPr>
            <w:tcW w:w="612"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Njemačka</w:t>
            </w:r>
          </w:p>
        </w:tc>
      </w:tr>
      <w:tr w:rsidR="00881891" w:rsidRPr="00693D79" w:rsidTr="00693D79">
        <w:trPr>
          <w:jc w:val="center"/>
        </w:trPr>
        <w:tc>
          <w:tcPr>
            <w:tcW w:w="590"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Ukupan trošak</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2210,00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2000,00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2242,52</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2358,00</w:t>
            </w:r>
          </w:p>
        </w:tc>
        <w:tc>
          <w:tcPr>
            <w:tcW w:w="565"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2304,00</w:t>
            </w:r>
          </w:p>
        </w:tc>
        <w:tc>
          <w:tcPr>
            <w:tcW w:w="56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2322,00</w:t>
            </w:r>
          </w:p>
        </w:tc>
        <w:tc>
          <w:tcPr>
            <w:tcW w:w="61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2829,40</w:t>
            </w:r>
          </w:p>
        </w:tc>
        <w:tc>
          <w:tcPr>
            <w:tcW w:w="6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2385,60</w:t>
            </w:r>
          </w:p>
        </w:tc>
      </w:tr>
      <w:tr w:rsidR="00881891" w:rsidRPr="00693D79" w:rsidTr="00693D79">
        <w:trPr>
          <w:jc w:val="center"/>
        </w:trPr>
        <w:tc>
          <w:tcPr>
            <w:tcW w:w="590"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Neto plata</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1265,00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1238,00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1263,20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1402,00</w:t>
            </w:r>
          </w:p>
        </w:tc>
        <w:tc>
          <w:tcPr>
            <w:tcW w:w="565"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1246,35</w:t>
            </w:r>
          </w:p>
        </w:tc>
        <w:tc>
          <w:tcPr>
            <w:tcW w:w="56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1285,20</w:t>
            </w:r>
          </w:p>
        </w:tc>
        <w:tc>
          <w:tcPr>
            <w:tcW w:w="61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1579,00</w:t>
            </w:r>
          </w:p>
        </w:tc>
        <w:tc>
          <w:tcPr>
            <w:tcW w:w="6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1392,50</w:t>
            </w:r>
          </w:p>
        </w:tc>
      </w:tr>
      <w:tr w:rsidR="00881891" w:rsidRPr="00693D79" w:rsidTr="00693D79">
        <w:trPr>
          <w:jc w:val="center"/>
        </w:trPr>
        <w:tc>
          <w:tcPr>
            <w:tcW w:w="590"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Porezi i doprinosi</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945,00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762,00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979,32</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956,00</w:t>
            </w:r>
          </w:p>
        </w:tc>
        <w:tc>
          <w:tcPr>
            <w:tcW w:w="565"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1075,65</w:t>
            </w:r>
          </w:p>
        </w:tc>
        <w:tc>
          <w:tcPr>
            <w:tcW w:w="56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1036,80</w:t>
            </w:r>
          </w:p>
        </w:tc>
        <w:tc>
          <w:tcPr>
            <w:tcW w:w="61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1250,40</w:t>
            </w:r>
          </w:p>
        </w:tc>
        <w:tc>
          <w:tcPr>
            <w:tcW w:w="6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993,10</w:t>
            </w:r>
          </w:p>
        </w:tc>
      </w:tr>
      <w:tr w:rsidR="00881891" w:rsidRPr="00693D79" w:rsidTr="00693D79">
        <w:trPr>
          <w:jc w:val="center"/>
        </w:trPr>
        <w:tc>
          <w:tcPr>
            <w:tcW w:w="590"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Iznos za PIO</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460,00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370,00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410,00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480,00</w:t>
            </w:r>
          </w:p>
        </w:tc>
        <w:tc>
          <w:tcPr>
            <w:tcW w:w="565"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400,00</w:t>
            </w:r>
          </w:p>
        </w:tc>
        <w:tc>
          <w:tcPr>
            <w:tcW w:w="56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487,00</w:t>
            </w:r>
          </w:p>
        </w:tc>
        <w:tc>
          <w:tcPr>
            <w:tcW w:w="61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495,00</w:t>
            </w:r>
          </w:p>
        </w:tc>
        <w:tc>
          <w:tcPr>
            <w:tcW w:w="6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378,00</w:t>
            </w:r>
          </w:p>
        </w:tc>
      </w:tr>
      <w:tr w:rsidR="00881891" w:rsidRPr="00693D79" w:rsidTr="00693D79">
        <w:trPr>
          <w:jc w:val="center"/>
        </w:trPr>
        <w:tc>
          <w:tcPr>
            <w:tcW w:w="590"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Stopa optereće.</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42,76</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38,10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43,67</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40,54</w:t>
            </w:r>
          </w:p>
        </w:tc>
        <w:tc>
          <w:tcPr>
            <w:tcW w:w="565"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45,90</w:t>
            </w:r>
          </w:p>
        </w:tc>
        <w:tc>
          <w:tcPr>
            <w:tcW w:w="56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44,65</w:t>
            </w:r>
          </w:p>
        </w:tc>
        <w:tc>
          <w:tcPr>
            <w:tcW w:w="61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44,19</w:t>
            </w:r>
          </w:p>
        </w:tc>
        <w:tc>
          <w:tcPr>
            <w:tcW w:w="6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41,62</w:t>
            </w:r>
          </w:p>
        </w:tc>
      </w:tr>
      <w:tr w:rsidR="00881891" w:rsidRPr="00693D79" w:rsidTr="00693D79">
        <w:trPr>
          <w:jc w:val="center"/>
        </w:trPr>
        <w:tc>
          <w:tcPr>
            <w:tcW w:w="590"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Stopa za PIO</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20,81</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18,50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18,28</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20,36</w:t>
            </w:r>
          </w:p>
        </w:tc>
        <w:tc>
          <w:tcPr>
            <w:tcW w:w="565"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17,36</w:t>
            </w:r>
          </w:p>
        </w:tc>
        <w:tc>
          <w:tcPr>
            <w:tcW w:w="56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20,97</w:t>
            </w:r>
          </w:p>
        </w:tc>
        <w:tc>
          <w:tcPr>
            <w:tcW w:w="61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17,50</w:t>
            </w:r>
          </w:p>
        </w:tc>
        <w:tc>
          <w:tcPr>
            <w:tcW w:w="6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15,84</w:t>
            </w:r>
          </w:p>
        </w:tc>
      </w:tr>
      <w:tr w:rsidR="00881891" w:rsidRPr="00693D79" w:rsidTr="00693D79">
        <w:trPr>
          <w:jc w:val="center"/>
        </w:trPr>
        <w:tc>
          <w:tcPr>
            <w:tcW w:w="590" w:type="pct"/>
            <w:vAlign w:val="bottom"/>
          </w:tcPr>
          <w:p w:rsidR="00881891" w:rsidRPr="00693D79" w:rsidRDefault="00881891" w:rsidP="00881891">
            <w:pPr>
              <w:rPr>
                <w:rFonts w:ascii="Adobe Garamond Pro" w:eastAsia="Times New Roman" w:hAnsi="Adobe Garamond Pro" w:cs="Times New Roman"/>
                <w:b/>
                <w:color w:val="000000"/>
                <w:sz w:val="16"/>
                <w:szCs w:val="16"/>
                <w:lang w:eastAsia="bs-Latn-BA"/>
              </w:rPr>
            </w:pPr>
            <w:r w:rsidRPr="00693D79">
              <w:rPr>
                <w:rFonts w:ascii="Adobe Garamond Pro" w:eastAsia="Times New Roman" w:hAnsi="Adobe Garamond Pro" w:cs="Times New Roman"/>
                <w:b/>
                <w:color w:val="000000"/>
                <w:sz w:val="16"/>
                <w:szCs w:val="16"/>
                <w:lang w:eastAsia="bs-Latn-BA"/>
              </w:rPr>
              <w:t>Sufin.iz Budžeta</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0,12</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0,22</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0,50</w:t>
            </w:r>
          </w:p>
        </w:tc>
        <w:tc>
          <w:tcPr>
            <w:tcW w:w="5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0,43</w:t>
            </w:r>
          </w:p>
        </w:tc>
        <w:tc>
          <w:tcPr>
            <w:tcW w:w="565"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0,46</w:t>
            </w:r>
          </w:p>
        </w:tc>
        <w:tc>
          <w:tcPr>
            <w:tcW w:w="56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0,34</w:t>
            </w:r>
          </w:p>
        </w:tc>
        <w:tc>
          <w:tcPr>
            <w:tcW w:w="617"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0,40</w:t>
            </w:r>
          </w:p>
        </w:tc>
        <w:tc>
          <w:tcPr>
            <w:tcW w:w="612" w:type="pct"/>
            <w:vAlign w:val="bottom"/>
          </w:tcPr>
          <w:p w:rsidR="00881891" w:rsidRPr="00693D79" w:rsidRDefault="00881891" w:rsidP="00881891">
            <w:pPr>
              <w:jc w:val="right"/>
              <w:rPr>
                <w:rFonts w:ascii="Adobe Garamond Pro" w:eastAsia="Times New Roman" w:hAnsi="Adobe Garamond Pro" w:cs="Times New Roman"/>
                <w:color w:val="000000"/>
                <w:sz w:val="16"/>
                <w:szCs w:val="16"/>
                <w:lang w:eastAsia="bs-Latn-BA"/>
              </w:rPr>
            </w:pPr>
            <w:r w:rsidRPr="00693D79">
              <w:rPr>
                <w:rFonts w:ascii="Adobe Garamond Pro" w:eastAsia="Times New Roman" w:hAnsi="Adobe Garamond Pro" w:cs="Times New Roman"/>
                <w:color w:val="000000"/>
                <w:sz w:val="16"/>
                <w:szCs w:val="16"/>
                <w:lang w:eastAsia="bs-Latn-BA"/>
              </w:rPr>
              <w:t>0,35</w:t>
            </w:r>
          </w:p>
        </w:tc>
      </w:tr>
    </w:tbl>
    <w:p w:rsidR="00693D79" w:rsidRDefault="00693D79" w:rsidP="00881891">
      <w:pPr>
        <w:spacing w:after="0"/>
        <w:rPr>
          <w:rFonts w:ascii="Adobe Garamond Pro" w:hAnsi="Adobe Garamond Pro" w:cs="Times New Roman"/>
          <w:lang w:val="bs-Latn-BA"/>
        </w:rPr>
      </w:pPr>
    </w:p>
    <w:p w:rsidR="00693D79" w:rsidRDefault="00693D79">
      <w:pPr>
        <w:rPr>
          <w:rFonts w:ascii="Adobe Garamond Pro" w:hAnsi="Adobe Garamond Pro" w:cs="Times New Roman"/>
          <w:lang w:val="bs-Latn-BA"/>
        </w:rPr>
      </w:pPr>
      <w:r>
        <w:rPr>
          <w:rFonts w:ascii="Adobe Garamond Pro" w:hAnsi="Adobe Garamond Pro" w:cs="Times New Roman"/>
          <w:lang w:val="bs-Latn-BA"/>
        </w:rPr>
        <w:br w:type="page"/>
      </w:r>
    </w:p>
    <w:p w:rsidR="00A32340" w:rsidRDefault="00A32340" w:rsidP="00881891">
      <w:pPr>
        <w:spacing w:after="0"/>
        <w:rPr>
          <w:rFonts w:ascii="Adobe Garamond Pro" w:hAnsi="Adobe Garamond Pro" w:cs="Times New Roman"/>
          <w:lang w:val="bs-Latn-BA"/>
        </w:rPr>
      </w:pPr>
      <w:r w:rsidRPr="00A32340">
        <w:rPr>
          <w:rFonts w:ascii="Adobe Garamond Pro" w:hAnsi="Adobe Garamond Pro" w:cs="Times New Roman"/>
          <w:noProof/>
          <w:lang w:val="bs-Latn-BA" w:eastAsia="bs-Latn-BA"/>
        </w:rPr>
        <w:lastRenderedPageBreak/>
        <w:drawing>
          <wp:inline distT="0" distB="0" distL="0" distR="0">
            <wp:extent cx="4590415" cy="2988939"/>
            <wp:effectExtent l="19050" t="0" r="19685" b="1911"/>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2340" w:rsidRDefault="00A32340" w:rsidP="00A32340">
      <w:pPr>
        <w:tabs>
          <w:tab w:val="left" w:pos="983"/>
        </w:tabs>
        <w:spacing w:after="0" w:line="240" w:lineRule="auto"/>
        <w:rPr>
          <w:rFonts w:ascii="Adobe Garamond Pro" w:hAnsi="Adobe Garamond Pro" w:cs="Times New Roman"/>
          <w:sz w:val="20"/>
          <w:szCs w:val="20"/>
        </w:rPr>
      </w:pPr>
      <w:r w:rsidRPr="00A32340">
        <w:rPr>
          <w:rFonts w:ascii="Adobe Garamond Pro" w:hAnsi="Adobe Garamond Pro" w:cs="Times New Roman"/>
          <w:sz w:val="20"/>
          <w:szCs w:val="20"/>
        </w:rPr>
        <w:t>Grafikon1:Opterećenje ukupnog troška zaposlenika porezima i oprinosima</w:t>
      </w:r>
    </w:p>
    <w:p w:rsidR="006920EC" w:rsidRDefault="00A32340" w:rsidP="00A32340">
      <w:pPr>
        <w:tabs>
          <w:tab w:val="left" w:pos="983"/>
        </w:tabs>
        <w:spacing w:after="0" w:line="240" w:lineRule="auto"/>
        <w:rPr>
          <w:rFonts w:ascii="Adobe Garamond Pro" w:hAnsi="Adobe Garamond Pro" w:cs="Times New Roman"/>
          <w:sz w:val="20"/>
          <w:szCs w:val="20"/>
        </w:rPr>
      </w:pPr>
      <w:r w:rsidRPr="00A32340">
        <w:rPr>
          <w:rFonts w:ascii="Adobe Garamond Pro" w:hAnsi="Adobe Garamond Pro" w:cs="Times New Roman"/>
          <w:sz w:val="20"/>
          <w:szCs w:val="20"/>
        </w:rPr>
        <w:t xml:space="preserve"> u nekoliko država Evrope</w:t>
      </w:r>
    </w:p>
    <w:p w:rsidR="00994E09" w:rsidRDefault="00994E09" w:rsidP="00A32340">
      <w:pPr>
        <w:tabs>
          <w:tab w:val="left" w:pos="983"/>
        </w:tabs>
        <w:spacing w:after="0" w:line="240" w:lineRule="auto"/>
        <w:rPr>
          <w:rFonts w:ascii="Adobe Garamond Pro" w:hAnsi="Adobe Garamond Pro" w:cs="Times New Roman"/>
          <w:sz w:val="20"/>
          <w:szCs w:val="20"/>
        </w:rPr>
      </w:pPr>
    </w:p>
    <w:p w:rsidR="00994E09" w:rsidRPr="00994E09" w:rsidRDefault="00994E09" w:rsidP="00994E09">
      <w:pPr>
        <w:spacing w:after="0" w:line="240" w:lineRule="auto"/>
        <w:rPr>
          <w:rFonts w:ascii="Adobe Garamond Pro" w:hAnsi="Adobe Garamond Pro" w:cs="Times New Roman"/>
          <w:b/>
        </w:rPr>
      </w:pPr>
      <w:r w:rsidRPr="00994E09">
        <w:rPr>
          <w:rFonts w:ascii="Adobe Garamond Pro" w:hAnsi="Adobe Garamond Pro" w:cs="Times New Roman"/>
          <w:b/>
        </w:rPr>
        <w:t>Komaparacija opterećenja porezima i doprinosima kada sufinansiranje iz budžeta svedemo na nivo u F BiH</w:t>
      </w:r>
    </w:p>
    <w:p w:rsidR="00994E09" w:rsidRPr="00994E09" w:rsidRDefault="00994E09" w:rsidP="00994E09">
      <w:pPr>
        <w:spacing w:after="0" w:line="240" w:lineRule="auto"/>
        <w:jc w:val="both"/>
        <w:rPr>
          <w:rFonts w:ascii="Adobe Garamond Pro" w:hAnsi="Adobe Garamond Pro" w:cs="Times New Roman"/>
          <w:b/>
          <w:sz w:val="20"/>
          <w:szCs w:val="20"/>
        </w:rPr>
      </w:pPr>
    </w:p>
    <w:p w:rsidR="00994E09" w:rsidRPr="00994E09" w:rsidRDefault="00994E09" w:rsidP="00994E09">
      <w:pPr>
        <w:spacing w:after="0" w:line="240" w:lineRule="auto"/>
        <w:rPr>
          <w:rFonts w:ascii="Adobe Garamond Pro" w:hAnsi="Adobe Garamond Pro" w:cs="Times New Roman"/>
          <w:sz w:val="20"/>
          <w:szCs w:val="20"/>
        </w:rPr>
      </w:pPr>
      <w:r w:rsidRPr="00994E09">
        <w:rPr>
          <w:rFonts w:ascii="Adobe Garamond Pro" w:hAnsi="Adobe Garamond Pro" w:cs="Times New Roman"/>
          <w:sz w:val="20"/>
          <w:szCs w:val="20"/>
        </w:rPr>
        <w:t xml:space="preserve">Tabela </w:t>
      </w:r>
      <w:r>
        <w:rPr>
          <w:rFonts w:ascii="Adobe Garamond Pro" w:hAnsi="Adobe Garamond Pro" w:cs="Times New Roman"/>
          <w:sz w:val="20"/>
          <w:szCs w:val="20"/>
        </w:rPr>
        <w:t>11:</w:t>
      </w:r>
      <w:r w:rsidRPr="00994E09">
        <w:rPr>
          <w:rFonts w:ascii="Adobe Garamond Pro" w:hAnsi="Adobe Garamond Pro" w:cs="Times New Roman"/>
          <w:sz w:val="20"/>
          <w:szCs w:val="20"/>
        </w:rPr>
        <w:t xml:space="preserve"> OPTEREĆENJE UKUPNOG TROŠKA ZAPOSLENIKA POREZIMA I DOPRINOSIMA U NEKOLIKO DRŽAVA EVROPE KADA SE SUFINANASIRANJE IZ </w:t>
      </w:r>
      <w:r>
        <w:rPr>
          <w:rFonts w:ascii="Adobe Garamond Pro" w:hAnsi="Adobe Garamond Pro" w:cs="Times New Roman"/>
          <w:sz w:val="20"/>
          <w:szCs w:val="20"/>
        </w:rPr>
        <w:t>BUDŽ</w:t>
      </w:r>
      <w:r w:rsidRPr="00994E09">
        <w:rPr>
          <w:rFonts w:ascii="Adobe Garamond Pro" w:hAnsi="Adobe Garamond Pro" w:cs="Times New Roman"/>
          <w:sz w:val="20"/>
          <w:szCs w:val="20"/>
        </w:rPr>
        <w:t>ETA UJEDNAČI</w:t>
      </w:r>
    </w:p>
    <w:tbl>
      <w:tblPr>
        <w:tblStyle w:val="TableGrid"/>
        <w:tblW w:w="5000" w:type="pct"/>
        <w:jc w:val="center"/>
        <w:tblLook w:val="04A0"/>
      </w:tblPr>
      <w:tblGrid>
        <w:gridCol w:w="880"/>
        <w:gridCol w:w="763"/>
        <w:gridCol w:w="763"/>
        <w:gridCol w:w="762"/>
        <w:gridCol w:w="762"/>
        <w:gridCol w:w="841"/>
        <w:gridCol w:w="844"/>
        <w:gridCol w:w="919"/>
        <w:gridCol w:w="911"/>
      </w:tblGrid>
      <w:tr w:rsidR="00994E09" w:rsidRPr="00994E09" w:rsidTr="00994E09">
        <w:trPr>
          <w:jc w:val="center"/>
        </w:trPr>
        <w:tc>
          <w:tcPr>
            <w:tcW w:w="590"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Elementi</w:t>
            </w:r>
          </w:p>
        </w:tc>
        <w:tc>
          <w:tcPr>
            <w:tcW w:w="512"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BiH-FBiH</w:t>
            </w:r>
          </w:p>
        </w:tc>
        <w:tc>
          <w:tcPr>
            <w:tcW w:w="512"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BiH-RS</w:t>
            </w:r>
          </w:p>
        </w:tc>
        <w:tc>
          <w:tcPr>
            <w:tcW w:w="512"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Crna Gora</w:t>
            </w:r>
          </w:p>
        </w:tc>
        <w:tc>
          <w:tcPr>
            <w:tcW w:w="512"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Srbija</w:t>
            </w:r>
          </w:p>
        </w:tc>
        <w:tc>
          <w:tcPr>
            <w:tcW w:w="565"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Hrvatska</w:t>
            </w:r>
          </w:p>
        </w:tc>
        <w:tc>
          <w:tcPr>
            <w:tcW w:w="567"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Slovenija</w:t>
            </w:r>
          </w:p>
        </w:tc>
        <w:tc>
          <w:tcPr>
            <w:tcW w:w="617"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Francuska</w:t>
            </w:r>
          </w:p>
        </w:tc>
        <w:tc>
          <w:tcPr>
            <w:tcW w:w="612"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Njemačka</w:t>
            </w:r>
          </w:p>
        </w:tc>
      </w:tr>
      <w:tr w:rsidR="00994E09" w:rsidRPr="00994E09" w:rsidTr="00994E09">
        <w:trPr>
          <w:jc w:val="center"/>
        </w:trPr>
        <w:tc>
          <w:tcPr>
            <w:tcW w:w="590"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Ukupan trošak</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2210,00</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2047,40</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2554,12</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2619,05</w:t>
            </w:r>
          </w:p>
        </w:tc>
        <w:tc>
          <w:tcPr>
            <w:tcW w:w="565"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2555,85</w:t>
            </w:r>
          </w:p>
        </w:tc>
        <w:tc>
          <w:tcPr>
            <w:tcW w:w="56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2484,33</w:t>
            </w:r>
          </w:p>
        </w:tc>
        <w:tc>
          <w:tcPr>
            <w:tcW w:w="61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3060,40</w:t>
            </w:r>
          </w:p>
        </w:tc>
        <w:tc>
          <w:tcPr>
            <w:tcW w:w="6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2519,35</w:t>
            </w:r>
          </w:p>
        </w:tc>
      </w:tr>
      <w:tr w:rsidR="00994E09" w:rsidRPr="00994E09" w:rsidTr="00994E09">
        <w:trPr>
          <w:jc w:val="center"/>
        </w:trPr>
        <w:tc>
          <w:tcPr>
            <w:tcW w:w="590"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Neto plata</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1265,00</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1238,00</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1263,20</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1402,00</w:t>
            </w:r>
          </w:p>
        </w:tc>
        <w:tc>
          <w:tcPr>
            <w:tcW w:w="565"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1246,35</w:t>
            </w:r>
          </w:p>
        </w:tc>
        <w:tc>
          <w:tcPr>
            <w:tcW w:w="56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1285,20</w:t>
            </w:r>
          </w:p>
        </w:tc>
        <w:tc>
          <w:tcPr>
            <w:tcW w:w="61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1579,00</w:t>
            </w:r>
          </w:p>
        </w:tc>
        <w:tc>
          <w:tcPr>
            <w:tcW w:w="6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1392,50</w:t>
            </w:r>
          </w:p>
        </w:tc>
      </w:tr>
      <w:tr w:rsidR="00994E09" w:rsidRPr="00994E09" w:rsidTr="00994E09">
        <w:trPr>
          <w:jc w:val="center"/>
        </w:trPr>
        <w:tc>
          <w:tcPr>
            <w:tcW w:w="590"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Porezi i doprinosi</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945,00</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809,40</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1290,90</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1217,05</w:t>
            </w:r>
          </w:p>
        </w:tc>
        <w:tc>
          <w:tcPr>
            <w:tcW w:w="565"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1327,50</w:t>
            </w:r>
          </w:p>
        </w:tc>
        <w:tc>
          <w:tcPr>
            <w:tcW w:w="56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1199,13</w:t>
            </w:r>
          </w:p>
        </w:tc>
        <w:tc>
          <w:tcPr>
            <w:tcW w:w="61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1481,40</w:t>
            </w:r>
          </w:p>
        </w:tc>
        <w:tc>
          <w:tcPr>
            <w:tcW w:w="6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1126,85</w:t>
            </w:r>
          </w:p>
        </w:tc>
      </w:tr>
      <w:tr w:rsidR="00994E09" w:rsidRPr="00994E09" w:rsidTr="00994E09">
        <w:trPr>
          <w:jc w:val="center"/>
        </w:trPr>
        <w:tc>
          <w:tcPr>
            <w:tcW w:w="590"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Iznos za PIO</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460,00</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417,40</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721,60</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741,05</w:t>
            </w:r>
          </w:p>
        </w:tc>
        <w:tc>
          <w:tcPr>
            <w:tcW w:w="565"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651,85</w:t>
            </w:r>
          </w:p>
        </w:tc>
        <w:tc>
          <w:tcPr>
            <w:tcW w:w="56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649,33</w:t>
            </w:r>
          </w:p>
        </w:tc>
        <w:tc>
          <w:tcPr>
            <w:tcW w:w="61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726,00</w:t>
            </w:r>
          </w:p>
        </w:tc>
        <w:tc>
          <w:tcPr>
            <w:tcW w:w="6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511,75</w:t>
            </w:r>
          </w:p>
        </w:tc>
      </w:tr>
      <w:tr w:rsidR="00994E09" w:rsidRPr="00994E09" w:rsidTr="00994E09">
        <w:trPr>
          <w:jc w:val="center"/>
        </w:trPr>
        <w:tc>
          <w:tcPr>
            <w:tcW w:w="590"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Stopa optereće.</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42,76</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39,50</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50,54</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46,47</w:t>
            </w:r>
          </w:p>
        </w:tc>
        <w:tc>
          <w:tcPr>
            <w:tcW w:w="565"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51,94</w:t>
            </w:r>
          </w:p>
        </w:tc>
        <w:tc>
          <w:tcPr>
            <w:tcW w:w="56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48,27</w:t>
            </w:r>
          </w:p>
        </w:tc>
        <w:tc>
          <w:tcPr>
            <w:tcW w:w="61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48,40</w:t>
            </w:r>
          </w:p>
        </w:tc>
        <w:tc>
          <w:tcPr>
            <w:tcW w:w="6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44,72</w:t>
            </w:r>
          </w:p>
        </w:tc>
      </w:tr>
      <w:tr w:rsidR="00994E09" w:rsidRPr="00994E09" w:rsidTr="00994E09">
        <w:trPr>
          <w:jc w:val="center"/>
        </w:trPr>
        <w:tc>
          <w:tcPr>
            <w:tcW w:w="590"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Stopa za PIO</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20,81</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20,38</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28,25</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28,30</w:t>
            </w:r>
          </w:p>
        </w:tc>
        <w:tc>
          <w:tcPr>
            <w:tcW w:w="565"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25,50</w:t>
            </w:r>
          </w:p>
        </w:tc>
        <w:tc>
          <w:tcPr>
            <w:tcW w:w="56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26,14</w:t>
            </w:r>
          </w:p>
        </w:tc>
        <w:tc>
          <w:tcPr>
            <w:tcW w:w="61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23,72</w:t>
            </w:r>
          </w:p>
        </w:tc>
        <w:tc>
          <w:tcPr>
            <w:tcW w:w="6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20,31</w:t>
            </w:r>
          </w:p>
        </w:tc>
      </w:tr>
      <w:tr w:rsidR="00994E09" w:rsidRPr="00994E09" w:rsidTr="00994E09">
        <w:trPr>
          <w:jc w:val="center"/>
        </w:trPr>
        <w:tc>
          <w:tcPr>
            <w:tcW w:w="590" w:type="pct"/>
            <w:vAlign w:val="bottom"/>
          </w:tcPr>
          <w:p w:rsidR="00994E09" w:rsidRPr="00994E09" w:rsidRDefault="00994E09" w:rsidP="00994E09">
            <w:pPr>
              <w:rPr>
                <w:rFonts w:ascii="Adobe Garamond Pro" w:eastAsia="Times New Roman" w:hAnsi="Adobe Garamond Pro" w:cs="Times New Roman"/>
                <w:b/>
                <w:color w:val="000000"/>
                <w:sz w:val="16"/>
                <w:szCs w:val="16"/>
                <w:lang w:eastAsia="bs-Latn-BA"/>
              </w:rPr>
            </w:pPr>
            <w:r w:rsidRPr="00994E09">
              <w:rPr>
                <w:rFonts w:ascii="Adobe Garamond Pro" w:eastAsia="Times New Roman" w:hAnsi="Adobe Garamond Pro" w:cs="Times New Roman"/>
                <w:b/>
                <w:color w:val="000000"/>
                <w:sz w:val="16"/>
                <w:szCs w:val="16"/>
                <w:lang w:eastAsia="bs-Latn-BA"/>
              </w:rPr>
              <w:t>Sufin.iz Budžeta</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0,12</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0,12</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0,12</w:t>
            </w:r>
          </w:p>
        </w:tc>
        <w:tc>
          <w:tcPr>
            <w:tcW w:w="5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0,12</w:t>
            </w:r>
          </w:p>
        </w:tc>
        <w:tc>
          <w:tcPr>
            <w:tcW w:w="565"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0,12</w:t>
            </w:r>
          </w:p>
        </w:tc>
        <w:tc>
          <w:tcPr>
            <w:tcW w:w="56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0,12</w:t>
            </w:r>
          </w:p>
        </w:tc>
        <w:tc>
          <w:tcPr>
            <w:tcW w:w="617"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0,12</w:t>
            </w:r>
          </w:p>
        </w:tc>
        <w:tc>
          <w:tcPr>
            <w:tcW w:w="612" w:type="pct"/>
            <w:vAlign w:val="bottom"/>
          </w:tcPr>
          <w:p w:rsidR="00994E09" w:rsidRPr="00994E09" w:rsidRDefault="00994E09" w:rsidP="00994E09">
            <w:pPr>
              <w:jc w:val="right"/>
              <w:rPr>
                <w:rFonts w:ascii="Adobe Garamond Pro" w:eastAsia="Times New Roman" w:hAnsi="Adobe Garamond Pro" w:cs="Times New Roman"/>
                <w:color w:val="000000"/>
                <w:sz w:val="16"/>
                <w:szCs w:val="16"/>
                <w:lang w:eastAsia="bs-Latn-BA"/>
              </w:rPr>
            </w:pPr>
            <w:r w:rsidRPr="00994E09">
              <w:rPr>
                <w:rFonts w:ascii="Adobe Garamond Pro" w:eastAsia="Times New Roman" w:hAnsi="Adobe Garamond Pro" w:cs="Times New Roman"/>
                <w:color w:val="000000"/>
                <w:sz w:val="16"/>
                <w:szCs w:val="16"/>
                <w:lang w:eastAsia="bs-Latn-BA"/>
              </w:rPr>
              <w:t>0,12</w:t>
            </w:r>
          </w:p>
        </w:tc>
      </w:tr>
    </w:tbl>
    <w:p w:rsidR="00994E09" w:rsidRPr="00994E09" w:rsidRDefault="00994E09" w:rsidP="00994E09">
      <w:pPr>
        <w:spacing w:after="0" w:line="240" w:lineRule="auto"/>
        <w:rPr>
          <w:rFonts w:ascii="Adobe Garamond Pro" w:hAnsi="Adobe Garamond Pro" w:cs="Times New Roman"/>
          <w:sz w:val="20"/>
          <w:szCs w:val="20"/>
        </w:rPr>
      </w:pPr>
    </w:p>
    <w:p w:rsidR="00994E09" w:rsidRDefault="00994E09" w:rsidP="00994E09">
      <w:pPr>
        <w:spacing w:after="0" w:line="240" w:lineRule="auto"/>
        <w:ind w:firstLine="708"/>
        <w:jc w:val="both"/>
        <w:rPr>
          <w:rFonts w:ascii="Adobe Garamond Pro" w:hAnsi="Adobe Garamond Pro" w:cs="Times New Roman"/>
          <w:sz w:val="20"/>
          <w:szCs w:val="20"/>
        </w:rPr>
      </w:pPr>
    </w:p>
    <w:p w:rsidR="00994E09" w:rsidRDefault="00994E09" w:rsidP="00994E09">
      <w:pPr>
        <w:spacing w:after="0" w:line="240" w:lineRule="auto"/>
        <w:ind w:firstLine="708"/>
        <w:jc w:val="both"/>
        <w:rPr>
          <w:rFonts w:ascii="Adobe Garamond Pro" w:hAnsi="Adobe Garamond Pro" w:cs="Times New Roman"/>
          <w:sz w:val="20"/>
          <w:szCs w:val="20"/>
        </w:rPr>
      </w:pPr>
      <w:r w:rsidRPr="00994E09">
        <w:rPr>
          <w:rFonts w:ascii="Adobe Garamond Pro" w:hAnsi="Adobe Garamond Pro" w:cs="Times New Roman"/>
          <w:sz w:val="20"/>
          <w:szCs w:val="20"/>
        </w:rPr>
        <w:t>Kao što se iz naslova ove tačke vidi, u tabeli 11 su obrađeni podaci iz tabele 10 na način da je sufinansiranje penzija iz budžeta svedeno na procenat koji ima F BiH( vidljivo iz zadnjeg reda tabele), a radi uporedivosti koliko stvarno države, uzete za primjer, izdvajaju, na ovaj ili onaj način, za penzije. Obračun je urađen na način da je, kod svih država, procenat sufinansiranja penzija iz budžeta, dakle iz poreznih prihoda, sveden na onaj koji mi imamo, a razlika potrebnih sredstava za PIO uključena u iznos doprinosa za PIO( četvrti red), te je za isti iznos povećan iznos poreza i doprinosa ( treći red) i iznos ukupnog troška ( prvi red ). Dakle iznos neto plate, poreza na dohodak i ostalih doprinosa nije mijenjan. Kada su izmjenjene brojke upoređene vidi se da je, ukoliko bi se ujednačilo sufinansiranje iz budžeta, opterećenje porezima i doprinosima, kao i doprinosom za PIO, u Bosni i Hercegovini, a posebno u Republici Srpskoj, najmanje u Evropi.</w:t>
      </w:r>
    </w:p>
    <w:p w:rsidR="00994E09" w:rsidRPr="00994E09" w:rsidRDefault="00994E09" w:rsidP="00994E09">
      <w:pPr>
        <w:spacing w:after="0" w:line="240" w:lineRule="auto"/>
        <w:ind w:firstLine="708"/>
        <w:jc w:val="both"/>
        <w:rPr>
          <w:rFonts w:ascii="Adobe Garamond Pro" w:hAnsi="Adobe Garamond Pro" w:cs="Times New Roman"/>
          <w:sz w:val="20"/>
          <w:szCs w:val="20"/>
        </w:rPr>
      </w:pPr>
    </w:p>
    <w:p w:rsidR="00994E09" w:rsidRDefault="00994E09" w:rsidP="00994E09">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994E09">
        <w:rPr>
          <w:rFonts w:ascii="Adobe Garamond Pro" w:hAnsi="Adobe Garamond Pro" w:cs="Times New Roman"/>
          <w:sz w:val="20"/>
          <w:szCs w:val="20"/>
        </w:rPr>
        <w:t>U grafikonu, koji je urađen na temelju podataka iz tabele 11, je slikovito vidljiva naprijed iznijeta tvrdnja:</w:t>
      </w:r>
    </w:p>
    <w:p w:rsidR="005A194E" w:rsidRPr="00994E09" w:rsidRDefault="005A194E" w:rsidP="00994E09">
      <w:pPr>
        <w:spacing w:after="0" w:line="240" w:lineRule="auto"/>
        <w:jc w:val="both"/>
        <w:rPr>
          <w:rFonts w:ascii="Adobe Garamond Pro" w:hAnsi="Adobe Garamond Pro" w:cs="Times New Roman"/>
          <w:sz w:val="20"/>
          <w:szCs w:val="20"/>
        </w:rPr>
      </w:pPr>
    </w:p>
    <w:p w:rsidR="00994E09" w:rsidRDefault="005A194E" w:rsidP="00994E09">
      <w:pPr>
        <w:tabs>
          <w:tab w:val="left" w:pos="983"/>
        </w:tabs>
        <w:spacing w:after="0" w:line="240" w:lineRule="auto"/>
        <w:rPr>
          <w:rFonts w:ascii="Adobe Garamond Pro" w:hAnsi="Adobe Garamond Pro" w:cs="Times New Roman"/>
          <w:sz w:val="20"/>
          <w:szCs w:val="20"/>
          <w:lang w:val="bs-Latn-BA"/>
        </w:rPr>
      </w:pPr>
      <w:r w:rsidRPr="005A194E">
        <w:rPr>
          <w:rFonts w:ascii="Adobe Garamond Pro" w:hAnsi="Adobe Garamond Pro" w:cs="Times New Roman"/>
          <w:noProof/>
          <w:sz w:val="20"/>
          <w:szCs w:val="20"/>
          <w:lang w:val="bs-Latn-BA" w:eastAsia="bs-Latn-BA"/>
        </w:rPr>
        <w:drawing>
          <wp:inline distT="0" distB="0" distL="0" distR="0">
            <wp:extent cx="4594811" cy="2971800"/>
            <wp:effectExtent l="19050" t="0" r="15289" b="0"/>
            <wp:docPr id="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7476" w:rsidRDefault="00F87476" w:rsidP="00F87476">
      <w:pPr>
        <w:spacing w:after="0" w:line="240" w:lineRule="auto"/>
        <w:rPr>
          <w:rFonts w:ascii="Adobe Garamond Pro" w:hAnsi="Adobe Garamond Pro" w:cs="Times New Roman"/>
          <w:sz w:val="20"/>
          <w:szCs w:val="20"/>
        </w:rPr>
      </w:pPr>
      <w:r w:rsidRPr="00F87476">
        <w:rPr>
          <w:rFonts w:ascii="Adobe Garamond Pro" w:hAnsi="Adobe Garamond Pro" w:cs="Times New Roman"/>
          <w:sz w:val="20"/>
          <w:szCs w:val="20"/>
        </w:rPr>
        <w:t>Grafikon 2: Opterećenje ukupnog troška zaposlenika porezima i doprinosima u nekoliko država Evrope kada se sufinansiranje iz budžeta ujednačeni</w:t>
      </w:r>
    </w:p>
    <w:p w:rsidR="00F87476" w:rsidRDefault="00F87476">
      <w:pPr>
        <w:rPr>
          <w:rFonts w:ascii="Adobe Garamond Pro" w:hAnsi="Adobe Garamond Pro" w:cs="Times New Roman"/>
          <w:sz w:val="20"/>
          <w:szCs w:val="20"/>
        </w:rPr>
      </w:pPr>
      <w:r>
        <w:rPr>
          <w:rFonts w:ascii="Adobe Garamond Pro" w:hAnsi="Adobe Garamond Pro" w:cs="Times New Roman"/>
          <w:sz w:val="20"/>
          <w:szCs w:val="20"/>
        </w:rPr>
        <w:br w:type="page"/>
      </w:r>
    </w:p>
    <w:p w:rsidR="00F87476" w:rsidRDefault="00F87476" w:rsidP="00F87476">
      <w:pPr>
        <w:spacing w:after="0" w:line="240" w:lineRule="auto"/>
        <w:ind w:firstLine="708"/>
        <w:jc w:val="both"/>
        <w:rPr>
          <w:rFonts w:ascii="Adobe Garamond Pro" w:hAnsi="Adobe Garamond Pro" w:cs="Times New Roman"/>
          <w:sz w:val="20"/>
          <w:szCs w:val="20"/>
        </w:rPr>
      </w:pPr>
      <w:r w:rsidRPr="00F87476">
        <w:rPr>
          <w:rFonts w:ascii="Adobe Garamond Pro" w:hAnsi="Adobe Garamond Pro" w:cs="Times New Roman"/>
          <w:sz w:val="20"/>
          <w:szCs w:val="20"/>
        </w:rPr>
        <w:lastRenderedPageBreak/>
        <w:t>Naravno tačku 4.2., grafikon 2 treba uzeti kao prilog analizi koji pokazuje da posmatranje samo obračuna bruto plate ne daje ispravnu sliku koliko se stvarno izdvaja za finanasiranje socijalne i zdravstvene zaštite, sa akcentom na izdvajanje za doprinos za PIO.</w:t>
      </w:r>
    </w:p>
    <w:p w:rsidR="00F87476" w:rsidRPr="00F87476" w:rsidRDefault="00F87476" w:rsidP="00F87476">
      <w:pPr>
        <w:spacing w:after="0" w:line="240" w:lineRule="auto"/>
        <w:ind w:firstLine="708"/>
        <w:jc w:val="both"/>
        <w:rPr>
          <w:rFonts w:ascii="Adobe Garamond Pro" w:hAnsi="Adobe Garamond Pro" w:cs="Times New Roman"/>
          <w:sz w:val="20"/>
          <w:szCs w:val="20"/>
        </w:rPr>
      </w:pPr>
    </w:p>
    <w:p w:rsidR="00F87476" w:rsidRDefault="00F87476" w:rsidP="00F87476">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F87476">
        <w:rPr>
          <w:rFonts w:ascii="Adobe Garamond Pro" w:hAnsi="Adobe Garamond Pro" w:cs="Times New Roman"/>
          <w:sz w:val="20"/>
          <w:szCs w:val="20"/>
        </w:rPr>
        <w:t>Ovaj preračun, prikazan u tabeli br.11, nije 100% precizan, jer promjenom izdvajanja za PIO, bi se promjenile i osnovice za ostala davanja, a sve u zavisnosti od propisa pojednih država. Međutim on daje prilično vjernu sliku ( grafikon br.2 ) kolika bi izdvajanja po svim osnovama iz bruto plate bila kada bi se sufinansiranje u svim državama, uzetim za primjer, ujednačilo sa onim koje trenutno ima F BiH. Letimičnim pogledom na grafikon br.2 je vidljivo da, uz nešto više neto plate u Srbiji, Njemačkoj i Francuskoj, i približno iste u ostalim državama i dva bosanskohercegovačka entiteta, su ukupna izdvajanja za poreze i doprinose u Bosni i Hercegovini, realno, najniža od svih evropskih država koje imaju uporedive sistema finansiranja socijalne i zdravstvene zaštite.</w:t>
      </w:r>
    </w:p>
    <w:p w:rsidR="00F87476" w:rsidRPr="00F87476" w:rsidRDefault="00F87476" w:rsidP="00F87476">
      <w:pPr>
        <w:spacing w:after="0" w:line="240" w:lineRule="auto"/>
        <w:jc w:val="both"/>
        <w:rPr>
          <w:rFonts w:ascii="Adobe Garamond Pro" w:hAnsi="Adobe Garamond Pro" w:cs="Times New Roman"/>
          <w:sz w:val="20"/>
          <w:szCs w:val="20"/>
        </w:rPr>
      </w:pPr>
    </w:p>
    <w:p w:rsidR="00F87476" w:rsidRDefault="00F87476" w:rsidP="00F87476">
      <w:pPr>
        <w:spacing w:after="0" w:line="240" w:lineRule="auto"/>
        <w:jc w:val="both"/>
        <w:rPr>
          <w:rFonts w:ascii="Adobe Garamond Pro" w:hAnsi="Adobe Garamond Pro" w:cs="Times New Roman"/>
          <w:b/>
        </w:rPr>
      </w:pPr>
      <w:r w:rsidRPr="00F87476">
        <w:rPr>
          <w:rFonts w:ascii="Adobe Garamond Pro" w:hAnsi="Adobe Garamond Pro" w:cs="Times New Roman"/>
          <w:b/>
        </w:rPr>
        <w:t>ZAKLJUČAK</w:t>
      </w:r>
    </w:p>
    <w:p w:rsidR="00F87476" w:rsidRPr="00F87476" w:rsidRDefault="00F87476" w:rsidP="00F87476">
      <w:pPr>
        <w:spacing w:after="0" w:line="240" w:lineRule="auto"/>
        <w:jc w:val="both"/>
        <w:rPr>
          <w:rFonts w:ascii="Adobe Garamond Pro" w:hAnsi="Adobe Garamond Pro" w:cs="Times New Roman"/>
          <w:b/>
        </w:rPr>
      </w:pPr>
    </w:p>
    <w:p w:rsidR="00F87476" w:rsidRDefault="00F87476" w:rsidP="00F87476">
      <w:pPr>
        <w:spacing w:after="0" w:line="240" w:lineRule="auto"/>
        <w:ind w:firstLine="708"/>
        <w:jc w:val="both"/>
        <w:rPr>
          <w:rFonts w:ascii="Adobe Garamond Pro" w:hAnsi="Adobe Garamond Pro" w:cs="Times New Roman"/>
          <w:sz w:val="20"/>
          <w:szCs w:val="20"/>
        </w:rPr>
      </w:pPr>
      <w:r w:rsidRPr="00F87476">
        <w:rPr>
          <w:rFonts w:ascii="Adobe Garamond Pro" w:hAnsi="Adobe Garamond Pro" w:cs="Times New Roman"/>
          <w:sz w:val="20"/>
          <w:szCs w:val="20"/>
        </w:rPr>
        <w:t>Kao što je u uvodu rečeno, svrha ovog rada je da se proba rasvijetliti, kroz analizu i komparaciju podataka, tema optrećenosti plata porezima i doprinosima u Bosni i Hercegovini. Svjedoci smo da, po ovom pitanju, u javnosti i društvenim interesnim skupinama postoji, gotovo, konsenzus da su porezi i doprinosi na plate u Bosni i Hercegovini previsoki, pa čak da su najveći ili među najvećim u Evropi i svijetu, te da su osnovni, ili čak i jedini uzročnik nakonkurentnosti naše privrede na tržištu. Ovaj rad ima ambiciju da tu temu analitički i poređenjem rasvijetli da bi se onda mogla vidjeti ispravna slika. Za primjer su uzete sve države u okruženju, sljednice bivše Jugoslavije, iz razloga što se iste nisu „daleko odmakle“ od sistema obračuna plate i poreza i doprinosa na plate  onakvog kakav su imale u bivšoj zajedničkoj državi, te dvije „stare“ i velike države EU: Francuska i SR Njemačka, koje takođe imaju sistem obračuna bruto plate i izdvajanja iz iste sličan i uporediv sa zemljama bivše Jugoslavije.</w:t>
      </w:r>
    </w:p>
    <w:p w:rsidR="00F87476" w:rsidRPr="00F87476" w:rsidRDefault="00F87476" w:rsidP="00F87476">
      <w:pPr>
        <w:spacing w:after="0" w:line="240" w:lineRule="auto"/>
        <w:ind w:firstLine="708"/>
        <w:jc w:val="both"/>
        <w:rPr>
          <w:rFonts w:ascii="Adobe Garamond Pro" w:hAnsi="Adobe Garamond Pro" w:cs="Times New Roman"/>
          <w:sz w:val="20"/>
          <w:szCs w:val="20"/>
        </w:rPr>
      </w:pPr>
    </w:p>
    <w:p w:rsidR="00F87476" w:rsidRPr="00F87476" w:rsidRDefault="00F87476" w:rsidP="00F87476">
      <w:pPr>
        <w:pStyle w:val="ListParagraph"/>
        <w:spacing w:after="0" w:line="240" w:lineRule="auto"/>
        <w:ind w:left="0" w:firstLine="708"/>
        <w:jc w:val="both"/>
        <w:rPr>
          <w:rFonts w:ascii="Adobe Garamond Pro" w:hAnsi="Adobe Garamond Pro" w:cs="Times New Roman"/>
          <w:sz w:val="20"/>
          <w:szCs w:val="20"/>
        </w:rPr>
      </w:pPr>
      <w:r w:rsidRPr="00F87476">
        <w:rPr>
          <w:rFonts w:ascii="Adobe Garamond Pro" w:hAnsi="Adobe Garamond Pro" w:cs="Times New Roman"/>
          <w:sz w:val="20"/>
          <w:szCs w:val="20"/>
        </w:rPr>
        <w:t>Polazna osnova je visina bruto plate od 2.000 EUR-a, iz raloga što je ona, u prosjeku, približno takva u zemljama EU, a za BiH i ostale zemlje u okruženju je, za potrebe ove analiza, uzeta ista tolika radi uporedivosti. Zbog obračuna na bruto na teret poslodavca ukupno izdvajanje za plate koje isplati poslodavac se razlikuje, što se iz tabela i grafikona vidi i što nije problem porediti. Svi podaci i analize su uređeni i urađeni na osnovu zvaničnih informacija od nosioca penzijskog osiguranja ili sa njihovih zvaničnih veb stranica i konačna slika je najvidljivija u tabeli br. 10 i grafikonu br. 1, a kad se u poređenje ukalkulira i sufinansiranje penzija iz budžeta, koje je u Bosni i Hercegovini, pored istih ili manjih stopa doprinosa za PIO najmanje, slika je još upečatljivija i vidi se iz tabele br. 11 i grafikona br. 2.</w:t>
      </w:r>
    </w:p>
    <w:p w:rsidR="00F87476" w:rsidRDefault="00F87476" w:rsidP="00F87476">
      <w:pPr>
        <w:pStyle w:val="ListParagraph"/>
        <w:spacing w:after="0" w:line="240" w:lineRule="auto"/>
        <w:ind w:left="0"/>
        <w:jc w:val="both"/>
        <w:rPr>
          <w:rFonts w:ascii="Adobe Garamond Pro" w:hAnsi="Adobe Garamond Pro" w:cs="Times New Roman"/>
          <w:sz w:val="20"/>
          <w:szCs w:val="20"/>
        </w:rPr>
      </w:pPr>
      <w:r w:rsidRPr="00F87476">
        <w:rPr>
          <w:rFonts w:ascii="Adobe Garamond Pro" w:hAnsi="Adobe Garamond Pro" w:cs="Times New Roman"/>
          <w:sz w:val="20"/>
          <w:szCs w:val="20"/>
        </w:rPr>
        <w:t>Pogledom na te podatake i te grafikone je vidljiv konačni zaključak ovog rada:</w:t>
      </w:r>
    </w:p>
    <w:p w:rsidR="00F87476" w:rsidRDefault="00F87476" w:rsidP="00F87476">
      <w:pPr>
        <w:pStyle w:val="ListParagraph"/>
        <w:spacing w:after="0" w:line="240" w:lineRule="auto"/>
        <w:ind w:left="0"/>
        <w:jc w:val="both"/>
        <w:rPr>
          <w:rFonts w:ascii="Adobe Garamond Pro" w:hAnsi="Adobe Garamond Pro" w:cs="Times New Roman"/>
          <w:sz w:val="20"/>
          <w:szCs w:val="20"/>
        </w:rPr>
      </w:pPr>
    </w:p>
    <w:p w:rsidR="00F87476" w:rsidRPr="00F87476" w:rsidRDefault="00F87476" w:rsidP="00F87476">
      <w:pPr>
        <w:pStyle w:val="ListParagraph"/>
        <w:spacing w:after="0" w:line="240" w:lineRule="auto"/>
        <w:ind w:left="0"/>
        <w:jc w:val="both"/>
        <w:rPr>
          <w:rFonts w:ascii="Adobe Garamond Pro" w:hAnsi="Adobe Garamond Pro" w:cs="Times New Roman"/>
          <w:sz w:val="20"/>
          <w:szCs w:val="20"/>
        </w:rPr>
      </w:pPr>
    </w:p>
    <w:p w:rsidR="00F87476" w:rsidRPr="00F87476" w:rsidRDefault="00F87476" w:rsidP="00616109">
      <w:pPr>
        <w:pStyle w:val="ListParagraph"/>
        <w:numPr>
          <w:ilvl w:val="0"/>
          <w:numId w:val="18"/>
        </w:numPr>
        <w:spacing w:after="0" w:line="240" w:lineRule="auto"/>
        <w:jc w:val="both"/>
        <w:rPr>
          <w:rFonts w:ascii="Adobe Garamond Pro" w:hAnsi="Adobe Garamond Pro" w:cs="Times New Roman"/>
          <w:sz w:val="20"/>
          <w:szCs w:val="20"/>
        </w:rPr>
      </w:pPr>
      <w:r w:rsidRPr="00F87476">
        <w:rPr>
          <w:rFonts w:ascii="Adobe Garamond Pro" w:hAnsi="Adobe Garamond Pro" w:cs="Times New Roman"/>
          <w:sz w:val="20"/>
          <w:szCs w:val="20"/>
        </w:rPr>
        <w:lastRenderedPageBreak/>
        <w:t xml:space="preserve">Opterećenje plata porezima i doprinosima u Bosni i Hecegovini je među najmanjim od evropskih država koje imaju sličan i uporediv sistem socijalnog i zdravstvenog osiguranja i nije razlog nekonkurentnosti poslovnog sektora Bosne i Hercegovine na svjetskom, a naročito ne evropskom, tržištu. </w:t>
      </w:r>
    </w:p>
    <w:p w:rsidR="00F87476" w:rsidRPr="00F87476" w:rsidRDefault="00F87476" w:rsidP="00F87476">
      <w:pPr>
        <w:pStyle w:val="ListParagraph"/>
        <w:spacing w:after="0" w:line="240" w:lineRule="auto"/>
        <w:jc w:val="both"/>
        <w:rPr>
          <w:rFonts w:ascii="Adobe Garamond Pro" w:hAnsi="Adobe Garamond Pro" w:cs="Times New Roman"/>
          <w:b/>
          <w:sz w:val="20"/>
          <w:szCs w:val="20"/>
        </w:rPr>
      </w:pPr>
    </w:p>
    <w:p w:rsidR="00F87476" w:rsidRPr="00F87476" w:rsidRDefault="00F87476" w:rsidP="00F87476">
      <w:pPr>
        <w:pStyle w:val="ListParagraph"/>
        <w:spacing w:after="0" w:line="240" w:lineRule="auto"/>
        <w:ind w:left="0"/>
        <w:jc w:val="both"/>
        <w:rPr>
          <w:rFonts w:ascii="Adobe Garamond Pro" w:hAnsi="Adobe Garamond Pro" w:cs="Times New Roman"/>
          <w:sz w:val="20"/>
          <w:szCs w:val="20"/>
        </w:rPr>
      </w:pPr>
      <w:r>
        <w:rPr>
          <w:rFonts w:ascii="Adobe Garamond Pro" w:hAnsi="Adobe Garamond Pro" w:cs="Times New Roman"/>
          <w:sz w:val="20"/>
          <w:szCs w:val="20"/>
        </w:rPr>
        <w:tab/>
      </w:r>
      <w:r w:rsidRPr="00F87476">
        <w:rPr>
          <w:rFonts w:ascii="Adobe Garamond Pro" w:hAnsi="Adobe Garamond Pro" w:cs="Times New Roman"/>
          <w:sz w:val="20"/>
          <w:szCs w:val="20"/>
        </w:rPr>
        <w:t>Sa ubjedljivo najmanjim porezima i doprinosima iz bruto plate ističe se Republika Srpska, koja je stope značajno oborila 2006./7.g. i egzaktan je dokaz da se tom mjerom, kao jedinom, ne može napraviti ništa u smislu povećanja zaposlenosti i ekonomske aktivnosti, jer od tada, što je vidljivo iz statističkih izvještaja, zaposlenost u RS-u konstantno pada a nezaposlenost raste.</w:t>
      </w:r>
    </w:p>
    <w:p w:rsidR="00F87476" w:rsidRDefault="00F87476" w:rsidP="00F87476">
      <w:pPr>
        <w:pStyle w:val="ListParagraph"/>
        <w:spacing w:after="0" w:line="240" w:lineRule="auto"/>
        <w:ind w:left="0" w:firstLine="708"/>
        <w:jc w:val="both"/>
        <w:rPr>
          <w:rFonts w:ascii="Adobe Garamond Pro" w:hAnsi="Adobe Garamond Pro" w:cs="Times New Roman"/>
          <w:sz w:val="20"/>
          <w:szCs w:val="20"/>
        </w:rPr>
      </w:pPr>
      <w:r w:rsidRPr="00F87476">
        <w:rPr>
          <w:rFonts w:ascii="Adobe Garamond Pro" w:hAnsi="Adobe Garamond Pro" w:cs="Times New Roman"/>
          <w:sz w:val="20"/>
          <w:szCs w:val="20"/>
        </w:rPr>
        <w:t>Na kraju je bitno iskazati još jedan zaključak, koji se istina u ovom radu ne vidi explicitno, ali je dokazan posredno:</w:t>
      </w:r>
    </w:p>
    <w:p w:rsidR="00F87476" w:rsidRPr="00F87476" w:rsidRDefault="00F87476" w:rsidP="00F87476">
      <w:pPr>
        <w:pStyle w:val="ListParagraph"/>
        <w:spacing w:after="0" w:line="240" w:lineRule="auto"/>
        <w:ind w:left="0" w:firstLine="708"/>
        <w:jc w:val="both"/>
        <w:rPr>
          <w:rFonts w:ascii="Adobe Garamond Pro" w:hAnsi="Adobe Garamond Pro" w:cs="Times New Roman"/>
          <w:sz w:val="20"/>
          <w:szCs w:val="20"/>
        </w:rPr>
      </w:pPr>
    </w:p>
    <w:p w:rsidR="00F87476" w:rsidRPr="00F87476" w:rsidRDefault="00F87476" w:rsidP="00616109">
      <w:pPr>
        <w:pStyle w:val="ListParagraph"/>
        <w:numPr>
          <w:ilvl w:val="0"/>
          <w:numId w:val="19"/>
        </w:numPr>
        <w:spacing w:after="0" w:line="240" w:lineRule="auto"/>
        <w:jc w:val="both"/>
        <w:rPr>
          <w:rFonts w:ascii="Adobe Garamond Pro" w:hAnsi="Adobe Garamond Pro" w:cs="Times New Roman"/>
          <w:sz w:val="20"/>
          <w:szCs w:val="20"/>
        </w:rPr>
      </w:pPr>
      <w:r w:rsidRPr="00F87476">
        <w:rPr>
          <w:rFonts w:ascii="Adobe Garamond Pro" w:hAnsi="Adobe Garamond Pro" w:cs="Times New Roman"/>
          <w:sz w:val="20"/>
          <w:szCs w:val="20"/>
        </w:rPr>
        <w:t xml:space="preserve">Za ekonomsku i društvenu stabilnost je od iznimne važnosti da je sa mjerama povećanja ili smanjenja poreza i doprinosa ne ide bez „čvrste“ analitičke podloge, te da one ne budu česte i drastične. </w:t>
      </w:r>
    </w:p>
    <w:p w:rsidR="00F87476" w:rsidRPr="00F87476" w:rsidRDefault="00F87476" w:rsidP="00F87476">
      <w:pPr>
        <w:pStyle w:val="ListParagraph"/>
        <w:spacing w:after="0" w:line="240" w:lineRule="auto"/>
        <w:jc w:val="both"/>
        <w:rPr>
          <w:rFonts w:ascii="Adobe Garamond Pro" w:hAnsi="Adobe Garamond Pro" w:cs="Times New Roman"/>
          <w:b/>
          <w:sz w:val="20"/>
          <w:szCs w:val="20"/>
        </w:rPr>
      </w:pPr>
    </w:p>
    <w:p w:rsidR="00F87476" w:rsidRPr="00F87476" w:rsidRDefault="00F87476" w:rsidP="00F87476">
      <w:pPr>
        <w:pStyle w:val="ListParagraph"/>
        <w:spacing w:after="0" w:line="240" w:lineRule="auto"/>
        <w:ind w:left="0"/>
        <w:jc w:val="both"/>
        <w:rPr>
          <w:rFonts w:ascii="Adobe Garamond Pro" w:hAnsi="Adobe Garamond Pro" w:cs="Times New Roman"/>
          <w:sz w:val="20"/>
          <w:szCs w:val="20"/>
        </w:rPr>
      </w:pPr>
      <w:r w:rsidRPr="00F87476">
        <w:rPr>
          <w:rFonts w:ascii="Adobe Garamond Pro" w:hAnsi="Adobe Garamond Pro" w:cs="Times New Roman"/>
          <w:sz w:val="20"/>
          <w:szCs w:val="20"/>
        </w:rPr>
        <w:t>Identificirati prave i ključne uzročnike nedovoljne ekonomske aktivnosti u Bosni i Hercegovini, te posljedično tome visoku stopu nezaposlenosti i nizak nivo BDP/per capita, zahtjeva veći i kompleksniji naučno istraživački rad, pa ćemo ovdje samo postaviti nekoliko pitanja:</w:t>
      </w:r>
    </w:p>
    <w:p w:rsidR="00F87476" w:rsidRPr="00F87476" w:rsidRDefault="00F87476" w:rsidP="00616109">
      <w:pPr>
        <w:pStyle w:val="ListParagraph"/>
        <w:numPr>
          <w:ilvl w:val="0"/>
          <w:numId w:val="6"/>
        </w:numPr>
        <w:spacing w:after="0" w:line="240" w:lineRule="auto"/>
        <w:ind w:left="360"/>
        <w:jc w:val="both"/>
        <w:rPr>
          <w:rFonts w:ascii="Adobe Garamond Pro" w:hAnsi="Adobe Garamond Pro" w:cs="Times New Roman"/>
          <w:sz w:val="20"/>
          <w:szCs w:val="20"/>
        </w:rPr>
      </w:pPr>
      <w:r w:rsidRPr="00F87476">
        <w:rPr>
          <w:rFonts w:ascii="Adobe Garamond Pro" w:hAnsi="Adobe Garamond Pro" w:cs="Times New Roman"/>
          <w:sz w:val="20"/>
          <w:szCs w:val="20"/>
        </w:rPr>
        <w:t>Je li Bosna i Hercegovina 1996.g. izišla iz rata sa nekoliko stotina milijardi $ direktne materijalne štete?</w:t>
      </w:r>
    </w:p>
    <w:p w:rsidR="00F87476" w:rsidRPr="00F87476" w:rsidRDefault="00F87476" w:rsidP="00616109">
      <w:pPr>
        <w:pStyle w:val="ListParagraph"/>
        <w:numPr>
          <w:ilvl w:val="0"/>
          <w:numId w:val="6"/>
        </w:numPr>
        <w:spacing w:after="0" w:line="240" w:lineRule="auto"/>
        <w:ind w:left="360"/>
        <w:jc w:val="both"/>
        <w:rPr>
          <w:rFonts w:ascii="Adobe Garamond Pro" w:hAnsi="Adobe Garamond Pro" w:cs="Times New Roman"/>
          <w:sz w:val="20"/>
          <w:szCs w:val="20"/>
        </w:rPr>
      </w:pPr>
      <w:r w:rsidRPr="00F87476">
        <w:rPr>
          <w:rFonts w:ascii="Adobe Garamond Pro" w:hAnsi="Adobe Garamond Pro" w:cs="Times New Roman"/>
          <w:sz w:val="20"/>
          <w:szCs w:val="20"/>
        </w:rPr>
        <w:t>Je li bosanskohercegovačka privreda izgubila 4 godine u tehnološkom razvoju?</w:t>
      </w:r>
    </w:p>
    <w:p w:rsidR="00F87476" w:rsidRPr="00F87476" w:rsidRDefault="00F87476" w:rsidP="00616109">
      <w:pPr>
        <w:pStyle w:val="ListParagraph"/>
        <w:numPr>
          <w:ilvl w:val="0"/>
          <w:numId w:val="6"/>
        </w:numPr>
        <w:spacing w:after="0" w:line="240" w:lineRule="auto"/>
        <w:ind w:left="360"/>
        <w:jc w:val="both"/>
        <w:rPr>
          <w:rFonts w:ascii="Adobe Garamond Pro" w:hAnsi="Adobe Garamond Pro" w:cs="Times New Roman"/>
          <w:sz w:val="20"/>
          <w:szCs w:val="20"/>
        </w:rPr>
      </w:pPr>
      <w:r w:rsidRPr="00F87476">
        <w:rPr>
          <w:rFonts w:ascii="Adobe Garamond Pro" w:hAnsi="Adobe Garamond Pro" w:cs="Times New Roman"/>
          <w:sz w:val="20"/>
          <w:szCs w:val="20"/>
        </w:rPr>
        <w:t>Je li bosanskohercegovačka privreda, uz prethodno, 1996.g. imala socijalističku strurkturu?</w:t>
      </w:r>
    </w:p>
    <w:p w:rsidR="00F87476" w:rsidRPr="00F87476" w:rsidRDefault="00F87476" w:rsidP="00616109">
      <w:pPr>
        <w:pStyle w:val="ListParagraph"/>
        <w:numPr>
          <w:ilvl w:val="0"/>
          <w:numId w:val="6"/>
        </w:numPr>
        <w:spacing w:after="0" w:line="240" w:lineRule="auto"/>
        <w:ind w:left="360"/>
        <w:jc w:val="both"/>
        <w:rPr>
          <w:rFonts w:ascii="Adobe Garamond Pro" w:hAnsi="Adobe Garamond Pro" w:cs="Times New Roman"/>
          <w:sz w:val="20"/>
          <w:szCs w:val="20"/>
        </w:rPr>
      </w:pPr>
      <w:r w:rsidRPr="00F87476">
        <w:rPr>
          <w:rFonts w:ascii="Adobe Garamond Pro" w:hAnsi="Adobe Garamond Pro" w:cs="Times New Roman"/>
          <w:sz w:val="20"/>
          <w:szCs w:val="20"/>
        </w:rPr>
        <w:t>Jesu li u Bosni i Hercegovini do 1998.g. u platnom prometu, regularno funkcionirale valute susjednih država?</w:t>
      </w:r>
    </w:p>
    <w:p w:rsidR="00F87476" w:rsidRPr="00F87476" w:rsidRDefault="00F87476" w:rsidP="00616109">
      <w:pPr>
        <w:pStyle w:val="ListParagraph"/>
        <w:numPr>
          <w:ilvl w:val="0"/>
          <w:numId w:val="6"/>
        </w:numPr>
        <w:spacing w:after="0" w:line="240" w:lineRule="auto"/>
        <w:ind w:left="360"/>
        <w:jc w:val="both"/>
        <w:rPr>
          <w:rFonts w:ascii="Adobe Garamond Pro" w:hAnsi="Adobe Garamond Pro" w:cs="Times New Roman"/>
          <w:sz w:val="20"/>
          <w:szCs w:val="20"/>
        </w:rPr>
      </w:pPr>
      <w:r w:rsidRPr="00F87476">
        <w:rPr>
          <w:rFonts w:ascii="Adobe Garamond Pro" w:hAnsi="Adobe Garamond Pro" w:cs="Times New Roman"/>
          <w:sz w:val="20"/>
          <w:szCs w:val="20"/>
        </w:rPr>
        <w:t>Je su li u Bosni i Hercegovini i ustavno instalirana dva privredna sistema, koja izgrađuju dva poluodvojena tržišta?</w:t>
      </w:r>
    </w:p>
    <w:p w:rsidR="00F87476" w:rsidRDefault="00F87476" w:rsidP="00616109">
      <w:pPr>
        <w:pStyle w:val="ListParagraph"/>
        <w:numPr>
          <w:ilvl w:val="0"/>
          <w:numId w:val="6"/>
        </w:numPr>
        <w:spacing w:after="0" w:line="240" w:lineRule="auto"/>
        <w:ind w:left="420"/>
        <w:jc w:val="both"/>
        <w:rPr>
          <w:rFonts w:ascii="Adobe Garamond Pro" w:hAnsi="Adobe Garamond Pro"/>
          <w:sz w:val="20"/>
          <w:szCs w:val="20"/>
        </w:rPr>
      </w:pPr>
      <w:r w:rsidRPr="00F87476">
        <w:rPr>
          <w:rFonts w:ascii="Adobe Garamond Pro" w:hAnsi="Adobe Garamond Pro" w:cs="Times New Roman"/>
          <w:sz w:val="20"/>
          <w:szCs w:val="20"/>
        </w:rPr>
        <w:t>Da li ustavni ustroj Bosne i Hercegovine, prirodno, proizvodi previše administrativnih barijera i dodatnih nepotrebnih troškova realnom sektoru?</w:t>
      </w:r>
      <w:r w:rsidRPr="00F87476">
        <w:rPr>
          <w:rFonts w:ascii="Adobe Garamond Pro" w:hAnsi="Adobe Garamond Pro"/>
          <w:sz w:val="20"/>
          <w:szCs w:val="20"/>
        </w:rPr>
        <w:t xml:space="preserve"> </w:t>
      </w:r>
    </w:p>
    <w:p w:rsidR="00F87476" w:rsidRPr="00F87476" w:rsidRDefault="00F87476" w:rsidP="00F87476">
      <w:pPr>
        <w:pStyle w:val="ListParagraph"/>
        <w:spacing w:after="0" w:line="240" w:lineRule="auto"/>
        <w:ind w:left="420"/>
        <w:jc w:val="both"/>
        <w:rPr>
          <w:rFonts w:ascii="Adobe Garamond Pro" w:hAnsi="Adobe Garamond Pro"/>
          <w:sz w:val="20"/>
          <w:szCs w:val="20"/>
        </w:rPr>
      </w:pPr>
    </w:p>
    <w:p w:rsidR="00F87476" w:rsidRPr="00F87476" w:rsidRDefault="00F87476" w:rsidP="00F87476">
      <w:pPr>
        <w:spacing w:after="0" w:line="240" w:lineRule="auto"/>
        <w:jc w:val="both"/>
        <w:rPr>
          <w:rFonts w:ascii="Adobe Garamond Pro" w:hAnsi="Adobe Garamond Pro" w:cs="Times New Roman"/>
          <w:b/>
        </w:rPr>
      </w:pPr>
      <w:r w:rsidRPr="00F87476">
        <w:rPr>
          <w:rFonts w:ascii="Adobe Garamond Pro" w:hAnsi="Adobe Garamond Pro" w:cs="Times New Roman"/>
          <w:b/>
        </w:rPr>
        <w:t>LITERATURA</w:t>
      </w:r>
    </w:p>
    <w:p w:rsidR="00F87476" w:rsidRPr="00F87476" w:rsidRDefault="00F87476" w:rsidP="00F87476">
      <w:pPr>
        <w:pStyle w:val="ListParagraph"/>
        <w:spacing w:after="0" w:line="240" w:lineRule="auto"/>
        <w:ind w:left="420"/>
        <w:jc w:val="both"/>
        <w:rPr>
          <w:rFonts w:ascii="Adobe Garamond Pro" w:hAnsi="Adobe Garamond Pro" w:cs="Times New Roman"/>
          <w:b/>
          <w:sz w:val="20"/>
          <w:szCs w:val="20"/>
        </w:rPr>
      </w:pPr>
    </w:p>
    <w:p w:rsidR="00F87476" w:rsidRPr="00F87476" w:rsidRDefault="00F87476" w:rsidP="00616109">
      <w:pPr>
        <w:pStyle w:val="ListParagraph"/>
        <w:numPr>
          <w:ilvl w:val="0"/>
          <w:numId w:val="4"/>
        </w:numPr>
        <w:spacing w:after="0" w:line="240" w:lineRule="auto"/>
        <w:ind w:left="284" w:hanging="284"/>
        <w:jc w:val="both"/>
        <w:rPr>
          <w:rFonts w:ascii="Adobe Garamond Pro" w:hAnsi="Adobe Garamond Pro" w:cs="Times New Roman"/>
          <w:sz w:val="20"/>
          <w:szCs w:val="20"/>
        </w:rPr>
      </w:pPr>
      <w:r w:rsidRPr="00F87476">
        <w:rPr>
          <w:rFonts w:ascii="Adobe Garamond Pro" w:hAnsi="Adobe Garamond Pro" w:cs="Times New Roman"/>
          <w:sz w:val="20"/>
          <w:szCs w:val="20"/>
        </w:rPr>
        <w:t>Krnjić Z.: “ Ekonomski efekti integracije penzijskih sistema u Bosni i Hercegovini “- magistarski rad, Juli 2013. g.,</w:t>
      </w:r>
    </w:p>
    <w:p w:rsidR="00F87476" w:rsidRPr="00F87476" w:rsidRDefault="00F87476" w:rsidP="00616109">
      <w:pPr>
        <w:pStyle w:val="ListParagraph"/>
        <w:numPr>
          <w:ilvl w:val="0"/>
          <w:numId w:val="4"/>
        </w:numPr>
        <w:spacing w:after="0" w:line="240" w:lineRule="auto"/>
        <w:ind w:left="284" w:hanging="284"/>
        <w:jc w:val="both"/>
        <w:rPr>
          <w:rFonts w:ascii="Adobe Garamond Pro" w:hAnsi="Adobe Garamond Pro" w:cs="Times New Roman"/>
          <w:sz w:val="20"/>
          <w:szCs w:val="20"/>
        </w:rPr>
      </w:pPr>
      <w:r w:rsidRPr="00F87476">
        <w:rPr>
          <w:rFonts w:ascii="Adobe Garamond Pro" w:hAnsi="Adobe Garamond Pro" w:cs="Times New Roman"/>
          <w:sz w:val="20"/>
          <w:szCs w:val="20"/>
        </w:rPr>
        <w:t>Krnjić Z.: “ Mogući efekti smanjenja stope doprinosa na plate na povećanje zaposlenosti u F BiH “- Stručni seminar „FINCONSULT“ Tuzla; Vlašić, April 2013. g.</w:t>
      </w:r>
    </w:p>
    <w:p w:rsidR="00F87476" w:rsidRPr="00F87476" w:rsidRDefault="00F87476" w:rsidP="00616109">
      <w:pPr>
        <w:pStyle w:val="ListParagraph"/>
        <w:numPr>
          <w:ilvl w:val="0"/>
          <w:numId w:val="4"/>
        </w:numPr>
        <w:spacing w:after="0" w:line="240" w:lineRule="auto"/>
        <w:ind w:left="284" w:hanging="284"/>
        <w:jc w:val="both"/>
        <w:rPr>
          <w:rFonts w:ascii="Adobe Garamond Pro" w:hAnsi="Adobe Garamond Pro" w:cs="Times New Roman"/>
          <w:sz w:val="20"/>
          <w:szCs w:val="20"/>
        </w:rPr>
      </w:pPr>
      <w:r w:rsidRPr="00F87476">
        <w:rPr>
          <w:rFonts w:ascii="Adobe Garamond Pro" w:hAnsi="Adobe Garamond Pro" w:cs="Times New Roman"/>
          <w:sz w:val="20"/>
          <w:szCs w:val="20"/>
        </w:rPr>
        <w:t>Krnjić Z.: “ Ekonomski parametri penzijskih sistema u Bosni i Hercegovini “- Stručni seminar „FEB“ Sarajevo; Neum, Septembar 2013.g.</w:t>
      </w:r>
    </w:p>
    <w:p w:rsidR="00F87476" w:rsidRPr="00F87476" w:rsidRDefault="00F87476" w:rsidP="00F87476">
      <w:pPr>
        <w:pStyle w:val="ListParagraph"/>
        <w:spacing w:after="0" w:line="240" w:lineRule="auto"/>
        <w:ind w:left="284" w:hanging="284"/>
        <w:jc w:val="both"/>
        <w:rPr>
          <w:rFonts w:ascii="Adobe Garamond Pro" w:hAnsi="Adobe Garamond Pro" w:cs="Times New Roman"/>
          <w:b/>
          <w:sz w:val="20"/>
          <w:szCs w:val="20"/>
        </w:rPr>
      </w:pPr>
    </w:p>
    <w:p w:rsidR="00F87476" w:rsidRPr="00F87476" w:rsidRDefault="00F87476" w:rsidP="00F87476">
      <w:pPr>
        <w:spacing w:after="0" w:line="240" w:lineRule="auto"/>
        <w:ind w:left="284" w:hanging="284"/>
        <w:jc w:val="both"/>
        <w:rPr>
          <w:rFonts w:ascii="Adobe Garamond Pro" w:hAnsi="Adobe Garamond Pro" w:cs="Times New Roman"/>
          <w:b/>
        </w:rPr>
      </w:pPr>
      <w:r>
        <w:rPr>
          <w:rFonts w:ascii="Adobe Garamond Pro" w:hAnsi="Adobe Garamond Pro" w:cs="Times New Roman"/>
          <w:b/>
        </w:rPr>
        <w:lastRenderedPageBreak/>
        <w:t>Internet stranice</w:t>
      </w:r>
    </w:p>
    <w:p w:rsidR="00F87476" w:rsidRPr="00F87476" w:rsidRDefault="00F87476" w:rsidP="00F87476">
      <w:pPr>
        <w:pStyle w:val="ListParagraph"/>
        <w:spacing w:after="0" w:line="240" w:lineRule="auto"/>
        <w:ind w:left="284" w:hanging="284"/>
        <w:jc w:val="both"/>
        <w:rPr>
          <w:rFonts w:ascii="Adobe Garamond Pro" w:hAnsi="Adobe Garamond Pro" w:cs="Times New Roman"/>
          <w:sz w:val="20"/>
          <w:szCs w:val="20"/>
        </w:rPr>
      </w:pPr>
    </w:p>
    <w:p w:rsidR="00F87476" w:rsidRPr="00F87476" w:rsidRDefault="009A5A6C" w:rsidP="00616109">
      <w:pPr>
        <w:pStyle w:val="ListParagraph"/>
        <w:numPr>
          <w:ilvl w:val="0"/>
          <w:numId w:val="5"/>
        </w:numPr>
        <w:spacing w:after="0" w:line="240" w:lineRule="auto"/>
        <w:ind w:left="284" w:hanging="284"/>
        <w:jc w:val="both"/>
        <w:rPr>
          <w:rFonts w:ascii="Adobe Garamond Pro" w:hAnsi="Adobe Garamond Pro" w:cs="Times New Roman"/>
          <w:sz w:val="20"/>
          <w:szCs w:val="20"/>
        </w:rPr>
      </w:pPr>
      <w:hyperlink r:id="rId10" w:history="1">
        <w:r w:rsidR="00F87476" w:rsidRPr="00F87476">
          <w:rPr>
            <w:rStyle w:val="Hyperlink"/>
            <w:rFonts w:ascii="Adobe Garamond Pro" w:hAnsi="Adobe Garamond Pro" w:cs="Times New Roman"/>
            <w:color w:val="auto"/>
            <w:sz w:val="20"/>
            <w:szCs w:val="20"/>
            <w:u w:val="none"/>
          </w:rPr>
          <w:t>www.fzmiopio.ba</w:t>
        </w:r>
      </w:hyperlink>
      <w:r w:rsidR="00F87476" w:rsidRPr="00F87476">
        <w:rPr>
          <w:rFonts w:ascii="Adobe Garamond Pro" w:hAnsi="Adobe Garamond Pro" w:cs="Times New Roman"/>
          <w:sz w:val="20"/>
          <w:szCs w:val="20"/>
        </w:rPr>
        <w:t>,</w:t>
      </w:r>
    </w:p>
    <w:p w:rsidR="00F87476" w:rsidRPr="00F87476" w:rsidRDefault="009A5A6C" w:rsidP="00616109">
      <w:pPr>
        <w:pStyle w:val="ListParagraph"/>
        <w:numPr>
          <w:ilvl w:val="0"/>
          <w:numId w:val="5"/>
        </w:numPr>
        <w:spacing w:after="0" w:line="240" w:lineRule="auto"/>
        <w:ind w:left="284" w:hanging="284"/>
        <w:jc w:val="both"/>
        <w:rPr>
          <w:rFonts w:ascii="Adobe Garamond Pro" w:hAnsi="Adobe Garamond Pro" w:cs="Times New Roman"/>
          <w:sz w:val="20"/>
          <w:szCs w:val="20"/>
        </w:rPr>
      </w:pPr>
      <w:hyperlink r:id="rId11" w:history="1">
        <w:r w:rsidR="00F87476" w:rsidRPr="00F87476">
          <w:rPr>
            <w:rStyle w:val="Hyperlink"/>
            <w:rFonts w:ascii="Adobe Garamond Pro" w:hAnsi="Adobe Garamond Pro" w:cs="Times New Roman"/>
            <w:color w:val="auto"/>
            <w:sz w:val="20"/>
            <w:szCs w:val="20"/>
            <w:u w:val="none"/>
          </w:rPr>
          <w:t>www.fondpiors.org</w:t>
        </w:r>
      </w:hyperlink>
      <w:r w:rsidR="00F87476" w:rsidRPr="00F87476">
        <w:rPr>
          <w:rFonts w:ascii="Adobe Garamond Pro" w:hAnsi="Adobe Garamond Pro" w:cs="Times New Roman"/>
          <w:sz w:val="20"/>
          <w:szCs w:val="20"/>
        </w:rPr>
        <w:t>,</w:t>
      </w:r>
    </w:p>
    <w:p w:rsidR="00F87476" w:rsidRPr="00F87476" w:rsidRDefault="009A5A6C" w:rsidP="00616109">
      <w:pPr>
        <w:pStyle w:val="ListParagraph"/>
        <w:numPr>
          <w:ilvl w:val="0"/>
          <w:numId w:val="5"/>
        </w:numPr>
        <w:spacing w:after="0" w:line="240" w:lineRule="auto"/>
        <w:ind w:left="284" w:hanging="284"/>
        <w:jc w:val="both"/>
        <w:rPr>
          <w:rFonts w:ascii="Adobe Garamond Pro" w:hAnsi="Adobe Garamond Pro" w:cs="Times New Roman"/>
          <w:sz w:val="20"/>
          <w:szCs w:val="20"/>
        </w:rPr>
      </w:pPr>
      <w:hyperlink r:id="rId12" w:history="1">
        <w:r w:rsidR="00F87476" w:rsidRPr="00F87476">
          <w:rPr>
            <w:rStyle w:val="Hyperlink"/>
            <w:rFonts w:ascii="Adobe Garamond Pro" w:hAnsi="Adobe Garamond Pro" w:cs="Times New Roman"/>
            <w:color w:val="auto"/>
            <w:sz w:val="20"/>
            <w:szCs w:val="20"/>
            <w:u w:val="none"/>
          </w:rPr>
          <w:t>www.pio.rs.rs</w:t>
        </w:r>
      </w:hyperlink>
      <w:r w:rsidR="00F87476" w:rsidRPr="00F87476">
        <w:rPr>
          <w:rFonts w:ascii="Adobe Garamond Pro" w:hAnsi="Adobe Garamond Pro" w:cs="Times New Roman"/>
          <w:sz w:val="20"/>
          <w:szCs w:val="20"/>
        </w:rPr>
        <w:t>,</w:t>
      </w:r>
    </w:p>
    <w:p w:rsidR="00F87476" w:rsidRPr="00F87476" w:rsidRDefault="009A5A6C" w:rsidP="00616109">
      <w:pPr>
        <w:pStyle w:val="ListParagraph"/>
        <w:numPr>
          <w:ilvl w:val="0"/>
          <w:numId w:val="5"/>
        </w:numPr>
        <w:spacing w:after="0" w:line="240" w:lineRule="auto"/>
        <w:ind w:left="284" w:hanging="284"/>
        <w:jc w:val="both"/>
        <w:rPr>
          <w:rFonts w:ascii="Adobe Garamond Pro" w:hAnsi="Adobe Garamond Pro" w:cs="Times New Roman"/>
          <w:sz w:val="20"/>
          <w:szCs w:val="20"/>
        </w:rPr>
      </w:pPr>
      <w:hyperlink r:id="rId13" w:history="1">
        <w:r w:rsidR="00F87476" w:rsidRPr="00F87476">
          <w:rPr>
            <w:rStyle w:val="Hyperlink"/>
            <w:rFonts w:ascii="Adobe Garamond Pro" w:hAnsi="Adobe Garamond Pro" w:cs="Times New Roman"/>
            <w:color w:val="auto"/>
            <w:sz w:val="20"/>
            <w:szCs w:val="20"/>
            <w:u w:val="none"/>
          </w:rPr>
          <w:t>www.mirovinsko.hr</w:t>
        </w:r>
      </w:hyperlink>
      <w:r w:rsidR="00F87476" w:rsidRPr="00F87476">
        <w:rPr>
          <w:rFonts w:ascii="Adobe Garamond Pro" w:hAnsi="Adobe Garamond Pro" w:cs="Times New Roman"/>
          <w:sz w:val="20"/>
          <w:szCs w:val="20"/>
        </w:rPr>
        <w:t>,</w:t>
      </w:r>
    </w:p>
    <w:p w:rsidR="00F87476" w:rsidRPr="00F87476" w:rsidRDefault="009A5A6C" w:rsidP="00616109">
      <w:pPr>
        <w:pStyle w:val="ListParagraph"/>
        <w:numPr>
          <w:ilvl w:val="0"/>
          <w:numId w:val="5"/>
        </w:numPr>
        <w:spacing w:after="0" w:line="240" w:lineRule="auto"/>
        <w:ind w:left="284" w:hanging="284"/>
        <w:jc w:val="both"/>
        <w:rPr>
          <w:rFonts w:ascii="Adobe Garamond Pro" w:hAnsi="Adobe Garamond Pro" w:cs="Times New Roman"/>
          <w:sz w:val="20"/>
          <w:szCs w:val="20"/>
        </w:rPr>
      </w:pPr>
      <w:hyperlink r:id="rId14" w:history="1">
        <w:r w:rsidR="00F87476" w:rsidRPr="00F87476">
          <w:rPr>
            <w:rStyle w:val="Hyperlink"/>
            <w:rFonts w:ascii="Adobe Garamond Pro" w:hAnsi="Adobe Garamond Pro" w:cs="Times New Roman"/>
            <w:color w:val="auto"/>
            <w:sz w:val="20"/>
            <w:szCs w:val="20"/>
            <w:u w:val="none"/>
          </w:rPr>
          <w:t>www.deutsche-rentenversicherung.de</w:t>
        </w:r>
      </w:hyperlink>
      <w:r w:rsidR="00F87476" w:rsidRPr="00F87476">
        <w:rPr>
          <w:rFonts w:ascii="Adobe Garamond Pro" w:hAnsi="Adobe Garamond Pro" w:cs="Times New Roman"/>
          <w:sz w:val="20"/>
          <w:szCs w:val="20"/>
        </w:rPr>
        <w:t>,</w:t>
      </w:r>
    </w:p>
    <w:p w:rsidR="00F87476" w:rsidRPr="00F87476" w:rsidRDefault="009A5A6C" w:rsidP="00616109">
      <w:pPr>
        <w:pStyle w:val="ListParagraph"/>
        <w:numPr>
          <w:ilvl w:val="0"/>
          <w:numId w:val="5"/>
        </w:numPr>
        <w:spacing w:after="0" w:line="240" w:lineRule="auto"/>
        <w:ind w:left="284" w:hanging="284"/>
        <w:jc w:val="both"/>
        <w:rPr>
          <w:rFonts w:ascii="Adobe Garamond Pro" w:hAnsi="Adobe Garamond Pro" w:cs="Times New Roman"/>
          <w:sz w:val="20"/>
          <w:szCs w:val="20"/>
        </w:rPr>
      </w:pPr>
      <w:hyperlink r:id="rId15" w:history="1">
        <w:r w:rsidR="00F87476" w:rsidRPr="00F87476">
          <w:rPr>
            <w:rStyle w:val="Hyperlink"/>
            <w:rFonts w:ascii="Adobe Garamond Pro" w:hAnsi="Adobe Garamond Pro" w:cs="Times New Roman"/>
            <w:color w:val="auto"/>
            <w:sz w:val="20"/>
            <w:szCs w:val="20"/>
            <w:u w:val="none"/>
          </w:rPr>
          <w:t>www.fondpio.me</w:t>
        </w:r>
      </w:hyperlink>
      <w:r w:rsidR="00F87476" w:rsidRPr="00F87476">
        <w:rPr>
          <w:rFonts w:ascii="Adobe Garamond Pro" w:hAnsi="Adobe Garamond Pro" w:cs="Times New Roman"/>
          <w:sz w:val="20"/>
          <w:szCs w:val="20"/>
        </w:rPr>
        <w:t>,</w:t>
      </w:r>
    </w:p>
    <w:p w:rsidR="00F87476" w:rsidRPr="00F87476" w:rsidRDefault="009A5A6C" w:rsidP="00616109">
      <w:pPr>
        <w:pStyle w:val="ListParagraph"/>
        <w:numPr>
          <w:ilvl w:val="0"/>
          <w:numId w:val="5"/>
        </w:numPr>
        <w:spacing w:after="0" w:line="240" w:lineRule="auto"/>
        <w:ind w:left="284" w:hanging="284"/>
        <w:jc w:val="both"/>
        <w:rPr>
          <w:rFonts w:ascii="Adobe Garamond Pro" w:hAnsi="Adobe Garamond Pro" w:cs="Times New Roman"/>
          <w:sz w:val="20"/>
          <w:szCs w:val="20"/>
        </w:rPr>
      </w:pPr>
      <w:hyperlink r:id="rId16" w:history="1">
        <w:r w:rsidR="00F87476" w:rsidRPr="00F87476">
          <w:rPr>
            <w:rStyle w:val="Hyperlink"/>
            <w:rFonts w:ascii="Adobe Garamond Pro" w:hAnsi="Adobe Garamond Pro" w:cs="Times New Roman"/>
            <w:color w:val="auto"/>
            <w:sz w:val="20"/>
            <w:szCs w:val="20"/>
            <w:u w:val="none"/>
          </w:rPr>
          <w:t>www.zpiz.si</w:t>
        </w:r>
      </w:hyperlink>
      <w:r w:rsidR="00F87476" w:rsidRPr="00F87476">
        <w:rPr>
          <w:rFonts w:ascii="Adobe Garamond Pro" w:hAnsi="Adobe Garamond Pro" w:cs="Times New Roman"/>
          <w:sz w:val="20"/>
          <w:szCs w:val="20"/>
        </w:rPr>
        <w:t>,</w:t>
      </w:r>
    </w:p>
    <w:p w:rsidR="00F87476" w:rsidRPr="00F87476" w:rsidRDefault="009A5A6C" w:rsidP="00616109">
      <w:pPr>
        <w:pStyle w:val="ListParagraph"/>
        <w:numPr>
          <w:ilvl w:val="0"/>
          <w:numId w:val="5"/>
        </w:numPr>
        <w:spacing w:after="0" w:line="240" w:lineRule="auto"/>
        <w:ind w:left="284" w:hanging="284"/>
        <w:jc w:val="both"/>
        <w:rPr>
          <w:rFonts w:ascii="Adobe Garamond Pro" w:hAnsi="Adobe Garamond Pro" w:cs="Times New Roman"/>
          <w:sz w:val="20"/>
          <w:szCs w:val="20"/>
        </w:rPr>
      </w:pPr>
      <w:hyperlink r:id="rId17" w:history="1">
        <w:r w:rsidR="00F87476" w:rsidRPr="00F87476">
          <w:rPr>
            <w:rStyle w:val="Hyperlink"/>
            <w:rFonts w:ascii="Adobe Garamond Pro" w:hAnsi="Adobe Garamond Pro" w:cs="Times New Roman"/>
            <w:color w:val="auto"/>
            <w:sz w:val="20"/>
            <w:szCs w:val="20"/>
            <w:u w:val="none"/>
          </w:rPr>
          <w:t>www.franceretraite.fr</w:t>
        </w:r>
      </w:hyperlink>
    </w:p>
    <w:p w:rsidR="00F87476" w:rsidRPr="00F87476" w:rsidRDefault="00F87476" w:rsidP="00F87476">
      <w:pPr>
        <w:spacing w:after="0" w:line="240" w:lineRule="auto"/>
        <w:rPr>
          <w:rFonts w:ascii="Adobe Garamond Pro" w:hAnsi="Adobe Garamond Pro" w:cs="Times New Roman"/>
          <w:sz w:val="20"/>
          <w:szCs w:val="20"/>
        </w:rPr>
      </w:pPr>
    </w:p>
    <w:p w:rsidR="00F87476" w:rsidRPr="00A32340" w:rsidRDefault="00F87476" w:rsidP="00F87476">
      <w:pPr>
        <w:tabs>
          <w:tab w:val="left" w:pos="983"/>
        </w:tabs>
        <w:spacing w:after="0" w:line="240" w:lineRule="auto"/>
        <w:rPr>
          <w:rFonts w:ascii="Adobe Garamond Pro" w:hAnsi="Adobe Garamond Pro" w:cs="Times New Roman"/>
          <w:sz w:val="20"/>
          <w:szCs w:val="20"/>
          <w:lang w:val="bs-Latn-BA"/>
        </w:rPr>
      </w:pPr>
    </w:p>
    <w:sectPr w:rsidR="00F87476" w:rsidRPr="00A32340" w:rsidSect="004C18D3">
      <w:headerReference w:type="even" r:id="rId18"/>
      <w:headerReference w:type="default" r:id="rId19"/>
      <w:footerReference w:type="even" r:id="rId20"/>
      <w:footerReference w:type="default" r:id="rId21"/>
      <w:headerReference w:type="first" r:id="rId22"/>
      <w:footerReference w:type="first" r:id="rId23"/>
      <w:type w:val="continuous"/>
      <w:pgSz w:w="10319" w:h="14578" w:code="138"/>
      <w:pgMar w:top="-1843" w:right="1389" w:bottom="1985" w:left="1701" w:header="1134" w:footer="1418" w:gutter="0"/>
      <w:pgNumType w:start="6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1BF" w:rsidRDefault="002611BF" w:rsidP="000C691C">
      <w:pPr>
        <w:spacing w:after="0" w:line="240" w:lineRule="auto"/>
      </w:pPr>
      <w:r>
        <w:separator/>
      </w:r>
    </w:p>
  </w:endnote>
  <w:endnote w:type="continuationSeparator" w:id="1">
    <w:p w:rsidR="002611BF" w:rsidRDefault="002611BF"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UAlbertina">
    <w:altName w:val="MS Mincho"/>
    <w:panose1 w:val="00000000000000000000"/>
    <w:charset w:val="80"/>
    <w:family w:val="auto"/>
    <w:notTrueType/>
    <w:pitch w:val="default"/>
    <w:sig w:usb0="00000001" w:usb1="08070000" w:usb2="00000010" w:usb3="00000000" w:csb0="00020000"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29" w:rsidRPr="00C608B0" w:rsidRDefault="009A5A6C">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6E2929"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4C18D3">
      <w:rPr>
        <w:rFonts w:ascii="Adobe Garamond Pro" w:hAnsi="Adobe Garamond Pro" w:cs="Times New Roman"/>
        <w:noProof/>
        <w:sz w:val="20"/>
        <w:szCs w:val="20"/>
      </w:rPr>
      <w:t>640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29" w:rsidRPr="00FE57C1" w:rsidRDefault="006E2929">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9A5A6C"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9A5A6C" w:rsidRPr="00FE57C1">
      <w:rPr>
        <w:rFonts w:ascii="Adobe Garamond Pro" w:hAnsi="Adobe Garamond Pro" w:cs="Times New Roman"/>
        <w:sz w:val="20"/>
        <w:szCs w:val="20"/>
      </w:rPr>
      <w:fldChar w:fldCharType="separate"/>
    </w:r>
    <w:r w:rsidR="004C18D3">
      <w:rPr>
        <w:rFonts w:ascii="Adobe Garamond Pro" w:hAnsi="Adobe Garamond Pro" w:cs="Times New Roman"/>
        <w:noProof/>
        <w:sz w:val="20"/>
        <w:szCs w:val="20"/>
      </w:rPr>
      <w:t>639</w:t>
    </w:r>
    <w:r w:rsidR="009A5A6C"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29" w:rsidRPr="00FE57C1" w:rsidRDefault="009A5A6C"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6E2929"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4C18D3">
      <w:rPr>
        <w:rFonts w:ascii="Adobe Garamond Pro" w:hAnsi="Adobe Garamond Pro" w:cs="Times New Roman"/>
        <w:noProof/>
        <w:sz w:val="20"/>
        <w:szCs w:val="20"/>
      </w:rPr>
      <w:t>617</w:t>
    </w:r>
    <w:r w:rsidRPr="00FE57C1">
      <w:rPr>
        <w:rFonts w:ascii="Adobe Garamond Pro" w:hAnsi="Adobe Garamond Pro" w:cs="Times New Roman"/>
        <w:sz w:val="20"/>
        <w:szCs w:val="20"/>
      </w:rPr>
      <w:fldChar w:fldCharType="end"/>
    </w:r>
  </w:p>
  <w:p w:rsidR="006E2929" w:rsidRPr="00C608B0" w:rsidRDefault="006E2929">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1BF" w:rsidRDefault="002611BF" w:rsidP="000C691C">
      <w:pPr>
        <w:spacing w:after="0" w:line="240" w:lineRule="auto"/>
      </w:pPr>
      <w:r>
        <w:separator/>
      </w:r>
    </w:p>
  </w:footnote>
  <w:footnote w:type="continuationSeparator" w:id="1">
    <w:p w:rsidR="002611BF" w:rsidRDefault="002611BF" w:rsidP="000C6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29" w:rsidRPr="00C608B0" w:rsidRDefault="006E2929"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Zijad Krnjić</w:t>
    </w:r>
  </w:p>
  <w:p w:rsidR="006E2929" w:rsidRPr="00406E3A" w:rsidRDefault="006E2929"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6E2929" w:rsidRPr="00714555" w:rsidRDefault="006E2929" w:rsidP="00815E51">
    <w:pPr>
      <w:pStyle w:val="Default"/>
      <w:spacing w:after="0" w:line="240" w:lineRule="auto"/>
      <w:rPr>
        <w:rFonts w:ascii="Adobe Garamond Pro" w:hAnsi="Adobe Garamond Pro"/>
        <w:sz w:val="20"/>
        <w:szCs w:val="20"/>
        <w:lang w:val="en-GB"/>
      </w:rPr>
    </w:pPr>
  </w:p>
  <w:p w:rsidR="006E2929" w:rsidRPr="00714555" w:rsidRDefault="006E2929" w:rsidP="00714555">
    <w:pPr>
      <w:pStyle w:val="NoSpacing"/>
      <w:jc w:val="center"/>
      <w:rPr>
        <w:rFonts w:ascii="Adobe Garamond Pro" w:hAnsi="Adobe Garamond Pro"/>
        <w:b/>
        <w:sz w:val="24"/>
        <w:szCs w:val="24"/>
        <w:lang w:val="bs-Latn-BA"/>
      </w:rPr>
    </w:pPr>
  </w:p>
  <w:p w:rsidR="006E2929" w:rsidRDefault="006E29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29" w:rsidRDefault="006E2929" w:rsidP="006920EC">
    <w:pPr>
      <w:pStyle w:val="Header"/>
      <w:pBdr>
        <w:bottom w:val="single" w:sz="4" w:space="1" w:color="auto"/>
      </w:pBdr>
      <w:jc w:val="right"/>
      <w:rPr>
        <w:rFonts w:ascii="Adobe Garamond Pro" w:hAnsi="Adobe Garamond Pro" w:cs="Times New Roman"/>
        <w:sz w:val="20"/>
        <w:szCs w:val="20"/>
      </w:rPr>
    </w:pPr>
    <w:r w:rsidRPr="006920EC">
      <w:rPr>
        <w:rFonts w:ascii="Adobe Garamond Pro" w:hAnsi="Adobe Garamond Pro" w:cs="Times New Roman"/>
        <w:sz w:val="20"/>
        <w:szCs w:val="20"/>
      </w:rPr>
      <w:t>Konkurentnost bosanskohercegovačke ekonomije sa aspekta opterećenja plata</w:t>
    </w:r>
  </w:p>
  <w:p w:rsidR="006E2929" w:rsidRPr="006920EC" w:rsidRDefault="006E2929" w:rsidP="006920EC">
    <w:pPr>
      <w:pStyle w:val="Header"/>
      <w:pBdr>
        <w:bottom w:val="single" w:sz="4" w:space="1" w:color="auto"/>
      </w:pBdr>
      <w:jc w:val="right"/>
      <w:rPr>
        <w:rFonts w:ascii="Adobe Garamond Pro" w:hAnsi="Adobe Garamond Pro"/>
        <w:sz w:val="20"/>
        <w:szCs w:val="20"/>
      </w:rPr>
    </w:pPr>
    <w:r w:rsidRPr="006920EC">
      <w:rPr>
        <w:rFonts w:ascii="Adobe Garamond Pro" w:hAnsi="Adobe Garamond Pro" w:cs="Times New Roman"/>
        <w:sz w:val="20"/>
        <w:szCs w:val="20"/>
      </w:rPr>
      <w:t xml:space="preserve"> porezima i doprinosima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29" w:rsidRDefault="009A5A6C"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6E2929">
      <w:rPr>
        <w:rFonts w:ascii="Adobe Garamond Pro" w:hAnsi="Adobe Garamond Pro" w:cs="Times New Roman"/>
        <w:b/>
        <w:noProof/>
        <w:sz w:val="20"/>
        <w:szCs w:val="20"/>
        <w:lang w:val="bs-Latn-BA" w:eastAsia="bs-Latn-BA"/>
      </w:rPr>
      <w:t>STRUČNI ČLANAK</w:t>
    </w:r>
  </w:p>
  <w:p w:rsidR="006E2929" w:rsidRPr="006920EC" w:rsidRDefault="006E2929" w:rsidP="006920EC">
    <w:pPr>
      <w:pStyle w:val="Header"/>
      <w:jc w:val="right"/>
      <w:rPr>
        <w:rFonts w:ascii="Adobe Garamond Pro" w:hAnsi="Adobe Garamond Pro"/>
        <w:sz w:val="20"/>
        <w:szCs w:val="20"/>
      </w:rPr>
    </w:pPr>
    <w:r w:rsidRPr="006920EC">
      <w:rPr>
        <w:rFonts w:ascii="Adobe Garamond Pro" w:hAnsi="Adobe Garamond Pro" w:cs="Times New Roman"/>
        <w:sz w:val="20"/>
        <w:szCs w:val="20"/>
      </w:rPr>
      <w:t>UDK 331.2:336.2(497.6)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BF3"/>
    <w:multiLevelType w:val="hybridMultilevel"/>
    <w:tmpl w:val="FBF4430E"/>
    <w:lvl w:ilvl="0" w:tplc="A03486E2">
      <w:start w:val="1"/>
      <w:numFmt w:val="lowerLetter"/>
      <w:lvlText w:val="%1)"/>
      <w:lvlJc w:val="left"/>
      <w:pPr>
        <w:ind w:left="780" w:hanging="360"/>
      </w:pPr>
      <w:rPr>
        <w:rFonts w:hint="default"/>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abstractNum w:abstractNumId="1">
    <w:nsid w:val="04C70509"/>
    <w:multiLevelType w:val="hybridMultilevel"/>
    <w:tmpl w:val="B8064E3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0AF3607"/>
    <w:multiLevelType w:val="hybridMultilevel"/>
    <w:tmpl w:val="E2C8CBCC"/>
    <w:lvl w:ilvl="0" w:tplc="141A000F">
      <w:start w:val="1"/>
      <w:numFmt w:val="decimal"/>
      <w:lvlText w:val="%1."/>
      <w:lvlJc w:val="left"/>
      <w:pPr>
        <w:ind w:left="1140" w:hanging="360"/>
      </w:pPr>
    </w:lvl>
    <w:lvl w:ilvl="1" w:tplc="141A0019" w:tentative="1">
      <w:start w:val="1"/>
      <w:numFmt w:val="lowerLetter"/>
      <w:lvlText w:val="%2."/>
      <w:lvlJc w:val="left"/>
      <w:pPr>
        <w:ind w:left="1860" w:hanging="360"/>
      </w:pPr>
    </w:lvl>
    <w:lvl w:ilvl="2" w:tplc="141A001B" w:tentative="1">
      <w:start w:val="1"/>
      <w:numFmt w:val="lowerRoman"/>
      <w:lvlText w:val="%3."/>
      <w:lvlJc w:val="right"/>
      <w:pPr>
        <w:ind w:left="2580" w:hanging="180"/>
      </w:pPr>
    </w:lvl>
    <w:lvl w:ilvl="3" w:tplc="141A000F" w:tentative="1">
      <w:start w:val="1"/>
      <w:numFmt w:val="decimal"/>
      <w:lvlText w:val="%4."/>
      <w:lvlJc w:val="left"/>
      <w:pPr>
        <w:ind w:left="3300" w:hanging="360"/>
      </w:pPr>
    </w:lvl>
    <w:lvl w:ilvl="4" w:tplc="141A0019" w:tentative="1">
      <w:start w:val="1"/>
      <w:numFmt w:val="lowerLetter"/>
      <w:lvlText w:val="%5."/>
      <w:lvlJc w:val="left"/>
      <w:pPr>
        <w:ind w:left="4020" w:hanging="360"/>
      </w:pPr>
    </w:lvl>
    <w:lvl w:ilvl="5" w:tplc="141A001B" w:tentative="1">
      <w:start w:val="1"/>
      <w:numFmt w:val="lowerRoman"/>
      <w:lvlText w:val="%6."/>
      <w:lvlJc w:val="right"/>
      <w:pPr>
        <w:ind w:left="4740" w:hanging="180"/>
      </w:pPr>
    </w:lvl>
    <w:lvl w:ilvl="6" w:tplc="141A000F" w:tentative="1">
      <w:start w:val="1"/>
      <w:numFmt w:val="decimal"/>
      <w:lvlText w:val="%7."/>
      <w:lvlJc w:val="left"/>
      <w:pPr>
        <w:ind w:left="5460" w:hanging="360"/>
      </w:pPr>
    </w:lvl>
    <w:lvl w:ilvl="7" w:tplc="141A0019" w:tentative="1">
      <w:start w:val="1"/>
      <w:numFmt w:val="lowerLetter"/>
      <w:lvlText w:val="%8."/>
      <w:lvlJc w:val="left"/>
      <w:pPr>
        <w:ind w:left="6180" w:hanging="360"/>
      </w:pPr>
    </w:lvl>
    <w:lvl w:ilvl="8" w:tplc="141A001B" w:tentative="1">
      <w:start w:val="1"/>
      <w:numFmt w:val="lowerRoman"/>
      <w:lvlText w:val="%9."/>
      <w:lvlJc w:val="right"/>
      <w:pPr>
        <w:ind w:left="6900" w:hanging="180"/>
      </w:pPr>
    </w:lvl>
  </w:abstractNum>
  <w:abstractNum w:abstractNumId="3">
    <w:nsid w:val="14FE0D7A"/>
    <w:multiLevelType w:val="hybridMultilevel"/>
    <w:tmpl w:val="71D0A7E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B343EF0"/>
    <w:multiLevelType w:val="hybridMultilevel"/>
    <w:tmpl w:val="8AB0FC0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C0178D8"/>
    <w:multiLevelType w:val="hybridMultilevel"/>
    <w:tmpl w:val="93242E94"/>
    <w:lvl w:ilvl="0" w:tplc="141A0001">
      <w:start w:val="1"/>
      <w:numFmt w:val="bullet"/>
      <w:lvlText w:val=""/>
      <w:lvlJc w:val="left"/>
      <w:pPr>
        <w:ind w:left="720" w:hanging="360"/>
      </w:pPr>
      <w:rPr>
        <w:rFonts w:ascii="Symbol" w:hAnsi="Symbol" w:hint="default"/>
      </w:rPr>
    </w:lvl>
    <w:lvl w:ilvl="1" w:tplc="9BC09AF4">
      <w:numFmt w:val="bullet"/>
      <w:lvlText w:val="-"/>
      <w:lvlJc w:val="left"/>
      <w:pPr>
        <w:ind w:left="1440" w:hanging="360"/>
      </w:pPr>
      <w:rPr>
        <w:rFonts w:ascii="Times New Roman" w:eastAsiaTheme="minorHAnsi"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BED6A54"/>
    <w:multiLevelType w:val="hybridMultilevel"/>
    <w:tmpl w:val="B732B02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354B323B"/>
    <w:multiLevelType w:val="hybridMultilevel"/>
    <w:tmpl w:val="8696B21C"/>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3A632AC9"/>
    <w:multiLevelType w:val="hybridMultilevel"/>
    <w:tmpl w:val="2D3CCB0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3AC01E79"/>
    <w:multiLevelType w:val="hybridMultilevel"/>
    <w:tmpl w:val="5C70B606"/>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nsid w:val="4CEF2229"/>
    <w:multiLevelType w:val="hybridMultilevel"/>
    <w:tmpl w:val="567895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4E973C08"/>
    <w:multiLevelType w:val="hybridMultilevel"/>
    <w:tmpl w:val="9A74F76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5B40703C"/>
    <w:multiLevelType w:val="hybridMultilevel"/>
    <w:tmpl w:val="0F1A9FB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5FA74ED8"/>
    <w:multiLevelType w:val="hybridMultilevel"/>
    <w:tmpl w:val="F6F0EB54"/>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nsid w:val="61C33446"/>
    <w:multiLevelType w:val="hybridMultilevel"/>
    <w:tmpl w:val="4D40151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69A82C27"/>
    <w:multiLevelType w:val="hybridMultilevel"/>
    <w:tmpl w:val="14403FE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74216FCC"/>
    <w:multiLevelType w:val="hybridMultilevel"/>
    <w:tmpl w:val="84C05310"/>
    <w:lvl w:ilvl="0" w:tplc="141A0001">
      <w:start w:val="1"/>
      <w:numFmt w:val="bullet"/>
      <w:lvlText w:val=""/>
      <w:lvlJc w:val="left"/>
      <w:pPr>
        <w:ind w:left="420" w:hanging="360"/>
      </w:pPr>
      <w:rPr>
        <w:rFonts w:ascii="Symbol" w:hAnsi="Symbol" w:hint="default"/>
      </w:rPr>
    </w:lvl>
    <w:lvl w:ilvl="1" w:tplc="141A0003" w:tentative="1">
      <w:start w:val="1"/>
      <w:numFmt w:val="bullet"/>
      <w:lvlText w:val="o"/>
      <w:lvlJc w:val="left"/>
      <w:pPr>
        <w:ind w:left="1140" w:hanging="360"/>
      </w:pPr>
      <w:rPr>
        <w:rFonts w:ascii="Courier New" w:hAnsi="Courier New" w:cs="Courier New" w:hint="default"/>
      </w:rPr>
    </w:lvl>
    <w:lvl w:ilvl="2" w:tplc="141A0005" w:tentative="1">
      <w:start w:val="1"/>
      <w:numFmt w:val="bullet"/>
      <w:lvlText w:val=""/>
      <w:lvlJc w:val="left"/>
      <w:pPr>
        <w:ind w:left="1860" w:hanging="360"/>
      </w:pPr>
      <w:rPr>
        <w:rFonts w:ascii="Wingdings" w:hAnsi="Wingdings" w:hint="default"/>
      </w:rPr>
    </w:lvl>
    <w:lvl w:ilvl="3" w:tplc="141A0001" w:tentative="1">
      <w:start w:val="1"/>
      <w:numFmt w:val="bullet"/>
      <w:lvlText w:val=""/>
      <w:lvlJc w:val="left"/>
      <w:pPr>
        <w:ind w:left="2580" w:hanging="360"/>
      </w:pPr>
      <w:rPr>
        <w:rFonts w:ascii="Symbol" w:hAnsi="Symbol" w:hint="default"/>
      </w:rPr>
    </w:lvl>
    <w:lvl w:ilvl="4" w:tplc="141A0003" w:tentative="1">
      <w:start w:val="1"/>
      <w:numFmt w:val="bullet"/>
      <w:lvlText w:val="o"/>
      <w:lvlJc w:val="left"/>
      <w:pPr>
        <w:ind w:left="3300" w:hanging="360"/>
      </w:pPr>
      <w:rPr>
        <w:rFonts w:ascii="Courier New" w:hAnsi="Courier New" w:cs="Courier New" w:hint="default"/>
      </w:rPr>
    </w:lvl>
    <w:lvl w:ilvl="5" w:tplc="141A0005" w:tentative="1">
      <w:start w:val="1"/>
      <w:numFmt w:val="bullet"/>
      <w:lvlText w:val=""/>
      <w:lvlJc w:val="left"/>
      <w:pPr>
        <w:ind w:left="4020" w:hanging="360"/>
      </w:pPr>
      <w:rPr>
        <w:rFonts w:ascii="Wingdings" w:hAnsi="Wingdings" w:hint="default"/>
      </w:rPr>
    </w:lvl>
    <w:lvl w:ilvl="6" w:tplc="141A0001" w:tentative="1">
      <w:start w:val="1"/>
      <w:numFmt w:val="bullet"/>
      <w:lvlText w:val=""/>
      <w:lvlJc w:val="left"/>
      <w:pPr>
        <w:ind w:left="4740" w:hanging="360"/>
      </w:pPr>
      <w:rPr>
        <w:rFonts w:ascii="Symbol" w:hAnsi="Symbol" w:hint="default"/>
      </w:rPr>
    </w:lvl>
    <w:lvl w:ilvl="7" w:tplc="141A0003" w:tentative="1">
      <w:start w:val="1"/>
      <w:numFmt w:val="bullet"/>
      <w:lvlText w:val="o"/>
      <w:lvlJc w:val="left"/>
      <w:pPr>
        <w:ind w:left="5460" w:hanging="360"/>
      </w:pPr>
      <w:rPr>
        <w:rFonts w:ascii="Courier New" w:hAnsi="Courier New" w:cs="Courier New" w:hint="default"/>
      </w:rPr>
    </w:lvl>
    <w:lvl w:ilvl="8" w:tplc="141A0005" w:tentative="1">
      <w:start w:val="1"/>
      <w:numFmt w:val="bullet"/>
      <w:lvlText w:val=""/>
      <w:lvlJc w:val="left"/>
      <w:pPr>
        <w:ind w:left="6180" w:hanging="360"/>
      </w:pPr>
      <w:rPr>
        <w:rFonts w:ascii="Wingdings" w:hAnsi="Wingdings" w:hint="default"/>
      </w:rPr>
    </w:lvl>
  </w:abstractNum>
  <w:abstractNum w:abstractNumId="17">
    <w:nsid w:val="7614323D"/>
    <w:multiLevelType w:val="hybridMultilevel"/>
    <w:tmpl w:val="F1943BF8"/>
    <w:lvl w:ilvl="0" w:tplc="141A0001">
      <w:start w:val="1"/>
      <w:numFmt w:val="bullet"/>
      <w:lvlText w:val=""/>
      <w:lvlJc w:val="left"/>
      <w:pPr>
        <w:ind w:left="420" w:hanging="360"/>
      </w:pPr>
      <w:rPr>
        <w:rFonts w:ascii="Symbol" w:hAnsi="Symbol" w:hint="default"/>
      </w:rPr>
    </w:lvl>
    <w:lvl w:ilvl="1" w:tplc="141A0003" w:tentative="1">
      <w:start w:val="1"/>
      <w:numFmt w:val="bullet"/>
      <w:lvlText w:val="o"/>
      <w:lvlJc w:val="left"/>
      <w:pPr>
        <w:ind w:left="1140" w:hanging="360"/>
      </w:pPr>
      <w:rPr>
        <w:rFonts w:ascii="Courier New" w:hAnsi="Courier New" w:cs="Courier New" w:hint="default"/>
      </w:rPr>
    </w:lvl>
    <w:lvl w:ilvl="2" w:tplc="141A0005" w:tentative="1">
      <w:start w:val="1"/>
      <w:numFmt w:val="bullet"/>
      <w:lvlText w:val=""/>
      <w:lvlJc w:val="left"/>
      <w:pPr>
        <w:ind w:left="1860" w:hanging="360"/>
      </w:pPr>
      <w:rPr>
        <w:rFonts w:ascii="Wingdings" w:hAnsi="Wingdings" w:hint="default"/>
      </w:rPr>
    </w:lvl>
    <w:lvl w:ilvl="3" w:tplc="141A0001" w:tentative="1">
      <w:start w:val="1"/>
      <w:numFmt w:val="bullet"/>
      <w:lvlText w:val=""/>
      <w:lvlJc w:val="left"/>
      <w:pPr>
        <w:ind w:left="2580" w:hanging="360"/>
      </w:pPr>
      <w:rPr>
        <w:rFonts w:ascii="Symbol" w:hAnsi="Symbol" w:hint="default"/>
      </w:rPr>
    </w:lvl>
    <w:lvl w:ilvl="4" w:tplc="141A0003" w:tentative="1">
      <w:start w:val="1"/>
      <w:numFmt w:val="bullet"/>
      <w:lvlText w:val="o"/>
      <w:lvlJc w:val="left"/>
      <w:pPr>
        <w:ind w:left="3300" w:hanging="360"/>
      </w:pPr>
      <w:rPr>
        <w:rFonts w:ascii="Courier New" w:hAnsi="Courier New" w:cs="Courier New" w:hint="default"/>
      </w:rPr>
    </w:lvl>
    <w:lvl w:ilvl="5" w:tplc="141A0005" w:tentative="1">
      <w:start w:val="1"/>
      <w:numFmt w:val="bullet"/>
      <w:lvlText w:val=""/>
      <w:lvlJc w:val="left"/>
      <w:pPr>
        <w:ind w:left="4020" w:hanging="360"/>
      </w:pPr>
      <w:rPr>
        <w:rFonts w:ascii="Wingdings" w:hAnsi="Wingdings" w:hint="default"/>
      </w:rPr>
    </w:lvl>
    <w:lvl w:ilvl="6" w:tplc="141A0001" w:tentative="1">
      <w:start w:val="1"/>
      <w:numFmt w:val="bullet"/>
      <w:lvlText w:val=""/>
      <w:lvlJc w:val="left"/>
      <w:pPr>
        <w:ind w:left="4740" w:hanging="360"/>
      </w:pPr>
      <w:rPr>
        <w:rFonts w:ascii="Symbol" w:hAnsi="Symbol" w:hint="default"/>
      </w:rPr>
    </w:lvl>
    <w:lvl w:ilvl="7" w:tplc="141A0003" w:tentative="1">
      <w:start w:val="1"/>
      <w:numFmt w:val="bullet"/>
      <w:lvlText w:val="o"/>
      <w:lvlJc w:val="left"/>
      <w:pPr>
        <w:ind w:left="5460" w:hanging="360"/>
      </w:pPr>
      <w:rPr>
        <w:rFonts w:ascii="Courier New" w:hAnsi="Courier New" w:cs="Courier New" w:hint="default"/>
      </w:rPr>
    </w:lvl>
    <w:lvl w:ilvl="8" w:tplc="141A0005" w:tentative="1">
      <w:start w:val="1"/>
      <w:numFmt w:val="bullet"/>
      <w:lvlText w:val=""/>
      <w:lvlJc w:val="left"/>
      <w:pPr>
        <w:ind w:left="6180" w:hanging="360"/>
      </w:pPr>
      <w:rPr>
        <w:rFonts w:ascii="Wingdings" w:hAnsi="Wingdings" w:hint="default"/>
      </w:rPr>
    </w:lvl>
  </w:abstractNum>
  <w:abstractNum w:abstractNumId="18">
    <w:nsid w:val="7E2640CA"/>
    <w:multiLevelType w:val="hybridMultilevel"/>
    <w:tmpl w:val="136C79F0"/>
    <w:lvl w:ilvl="0" w:tplc="07B892EC">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num w:numId="1">
    <w:abstractNumId w:val="1"/>
  </w:num>
  <w:num w:numId="2">
    <w:abstractNumId w:val="10"/>
  </w:num>
  <w:num w:numId="3">
    <w:abstractNumId w:val="11"/>
  </w:num>
  <w:num w:numId="4">
    <w:abstractNumId w:val="2"/>
  </w:num>
  <w:num w:numId="5">
    <w:abstractNumId w:val="18"/>
  </w:num>
  <w:num w:numId="6">
    <w:abstractNumId w:val="0"/>
  </w:num>
  <w:num w:numId="7">
    <w:abstractNumId w:val="5"/>
  </w:num>
  <w:num w:numId="8">
    <w:abstractNumId w:val="9"/>
  </w:num>
  <w:num w:numId="9">
    <w:abstractNumId w:val="7"/>
  </w:num>
  <w:num w:numId="10">
    <w:abstractNumId w:val="4"/>
  </w:num>
  <w:num w:numId="11">
    <w:abstractNumId w:val="3"/>
  </w:num>
  <w:num w:numId="12">
    <w:abstractNumId w:val="17"/>
  </w:num>
  <w:num w:numId="13">
    <w:abstractNumId w:val="8"/>
  </w:num>
  <w:num w:numId="14">
    <w:abstractNumId w:val="14"/>
  </w:num>
  <w:num w:numId="15">
    <w:abstractNumId w:val="12"/>
  </w:num>
  <w:num w:numId="16">
    <w:abstractNumId w:val="13"/>
  </w:num>
  <w:num w:numId="17">
    <w:abstractNumId w:val="16"/>
  </w:num>
  <w:num w:numId="18">
    <w:abstractNumId w:val="15"/>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7698">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393"/>
    <w:rsid w:val="000C0BA7"/>
    <w:rsid w:val="000C691C"/>
    <w:rsid w:val="000D0406"/>
    <w:rsid w:val="000E1571"/>
    <w:rsid w:val="000F0373"/>
    <w:rsid w:val="000F1949"/>
    <w:rsid w:val="0011022A"/>
    <w:rsid w:val="00115821"/>
    <w:rsid w:val="00120375"/>
    <w:rsid w:val="001374C4"/>
    <w:rsid w:val="00144A6F"/>
    <w:rsid w:val="0016554A"/>
    <w:rsid w:val="00170728"/>
    <w:rsid w:val="001959A4"/>
    <w:rsid w:val="001A4B4E"/>
    <w:rsid w:val="001B0A65"/>
    <w:rsid w:val="001C5495"/>
    <w:rsid w:val="001C6DC9"/>
    <w:rsid w:val="001D4039"/>
    <w:rsid w:val="001E1181"/>
    <w:rsid w:val="001F0AD6"/>
    <w:rsid w:val="002002DE"/>
    <w:rsid w:val="00205247"/>
    <w:rsid w:val="0023078B"/>
    <w:rsid w:val="00230AB1"/>
    <w:rsid w:val="002313BE"/>
    <w:rsid w:val="002478E7"/>
    <w:rsid w:val="00260E15"/>
    <w:rsid w:val="002611BF"/>
    <w:rsid w:val="00264C3A"/>
    <w:rsid w:val="00266546"/>
    <w:rsid w:val="002675B4"/>
    <w:rsid w:val="002715B8"/>
    <w:rsid w:val="00295E18"/>
    <w:rsid w:val="002A04A4"/>
    <w:rsid w:val="002A4A58"/>
    <w:rsid w:val="002D2430"/>
    <w:rsid w:val="002D5F3F"/>
    <w:rsid w:val="002D6337"/>
    <w:rsid w:val="00306F6C"/>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B6972"/>
    <w:rsid w:val="004C18D3"/>
    <w:rsid w:val="004C4A36"/>
    <w:rsid w:val="004D6203"/>
    <w:rsid w:val="004E12C9"/>
    <w:rsid w:val="004F170C"/>
    <w:rsid w:val="00530415"/>
    <w:rsid w:val="005346A2"/>
    <w:rsid w:val="00542970"/>
    <w:rsid w:val="00556080"/>
    <w:rsid w:val="00560AF8"/>
    <w:rsid w:val="005706BE"/>
    <w:rsid w:val="00571462"/>
    <w:rsid w:val="0057627F"/>
    <w:rsid w:val="00577491"/>
    <w:rsid w:val="00592DA0"/>
    <w:rsid w:val="005942FC"/>
    <w:rsid w:val="00596A8C"/>
    <w:rsid w:val="005A194E"/>
    <w:rsid w:val="005B3CF2"/>
    <w:rsid w:val="005B43FA"/>
    <w:rsid w:val="005C0F1F"/>
    <w:rsid w:val="005D1EBA"/>
    <w:rsid w:val="005D698D"/>
    <w:rsid w:val="005E23E9"/>
    <w:rsid w:val="00602D3F"/>
    <w:rsid w:val="0060537C"/>
    <w:rsid w:val="00611D01"/>
    <w:rsid w:val="00613D8A"/>
    <w:rsid w:val="00613E74"/>
    <w:rsid w:val="00616109"/>
    <w:rsid w:val="00620829"/>
    <w:rsid w:val="0063245A"/>
    <w:rsid w:val="006510A9"/>
    <w:rsid w:val="006529B1"/>
    <w:rsid w:val="006663D5"/>
    <w:rsid w:val="00676F1F"/>
    <w:rsid w:val="0068169D"/>
    <w:rsid w:val="0068313D"/>
    <w:rsid w:val="006920EC"/>
    <w:rsid w:val="00693D79"/>
    <w:rsid w:val="006969FE"/>
    <w:rsid w:val="00697EAB"/>
    <w:rsid w:val="006A5DB5"/>
    <w:rsid w:val="006B0527"/>
    <w:rsid w:val="006B1CD1"/>
    <w:rsid w:val="006C081B"/>
    <w:rsid w:val="006E1427"/>
    <w:rsid w:val="006E2929"/>
    <w:rsid w:val="006E45FF"/>
    <w:rsid w:val="006E52D9"/>
    <w:rsid w:val="006E622C"/>
    <w:rsid w:val="006F2712"/>
    <w:rsid w:val="00705BAA"/>
    <w:rsid w:val="0071078B"/>
    <w:rsid w:val="00713C82"/>
    <w:rsid w:val="00713CAD"/>
    <w:rsid w:val="00714555"/>
    <w:rsid w:val="007236FD"/>
    <w:rsid w:val="0074603D"/>
    <w:rsid w:val="00747375"/>
    <w:rsid w:val="00780596"/>
    <w:rsid w:val="0079057C"/>
    <w:rsid w:val="007933BA"/>
    <w:rsid w:val="007A561A"/>
    <w:rsid w:val="007B3197"/>
    <w:rsid w:val="007B7B96"/>
    <w:rsid w:val="007C24B3"/>
    <w:rsid w:val="007D053A"/>
    <w:rsid w:val="007D1016"/>
    <w:rsid w:val="007D6BA9"/>
    <w:rsid w:val="007E3554"/>
    <w:rsid w:val="007E4538"/>
    <w:rsid w:val="0080798D"/>
    <w:rsid w:val="0081074D"/>
    <w:rsid w:val="00815E51"/>
    <w:rsid w:val="00821579"/>
    <w:rsid w:val="008225F3"/>
    <w:rsid w:val="008358CA"/>
    <w:rsid w:val="00850431"/>
    <w:rsid w:val="00860F7D"/>
    <w:rsid w:val="00866181"/>
    <w:rsid w:val="00881891"/>
    <w:rsid w:val="008911A6"/>
    <w:rsid w:val="008945B7"/>
    <w:rsid w:val="008A1803"/>
    <w:rsid w:val="008B1D50"/>
    <w:rsid w:val="008C4302"/>
    <w:rsid w:val="008F0C43"/>
    <w:rsid w:val="009063AF"/>
    <w:rsid w:val="00932021"/>
    <w:rsid w:val="00942EF2"/>
    <w:rsid w:val="009469F4"/>
    <w:rsid w:val="00946D5B"/>
    <w:rsid w:val="009548B8"/>
    <w:rsid w:val="00970A7F"/>
    <w:rsid w:val="009715C6"/>
    <w:rsid w:val="00977EC3"/>
    <w:rsid w:val="00977F0F"/>
    <w:rsid w:val="009866B4"/>
    <w:rsid w:val="0099111C"/>
    <w:rsid w:val="00994CB2"/>
    <w:rsid w:val="00994E09"/>
    <w:rsid w:val="00996510"/>
    <w:rsid w:val="00996761"/>
    <w:rsid w:val="009A5A6C"/>
    <w:rsid w:val="009D12E0"/>
    <w:rsid w:val="009E3956"/>
    <w:rsid w:val="009F6487"/>
    <w:rsid w:val="00A1095F"/>
    <w:rsid w:val="00A14817"/>
    <w:rsid w:val="00A32340"/>
    <w:rsid w:val="00A40D8E"/>
    <w:rsid w:val="00A458A5"/>
    <w:rsid w:val="00A51C8F"/>
    <w:rsid w:val="00A54D12"/>
    <w:rsid w:val="00A73AFF"/>
    <w:rsid w:val="00A76D41"/>
    <w:rsid w:val="00A83BDB"/>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0CB7"/>
    <w:rsid w:val="00BA6278"/>
    <w:rsid w:val="00BB0CA7"/>
    <w:rsid w:val="00BB257C"/>
    <w:rsid w:val="00BB50C0"/>
    <w:rsid w:val="00BB6952"/>
    <w:rsid w:val="00BC543C"/>
    <w:rsid w:val="00BD0D1C"/>
    <w:rsid w:val="00BD4C8D"/>
    <w:rsid w:val="00BE60F4"/>
    <w:rsid w:val="00BE7F6D"/>
    <w:rsid w:val="00BF0675"/>
    <w:rsid w:val="00BF5820"/>
    <w:rsid w:val="00BF5AC4"/>
    <w:rsid w:val="00C3459A"/>
    <w:rsid w:val="00C35FC7"/>
    <w:rsid w:val="00C36995"/>
    <w:rsid w:val="00C608B0"/>
    <w:rsid w:val="00C91AFD"/>
    <w:rsid w:val="00CB5B2F"/>
    <w:rsid w:val="00CD34F5"/>
    <w:rsid w:val="00CD4D07"/>
    <w:rsid w:val="00CD7B71"/>
    <w:rsid w:val="00D02705"/>
    <w:rsid w:val="00D106B5"/>
    <w:rsid w:val="00D12AEB"/>
    <w:rsid w:val="00D13677"/>
    <w:rsid w:val="00D13770"/>
    <w:rsid w:val="00D40931"/>
    <w:rsid w:val="00D40D2A"/>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178B6"/>
    <w:rsid w:val="00E20A63"/>
    <w:rsid w:val="00E23891"/>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C61EB"/>
    <w:rsid w:val="00EE50AB"/>
    <w:rsid w:val="00EF689E"/>
    <w:rsid w:val="00F03719"/>
    <w:rsid w:val="00F22211"/>
    <w:rsid w:val="00F471AB"/>
    <w:rsid w:val="00F8020D"/>
    <w:rsid w:val="00F81670"/>
    <w:rsid w:val="00F87476"/>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7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paragraph" w:styleId="TOC5">
    <w:name w:val="toc 5"/>
    <w:basedOn w:val="Normal"/>
    <w:next w:val="Normal"/>
    <w:uiPriority w:val="39"/>
    <w:unhideWhenUsed/>
    <w:rsid w:val="009715C6"/>
    <w:pPr>
      <w:tabs>
        <w:tab w:val="right" w:leader="dot" w:pos="9071"/>
      </w:tabs>
      <w:spacing w:before="300" w:after="120" w:line="240" w:lineRule="auto"/>
    </w:pPr>
    <w:rPr>
      <w:rFonts w:ascii="Times New Roman" w:eastAsia="Times New Roman" w:hAnsi="Times New Roman" w:cs="Times New Roman"/>
      <w:sz w:val="24"/>
      <w:szCs w:val="20"/>
      <w:lang w:eastAsia="en-GB"/>
    </w:rPr>
  </w:style>
  <w:style w:type="paragraph" w:customStyle="1" w:styleId="CM1">
    <w:name w:val="CM1"/>
    <w:basedOn w:val="Default"/>
    <w:next w:val="Default"/>
    <w:uiPriority w:val="99"/>
    <w:rsid w:val="009715C6"/>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CM3">
    <w:name w:val="CM3"/>
    <w:basedOn w:val="Default"/>
    <w:next w:val="Default"/>
    <w:uiPriority w:val="99"/>
    <w:rsid w:val="009715C6"/>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CM4">
    <w:name w:val="CM4"/>
    <w:basedOn w:val="Default"/>
    <w:next w:val="Default"/>
    <w:uiPriority w:val="99"/>
    <w:rsid w:val="009715C6"/>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doc-ti">
    <w:name w:val="doc-ti"/>
    <w:basedOn w:val="Normal"/>
    <w:rsid w:val="009715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TMLCite">
    <w:name w:val="HTML Cite"/>
    <w:basedOn w:val="DefaultParagraphFont"/>
    <w:uiPriority w:val="99"/>
    <w:semiHidden/>
    <w:unhideWhenUsed/>
    <w:rsid w:val="009715C6"/>
    <w:rPr>
      <w:i/>
      <w:iCs/>
    </w:rPr>
  </w:style>
  <w:style w:type="character" w:customStyle="1" w:styleId="atn">
    <w:name w:val="atn"/>
    <w:basedOn w:val="DefaultParagraphFont"/>
    <w:rsid w:val="008818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irovinsko.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io.rs.rs" TargetMode="External"/><Relationship Id="rId17" Type="http://schemas.openxmlformats.org/officeDocument/2006/relationships/hyperlink" Target="http://www.franceretraite.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piz.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pior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ndpio.me" TargetMode="External"/><Relationship Id="rId23" Type="http://schemas.openxmlformats.org/officeDocument/2006/relationships/footer" Target="footer3.xml"/><Relationship Id="rId10" Type="http://schemas.openxmlformats.org/officeDocument/2006/relationships/hyperlink" Target="http://www.fzmiopio.b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deutsche-rentenversicherung.de"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ile-srv-01\Redirekcija\hadisa\My%20Documents\Moji%20podaci%20privatno,%20backup,%20lozinke\ZijadK\grafovi\grafov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style val="1"/>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tx>
            <c:strRef>
              <c:f>Sheet1!$A$7</c:f>
              <c:strCache>
                <c:ptCount val="1"/>
                <c:pt idx="0">
                  <c:v>Neto pl.</c:v>
                </c:pt>
              </c:strCache>
            </c:strRef>
          </c:tx>
          <c:spPr>
            <a:ln>
              <a:solidFill>
                <a:schemeClr val="bg1">
                  <a:lumMod val="85000"/>
                </a:schemeClr>
              </a:solidFill>
            </a:ln>
          </c:spPr>
          <c:dLbls>
            <c:dLbl>
              <c:idx val="0"/>
              <c:layout>
                <c:manualLayout>
                  <c:x val="-0.11857577147164285"/>
                  <c:y val="-0.19209793174099601"/>
                </c:manualLayout>
              </c:layout>
              <c:showVal val="1"/>
            </c:dLbl>
            <c:dLbl>
              <c:idx val="1"/>
              <c:delete val="1"/>
            </c:dLbl>
            <c:dLbl>
              <c:idx val="2"/>
              <c:delete val="1"/>
            </c:dLbl>
            <c:dLbl>
              <c:idx val="3"/>
              <c:delete val="1"/>
            </c:dLbl>
            <c:dLbl>
              <c:idx val="4"/>
              <c:delete val="1"/>
            </c:dLbl>
            <c:dLbl>
              <c:idx val="5"/>
              <c:delete val="1"/>
            </c:dLbl>
            <c:dLbl>
              <c:idx val="6"/>
              <c:layout>
                <c:manualLayout>
                  <c:x val="-0.55374666560648733"/>
                  <c:y val="-0.40778282862246473"/>
                </c:manualLayout>
              </c:layout>
              <c:tx>
                <c:rich>
                  <a:bodyPr/>
                  <a:lstStyle/>
                  <a:p>
                    <a:r>
                      <a:rPr lang="bs-Latn-BA"/>
                      <a:t>2210</a:t>
                    </a:r>
                    <a:r>
                      <a:rPr lang="en-US"/>
                      <a:t>.00</a:t>
                    </a:r>
                  </a:p>
                </c:rich>
              </c:tx>
              <c:showVal val="1"/>
            </c:dLbl>
            <c:dLbl>
              <c:idx val="7"/>
              <c:delete val="1"/>
            </c:dLbl>
            <c:showVal val="1"/>
          </c:dLbls>
          <c:val>
            <c:numRef>
              <c:f>Sheet1!$B$7:$I$7</c:f>
              <c:numCache>
                <c:formatCode>0.00</c:formatCode>
                <c:ptCount val="8"/>
                <c:pt idx="0">
                  <c:v>1265</c:v>
                </c:pt>
                <c:pt idx="1">
                  <c:v>1238</c:v>
                </c:pt>
                <c:pt idx="2">
                  <c:v>1263.2</c:v>
                </c:pt>
                <c:pt idx="3">
                  <c:v>1402</c:v>
                </c:pt>
                <c:pt idx="4">
                  <c:v>1246.3499999999999</c:v>
                </c:pt>
                <c:pt idx="5">
                  <c:v>1285.2</c:v>
                </c:pt>
                <c:pt idx="6">
                  <c:v>1579</c:v>
                </c:pt>
                <c:pt idx="7">
                  <c:v>1392.5</c:v>
                </c:pt>
              </c:numCache>
            </c:numRef>
          </c:val>
        </c:ser>
        <c:ser>
          <c:idx val="1"/>
          <c:order val="1"/>
          <c:tx>
            <c:strRef>
              <c:f>Sheet1!$A$9</c:f>
              <c:strCache>
                <c:ptCount val="1"/>
                <c:pt idx="0">
                  <c:v>Iznosa PIO</c:v>
                </c:pt>
              </c:strCache>
            </c:strRef>
          </c:tx>
          <c:spPr>
            <a:pattFill prst="smGrid">
              <a:fgClr>
                <a:srgbClr val="B3B3B3"/>
              </a:fgClr>
              <a:bgClr>
                <a:srgbClr val="FFFFFF"/>
              </a:bgClr>
            </a:pattFill>
          </c:spPr>
          <c:dLbls>
            <c:showVal val="1"/>
          </c:dLbls>
          <c:val>
            <c:numRef>
              <c:f>Sheet1!$B$9:$I$9</c:f>
              <c:numCache>
                <c:formatCode>0.00</c:formatCode>
                <c:ptCount val="8"/>
                <c:pt idx="0">
                  <c:v>460</c:v>
                </c:pt>
                <c:pt idx="1">
                  <c:v>370</c:v>
                </c:pt>
                <c:pt idx="2">
                  <c:v>410</c:v>
                </c:pt>
                <c:pt idx="3">
                  <c:v>480</c:v>
                </c:pt>
                <c:pt idx="4">
                  <c:v>400</c:v>
                </c:pt>
                <c:pt idx="5">
                  <c:v>487</c:v>
                </c:pt>
                <c:pt idx="6">
                  <c:v>495</c:v>
                </c:pt>
                <c:pt idx="7">
                  <c:v>378</c:v>
                </c:pt>
              </c:numCache>
            </c:numRef>
          </c:val>
        </c:ser>
        <c:ser>
          <c:idx val="2"/>
          <c:order val="2"/>
          <c:tx>
            <c:strRef>
              <c:f>Sheet1!$A$14</c:f>
              <c:strCache>
                <c:ptCount val="1"/>
                <c:pt idx="0">
                  <c:v>razlika</c:v>
                </c:pt>
              </c:strCache>
            </c:strRef>
          </c:tx>
          <c:spPr>
            <a:pattFill prst="ltVert">
              <a:fgClr>
                <a:srgbClr val="818181"/>
              </a:fgClr>
              <a:bgClr>
                <a:srgbClr val="FFFFFF"/>
              </a:bgClr>
            </a:pattFill>
          </c:spPr>
          <c:dLbls>
            <c:dLbl>
              <c:idx val="0"/>
              <c:layout>
                <c:manualLayout>
                  <c:x val="-1.4847808212147642E-3"/>
                  <c:y val="-0.11327431523483801"/>
                </c:manualLayout>
              </c:layout>
              <c:tx>
                <c:rich>
                  <a:bodyPr/>
                  <a:lstStyle/>
                  <a:p>
                    <a:r>
                      <a:rPr lang="bs-Latn-BA"/>
                      <a:t>BiH-FBiH</a:t>
                    </a:r>
                    <a:r>
                      <a:rPr lang="en-US"/>
                      <a:t>
</a:t>
                    </a:r>
                  </a:p>
                </c:rich>
              </c:tx>
              <c:showVal val="1"/>
              <c:showCatName val="1"/>
              <c:separator>
</c:separator>
            </c:dLbl>
            <c:dLbl>
              <c:idx val="1"/>
              <c:layout>
                <c:manualLayout>
                  <c:x val="-4.3686874306376414E-3"/>
                  <c:y val="-8.0235973291344048E-2"/>
                </c:manualLayout>
              </c:layout>
              <c:tx>
                <c:rich>
                  <a:bodyPr/>
                  <a:lstStyle/>
                  <a:p>
                    <a:r>
                      <a:rPr lang="bs-Latn-BA"/>
                      <a:t>BiH-RS</a:t>
                    </a:r>
                    <a:r>
                      <a:rPr lang="en-US"/>
                      <a:t>
</a:t>
                    </a:r>
                  </a:p>
                </c:rich>
              </c:tx>
              <c:showVal val="1"/>
              <c:showCatName val="1"/>
              <c:separator>
</c:separator>
            </c:dLbl>
            <c:dLbl>
              <c:idx val="2"/>
              <c:layout>
                <c:manualLayout>
                  <c:x val="-4.4543954904782135E-3"/>
                  <c:y val="-0.12271384150440802"/>
                </c:manualLayout>
              </c:layout>
              <c:tx>
                <c:rich>
                  <a:bodyPr/>
                  <a:lstStyle/>
                  <a:p>
                    <a:r>
                      <a:rPr lang="bs-Latn-BA"/>
                      <a:t>CG</a:t>
                    </a:r>
                    <a:r>
                      <a:rPr lang="en-US"/>
                      <a:t>
</a:t>
                    </a:r>
                  </a:p>
                </c:rich>
              </c:tx>
              <c:showVal val="1"/>
              <c:showCatName val="1"/>
              <c:separator>
</c:separator>
            </c:dLbl>
            <c:dLbl>
              <c:idx val="3"/>
              <c:layout>
                <c:manualLayout>
                  <c:x val="4.4543424636442957E-3"/>
                  <c:y val="-0.10383478896526822"/>
                </c:manualLayout>
              </c:layout>
              <c:tx>
                <c:rich>
                  <a:bodyPr/>
                  <a:lstStyle/>
                  <a:p>
                    <a:r>
                      <a:rPr lang="bs-Latn-BA"/>
                      <a:t>SR</a:t>
                    </a:r>
                    <a:r>
                      <a:rPr lang="en-US"/>
                      <a:t>
</a:t>
                    </a:r>
                  </a:p>
                </c:rich>
              </c:tx>
              <c:showVal val="1"/>
              <c:showCatName val="1"/>
              <c:separator>
</c:separator>
            </c:dLbl>
            <c:dLbl>
              <c:idx val="4"/>
              <c:layout>
                <c:manualLayout>
                  <c:x val="-1.4847808212147642E-3"/>
                  <c:y val="-0.14867272456317088"/>
                </c:manualLayout>
              </c:layout>
              <c:tx>
                <c:rich>
                  <a:bodyPr/>
                  <a:lstStyle/>
                  <a:p>
                    <a:r>
                      <a:rPr lang="bs-Latn-BA"/>
                      <a:t>HR</a:t>
                    </a:r>
                    <a:r>
                      <a:rPr lang="en-US"/>
                      <a:t>
</a:t>
                    </a:r>
                  </a:p>
                </c:rich>
              </c:tx>
              <c:showVal val="1"/>
              <c:showCatName val="1"/>
              <c:separator>
</c:separator>
            </c:dLbl>
            <c:dLbl>
              <c:idx val="5"/>
              <c:layout>
                <c:manualLayout>
                  <c:x val="2.9695616424295287E-3"/>
                  <c:y val="-0.12743360463919301"/>
                </c:manualLayout>
              </c:layout>
              <c:tx>
                <c:rich>
                  <a:bodyPr/>
                  <a:lstStyle/>
                  <a:p>
                    <a:r>
                      <a:rPr lang="bs-Latn-BA"/>
                      <a:t>SLO</a:t>
                    </a:r>
                    <a:r>
                      <a:rPr lang="en-US"/>
                      <a:t>
</a:t>
                    </a:r>
                  </a:p>
                </c:rich>
              </c:tx>
              <c:showVal val="1"/>
              <c:showCatName val="1"/>
              <c:separator>
</c:separator>
            </c:dLbl>
            <c:dLbl>
              <c:idx val="6"/>
              <c:layout>
                <c:manualLayout>
                  <c:x val="0"/>
                  <c:y val="-0.15339230188051192"/>
                </c:manualLayout>
              </c:layout>
              <c:tx>
                <c:rich>
                  <a:bodyPr/>
                  <a:lstStyle/>
                  <a:p>
                    <a:r>
                      <a:rPr lang="bs-Latn-BA"/>
                      <a:t>FR</a:t>
                    </a:r>
                    <a:r>
                      <a:rPr lang="en-US"/>
                      <a:t>
</a:t>
                    </a:r>
                  </a:p>
                </c:rich>
              </c:tx>
              <c:showVal val="1"/>
              <c:showCatName val="1"/>
              <c:separator>
</c:separator>
            </c:dLbl>
            <c:dLbl>
              <c:idx val="7"/>
              <c:layout>
                <c:manualLayout>
                  <c:x val="7.4239041060737134E-3"/>
                  <c:y val="-0.13215355359142444"/>
                </c:manualLayout>
              </c:layout>
              <c:tx>
                <c:rich>
                  <a:bodyPr/>
                  <a:lstStyle/>
                  <a:p>
                    <a:r>
                      <a:rPr lang="bs-Latn-BA"/>
                      <a:t>Njem</a:t>
                    </a:r>
                    <a:r>
                      <a:rPr lang="en-US"/>
                      <a:t>
</a:t>
                    </a:r>
                  </a:p>
                </c:rich>
              </c:tx>
              <c:showVal val="1"/>
              <c:showCatName val="1"/>
              <c:separator>
</c:separator>
            </c:dLbl>
            <c:showVal val="1"/>
            <c:showCatName val="1"/>
            <c:separator>
</c:separator>
          </c:dLbls>
          <c:val>
            <c:numRef>
              <c:f>Sheet1!$B$14:$I$14</c:f>
              <c:numCache>
                <c:formatCode>0.00</c:formatCode>
                <c:ptCount val="8"/>
                <c:pt idx="0">
                  <c:v>485</c:v>
                </c:pt>
                <c:pt idx="1">
                  <c:v>392</c:v>
                </c:pt>
                <c:pt idx="2">
                  <c:v>569.31999999999937</c:v>
                </c:pt>
                <c:pt idx="3">
                  <c:v>476</c:v>
                </c:pt>
                <c:pt idx="4">
                  <c:v>675.65000000000009</c:v>
                </c:pt>
                <c:pt idx="5">
                  <c:v>549.79999999999995</c:v>
                </c:pt>
                <c:pt idx="6">
                  <c:v>755.40000000000009</c:v>
                </c:pt>
                <c:pt idx="7">
                  <c:v>615.1</c:v>
                </c:pt>
              </c:numCache>
            </c:numRef>
          </c:val>
        </c:ser>
        <c:shape val="cylinder"/>
        <c:axId val="126125568"/>
        <c:axId val="126127104"/>
        <c:axId val="0"/>
      </c:bar3DChart>
      <c:catAx>
        <c:axId val="126125568"/>
        <c:scaling>
          <c:orientation val="minMax"/>
        </c:scaling>
        <c:delete val="1"/>
        <c:axPos val="b"/>
        <c:tickLblPos val="none"/>
        <c:crossAx val="126127104"/>
        <c:crosses val="autoZero"/>
        <c:auto val="1"/>
        <c:lblAlgn val="ctr"/>
        <c:lblOffset val="100"/>
      </c:catAx>
      <c:valAx>
        <c:axId val="126127104"/>
        <c:scaling>
          <c:orientation val="minMax"/>
        </c:scaling>
        <c:axPos val="l"/>
        <c:numFmt formatCode="0.00" sourceLinked="1"/>
        <c:tickLblPos val="nextTo"/>
        <c:crossAx val="126125568"/>
        <c:crosses val="autoZero"/>
        <c:crossBetween val="between"/>
      </c:valAx>
    </c:plotArea>
    <c:legend>
      <c:legendPos val="r"/>
    </c:legend>
    <c:plotVisOnly val="1"/>
    <c:dispBlanksAs val="gap"/>
  </c:chart>
  <c:txPr>
    <a:bodyPr/>
    <a:lstStyle/>
    <a:p>
      <a:pPr>
        <a:defRPr sz="1100"/>
      </a:pPr>
      <a:endParaRPr lang="sr-Latn-C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s-Latn-BA"/>
  <c:style val="1"/>
  <c:chart>
    <c:view3D>
      <c:rAngAx val="1"/>
    </c:view3D>
    <c:plotArea>
      <c:layout>
        <c:manualLayout>
          <c:layoutTarget val="inner"/>
          <c:xMode val="edge"/>
          <c:yMode val="edge"/>
          <c:x val="6.4764801204468939E-2"/>
          <c:y val="2.8240422326521106E-2"/>
          <c:w val="0.81422647962472805"/>
          <c:h val="0.90803807155500804"/>
        </c:manualLayout>
      </c:layout>
      <c:bar3DChart>
        <c:barDir val="col"/>
        <c:grouping val="stacked"/>
        <c:ser>
          <c:idx val="0"/>
          <c:order val="0"/>
          <c:tx>
            <c:strRef>
              <c:f>'[Chart in Microsoft Office Word]Sheet1'!$B$1</c:f>
              <c:strCache>
                <c:ptCount val="1"/>
                <c:pt idx="0">
                  <c:v>Neto Plata</c:v>
                </c:pt>
              </c:strCache>
            </c:strRef>
          </c:tx>
          <c:dLbls>
            <c:dLbl>
              <c:idx val="0"/>
              <c:layout>
                <c:manualLayout>
                  <c:x val="4.3370816267220705E-3"/>
                  <c:y val="-0.49843357781223097"/>
                </c:manualLayout>
              </c:layout>
              <c:tx>
                <c:rich>
                  <a:bodyPr/>
                  <a:lstStyle/>
                  <a:p>
                    <a:r>
                      <a:rPr lang="bs-Latn-BA"/>
                      <a:t>BiH-FBiH</a:t>
                    </a:r>
                    <a:endParaRPr lang="en-US"/>
                  </a:p>
                </c:rich>
              </c:tx>
              <c:showVal val="1"/>
            </c:dLbl>
            <c:dLbl>
              <c:idx val="1"/>
              <c:layout>
                <c:manualLayout>
                  <c:x val="0"/>
                  <c:y val="-0.48720759632997296"/>
                </c:manualLayout>
              </c:layout>
              <c:tx>
                <c:rich>
                  <a:bodyPr/>
                  <a:lstStyle/>
                  <a:p>
                    <a:r>
                      <a:rPr lang="bs-Latn-BA"/>
                      <a:t>BiH-RS</a:t>
                    </a:r>
                    <a:endParaRPr lang="en-US"/>
                  </a:p>
                </c:rich>
              </c:tx>
              <c:showVal val="1"/>
            </c:dLbl>
            <c:dLbl>
              <c:idx val="2"/>
              <c:delete val="1"/>
            </c:dLbl>
            <c:dLbl>
              <c:idx val="3"/>
              <c:delete val="1"/>
            </c:dLbl>
            <c:dLbl>
              <c:idx val="4"/>
              <c:delete val="1"/>
            </c:dLbl>
            <c:dLbl>
              <c:idx val="5"/>
              <c:delete val="1"/>
            </c:dLbl>
            <c:dLbl>
              <c:idx val="6"/>
              <c:delete val="1"/>
            </c:dLbl>
            <c:dLbl>
              <c:idx val="7"/>
              <c:delete val="1"/>
            </c:dLbl>
            <c:showVal val="1"/>
          </c:dLbls>
          <c:cat>
            <c:strRef>
              <c:f>'[Chart in Microsoft Office Word]Sheet1'!$A$2:$A$9</c:f>
              <c:strCache>
                <c:ptCount val="8"/>
                <c:pt idx="0">
                  <c:v>BiH-FBiH</c:v>
                </c:pt>
                <c:pt idx="1">
                  <c:v>BiH-RS</c:v>
                </c:pt>
                <c:pt idx="2">
                  <c:v>CG</c:v>
                </c:pt>
                <c:pt idx="3">
                  <c:v>SR</c:v>
                </c:pt>
                <c:pt idx="4">
                  <c:v>HR</c:v>
                </c:pt>
                <c:pt idx="5">
                  <c:v>SLO</c:v>
                </c:pt>
                <c:pt idx="6">
                  <c:v>FR</c:v>
                </c:pt>
                <c:pt idx="7">
                  <c:v>Njem</c:v>
                </c:pt>
              </c:strCache>
            </c:strRef>
          </c:cat>
          <c:val>
            <c:numRef>
              <c:f>'[Chart in Microsoft Office Word]Sheet1'!$B$2:$B$9</c:f>
              <c:numCache>
                <c:formatCode>0.00</c:formatCode>
                <c:ptCount val="8"/>
                <c:pt idx="0">
                  <c:v>1265</c:v>
                </c:pt>
                <c:pt idx="1">
                  <c:v>1238</c:v>
                </c:pt>
                <c:pt idx="2">
                  <c:v>1236.2</c:v>
                </c:pt>
                <c:pt idx="3">
                  <c:v>1402</c:v>
                </c:pt>
                <c:pt idx="4">
                  <c:v>1246.3499999999999</c:v>
                </c:pt>
                <c:pt idx="5">
                  <c:v>1285.2</c:v>
                </c:pt>
                <c:pt idx="6">
                  <c:v>1579</c:v>
                </c:pt>
                <c:pt idx="7">
                  <c:v>1392.5</c:v>
                </c:pt>
              </c:numCache>
            </c:numRef>
          </c:val>
        </c:ser>
        <c:ser>
          <c:idx val="1"/>
          <c:order val="1"/>
          <c:tx>
            <c:strRef>
              <c:f>'[Chart in Microsoft Office Word]Sheet1'!$C$1</c:f>
              <c:strCache>
                <c:ptCount val="1"/>
                <c:pt idx="0">
                  <c:v>Iznos pio</c:v>
                </c:pt>
              </c:strCache>
            </c:strRef>
          </c:tx>
          <c:spPr>
            <a:pattFill prst="smGrid">
              <a:fgClr>
                <a:srgbClr val="B3B3B3"/>
              </a:fgClr>
              <a:bgClr>
                <a:srgbClr val="FFFFFF"/>
              </a:bgClr>
            </a:pattFill>
          </c:spPr>
          <c:dLbls>
            <c:dLbl>
              <c:idx val="3"/>
              <c:tx>
                <c:rich>
                  <a:bodyPr/>
                  <a:lstStyle/>
                  <a:p>
                    <a:r>
                      <a:rPr lang="en-US"/>
                      <a:t>741,0</a:t>
                    </a:r>
                    <a:r>
                      <a:rPr lang="bs-Latn-BA"/>
                      <a:t>5</a:t>
                    </a:r>
                    <a:endParaRPr lang="en-US"/>
                  </a:p>
                </c:rich>
              </c:tx>
              <c:showVal val="1"/>
            </c:dLbl>
            <c:showVal val="1"/>
          </c:dLbls>
          <c:cat>
            <c:strRef>
              <c:f>'[Chart in Microsoft Office Word]Sheet1'!$A$2:$A$9</c:f>
              <c:strCache>
                <c:ptCount val="8"/>
                <c:pt idx="0">
                  <c:v>BiH-FBiH</c:v>
                </c:pt>
                <c:pt idx="1">
                  <c:v>BiH-RS</c:v>
                </c:pt>
                <c:pt idx="2">
                  <c:v>CG</c:v>
                </c:pt>
                <c:pt idx="3">
                  <c:v>SR</c:v>
                </c:pt>
                <c:pt idx="4">
                  <c:v>HR</c:v>
                </c:pt>
                <c:pt idx="5">
                  <c:v>SLO</c:v>
                </c:pt>
                <c:pt idx="6">
                  <c:v>FR</c:v>
                </c:pt>
                <c:pt idx="7">
                  <c:v>Njem</c:v>
                </c:pt>
              </c:strCache>
            </c:strRef>
          </c:cat>
          <c:val>
            <c:numRef>
              <c:f>'[Chart in Microsoft Office Word]Sheet1'!$C$2:$C$9</c:f>
              <c:numCache>
                <c:formatCode>0.00</c:formatCode>
                <c:ptCount val="8"/>
                <c:pt idx="0">
                  <c:v>460</c:v>
                </c:pt>
                <c:pt idx="1">
                  <c:v>417.4</c:v>
                </c:pt>
                <c:pt idx="2">
                  <c:v>721.6</c:v>
                </c:pt>
                <c:pt idx="3">
                  <c:v>741</c:v>
                </c:pt>
                <c:pt idx="4">
                  <c:v>651.84999999999798</c:v>
                </c:pt>
                <c:pt idx="5">
                  <c:v>649.32999999999936</c:v>
                </c:pt>
                <c:pt idx="6">
                  <c:v>726</c:v>
                </c:pt>
                <c:pt idx="7">
                  <c:v>511.75</c:v>
                </c:pt>
              </c:numCache>
            </c:numRef>
          </c:val>
        </c:ser>
        <c:ser>
          <c:idx val="2"/>
          <c:order val="2"/>
          <c:tx>
            <c:strRef>
              <c:f>'[Chart in Microsoft Office Word]Sheet1'!$D$1</c:f>
              <c:strCache>
                <c:ptCount val="1"/>
                <c:pt idx="0">
                  <c:v>Razika</c:v>
                </c:pt>
              </c:strCache>
            </c:strRef>
          </c:tx>
          <c:spPr>
            <a:pattFill prst="ltVert">
              <a:fgClr>
                <a:srgbClr val="818181"/>
              </a:fgClr>
              <a:bgClr>
                <a:srgbClr val="FFFFFF"/>
              </a:bgClr>
            </a:pattFill>
          </c:spPr>
          <c:dLbls>
            <c:dLbl>
              <c:idx val="0"/>
              <c:layout>
                <c:manualLayout>
                  <c:x val="-0.11886986252876915"/>
                  <c:y val="-5.0077992615950889E-2"/>
                </c:manualLayout>
              </c:layout>
              <c:tx>
                <c:rich>
                  <a:bodyPr/>
                  <a:lstStyle/>
                  <a:p>
                    <a:r>
                      <a:rPr lang="bs-Latn-BA"/>
                      <a:t>2210</a:t>
                    </a:r>
                    <a:r>
                      <a:rPr lang="en-US"/>
                      <a:t>,00</a:t>
                    </a:r>
                  </a:p>
                </c:rich>
              </c:tx>
              <c:showVal val="1"/>
              <c:showCatName val="1"/>
            </c:dLbl>
            <c:dLbl>
              <c:idx val="1"/>
              <c:layout>
                <c:manualLayout>
                  <c:x val="-0.21994394842296447"/>
                  <c:y val="0.15784770305199919"/>
                </c:manualLayout>
              </c:layout>
              <c:tx>
                <c:rich>
                  <a:bodyPr/>
                  <a:lstStyle/>
                  <a:p>
                    <a:r>
                      <a:rPr lang="bs-Latn-BA"/>
                      <a:t>1265,00</a:t>
                    </a:r>
                    <a:endParaRPr lang="en-US"/>
                  </a:p>
                </c:rich>
              </c:tx>
              <c:showVal val="1"/>
              <c:showCatName val="1"/>
            </c:dLbl>
            <c:dLbl>
              <c:idx val="2"/>
              <c:layout>
                <c:manualLayout>
                  <c:x val="0"/>
                  <c:y val="-0.123485796304831"/>
                </c:manualLayout>
              </c:layout>
              <c:showCatName val="1"/>
            </c:dLbl>
            <c:dLbl>
              <c:idx val="3"/>
              <c:layout>
                <c:manualLayout>
                  <c:x val="2.8913877511480787E-3"/>
                  <c:y val="-0.11450501111902495"/>
                </c:manualLayout>
              </c:layout>
              <c:showCatName val="1"/>
            </c:dLbl>
            <c:dLbl>
              <c:idx val="4"/>
              <c:layout>
                <c:manualLayout>
                  <c:x val="0"/>
                  <c:y val="-0.14818295556579741"/>
                </c:manualLayout>
              </c:layout>
              <c:showCatName val="1"/>
            </c:dLbl>
            <c:dLbl>
              <c:idx val="5"/>
              <c:layout>
                <c:manualLayout>
                  <c:x val="4.3370816267220705E-3"/>
                  <c:y val="-0.12124060000838058"/>
                </c:manualLayout>
              </c:layout>
              <c:showCatName val="1"/>
            </c:dLbl>
            <c:dLbl>
              <c:idx val="6"/>
              <c:layout>
                <c:manualLayout>
                  <c:x val="-1.0119857129018202E-2"/>
                  <c:y val="-0.123485796304831"/>
                </c:manualLayout>
              </c:layout>
              <c:showCatName val="1"/>
            </c:dLbl>
            <c:dLbl>
              <c:idx val="7"/>
              <c:layout>
                <c:manualLayout>
                  <c:x val="4.3370816267220705E-3"/>
                  <c:y val="-0.12124060000838058"/>
                </c:manualLayout>
              </c:layout>
              <c:showCatName val="1"/>
            </c:dLbl>
            <c:showVal val="1"/>
            <c:showCatName val="1"/>
          </c:dLbls>
          <c:cat>
            <c:strRef>
              <c:f>'[Chart in Microsoft Office Word]Sheet1'!$A$2:$A$9</c:f>
              <c:strCache>
                <c:ptCount val="8"/>
                <c:pt idx="0">
                  <c:v>BiH-FBiH</c:v>
                </c:pt>
                <c:pt idx="1">
                  <c:v>BiH-RS</c:v>
                </c:pt>
                <c:pt idx="2">
                  <c:v>CG</c:v>
                </c:pt>
                <c:pt idx="3">
                  <c:v>SR</c:v>
                </c:pt>
                <c:pt idx="4">
                  <c:v>HR</c:v>
                </c:pt>
                <c:pt idx="5">
                  <c:v>SLO</c:v>
                </c:pt>
                <c:pt idx="6">
                  <c:v>FR</c:v>
                </c:pt>
                <c:pt idx="7">
                  <c:v>Njem</c:v>
                </c:pt>
              </c:strCache>
            </c:strRef>
          </c:cat>
          <c:val>
            <c:numRef>
              <c:f>'[Chart in Microsoft Office Word]Sheet1'!$D$2:$D$9</c:f>
              <c:numCache>
                <c:formatCode>0.00</c:formatCode>
                <c:ptCount val="8"/>
                <c:pt idx="0">
                  <c:v>485</c:v>
                </c:pt>
                <c:pt idx="1">
                  <c:v>392</c:v>
                </c:pt>
                <c:pt idx="2">
                  <c:v>569.29999999999995</c:v>
                </c:pt>
                <c:pt idx="3">
                  <c:v>476</c:v>
                </c:pt>
                <c:pt idx="4">
                  <c:v>675.65</c:v>
                </c:pt>
                <c:pt idx="5">
                  <c:v>549.79999999999995</c:v>
                </c:pt>
                <c:pt idx="6">
                  <c:v>755.4</c:v>
                </c:pt>
                <c:pt idx="7">
                  <c:v>615.1</c:v>
                </c:pt>
              </c:numCache>
            </c:numRef>
          </c:val>
        </c:ser>
        <c:shape val="cylinder"/>
        <c:axId val="126473728"/>
        <c:axId val="126475264"/>
        <c:axId val="0"/>
      </c:bar3DChart>
      <c:catAx>
        <c:axId val="126473728"/>
        <c:scaling>
          <c:orientation val="minMax"/>
        </c:scaling>
        <c:axPos val="b"/>
        <c:tickLblPos val="nextTo"/>
        <c:crossAx val="126475264"/>
        <c:crossesAt val="0"/>
        <c:auto val="1"/>
        <c:lblAlgn val="ctr"/>
        <c:lblOffset val="100"/>
      </c:catAx>
      <c:valAx>
        <c:axId val="126475264"/>
        <c:scaling>
          <c:orientation val="minMax"/>
          <c:max val="3000"/>
        </c:scaling>
        <c:axPos val="l"/>
        <c:numFmt formatCode="0.00" sourceLinked="1"/>
        <c:tickLblPos val="nextTo"/>
        <c:crossAx val="126473728"/>
        <c:crosses val="autoZero"/>
        <c:crossBetween val="between"/>
      </c:valAx>
    </c:plotArea>
    <c:legend>
      <c:legendPos val="r"/>
      <c:layout>
        <c:manualLayout>
          <c:xMode val="edge"/>
          <c:yMode val="edge"/>
          <c:x val="0.84607484399249577"/>
          <c:y val="0.78579312201359575"/>
          <c:w val="0.15392515600750523"/>
          <c:h val="0.21046470152769403"/>
        </c:manualLayout>
      </c:layout>
      <c:txPr>
        <a:bodyPr/>
        <a:lstStyle/>
        <a:p>
          <a:pPr>
            <a:defRPr sz="800"/>
          </a:pPr>
          <a:endParaRPr lang="sr-Latn-C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0.07345</cdr:x>
      <cdr:y>0.29204</cdr:y>
    </cdr:from>
    <cdr:to>
      <cdr:x>0.84155</cdr:x>
      <cdr:y>0.29558</cdr:y>
    </cdr:to>
    <cdr:sp macro="" textlink="">
      <cdr:nvSpPr>
        <cdr:cNvPr id="11" name="Straight Connector 10"/>
        <cdr:cNvSpPr/>
      </cdr:nvSpPr>
      <cdr:spPr>
        <a:xfrm xmlns:a="http://schemas.openxmlformats.org/drawingml/2006/main" flipV="1">
          <a:off x="666751" y="1571626"/>
          <a:ext cx="6972300" cy="19050"/>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sr-Latn-CS"/>
        </a:p>
      </cdr:txBody>
    </cdr:sp>
  </cdr:relSizeAnchor>
  <cdr:relSizeAnchor xmlns:cdr="http://schemas.openxmlformats.org/drawingml/2006/chartDrawing">
    <cdr:from>
      <cdr:x>0.07345</cdr:x>
      <cdr:y>0.57876</cdr:y>
    </cdr:from>
    <cdr:to>
      <cdr:x>0.8405</cdr:x>
      <cdr:y>0.5823</cdr:y>
    </cdr:to>
    <cdr:sp macro="" textlink="">
      <cdr:nvSpPr>
        <cdr:cNvPr id="13" name="Straight Connector 12"/>
        <cdr:cNvSpPr/>
      </cdr:nvSpPr>
      <cdr:spPr>
        <a:xfrm xmlns:a="http://schemas.openxmlformats.org/drawingml/2006/main">
          <a:off x="666751" y="3114676"/>
          <a:ext cx="6962775" cy="19050"/>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sr-Latn-CS"/>
        </a:p>
      </cdr:txBody>
    </cdr:sp>
  </cdr:relSizeAnchor>
</c:userShapes>
</file>

<file path=word/drawings/drawing2.xml><?xml version="1.0" encoding="utf-8"?>
<c:userShapes xmlns:c="http://schemas.openxmlformats.org/drawingml/2006/chart">
  <cdr:relSizeAnchor xmlns:cdr="http://schemas.openxmlformats.org/drawingml/2006/chartDrawing">
    <cdr:from>
      <cdr:x>0.07328</cdr:x>
      <cdr:y>0.55148</cdr:y>
    </cdr:from>
    <cdr:to>
      <cdr:x>0.85701</cdr:x>
      <cdr:y>0.55971</cdr:y>
    </cdr:to>
    <cdr:sp macro="" textlink="">
      <cdr:nvSpPr>
        <cdr:cNvPr id="16" name="Straight Connector 15"/>
        <cdr:cNvSpPr/>
      </cdr:nvSpPr>
      <cdr:spPr>
        <a:xfrm xmlns:a="http://schemas.openxmlformats.org/drawingml/2006/main" flipV="1">
          <a:off x="628222" y="2753473"/>
          <a:ext cx="6719299" cy="41097"/>
        </a:xfrm>
        <a:prstGeom xmlns:a="http://schemas.openxmlformats.org/drawingml/2006/main" prst="line">
          <a:avLst/>
        </a:prstGeom>
        <a:ln xmlns:a="http://schemas.openxmlformats.org/drawingml/2006/main" w="158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sr-Latn-CS"/>
        </a:p>
      </cdr:txBody>
    </cdr:sp>
  </cdr:relSizeAnchor>
  <cdr:relSizeAnchor xmlns:cdr="http://schemas.openxmlformats.org/drawingml/2006/chartDrawing">
    <cdr:from>
      <cdr:x>0.07328</cdr:x>
      <cdr:y>0.28397</cdr:y>
    </cdr:from>
    <cdr:to>
      <cdr:x>0.85222</cdr:x>
      <cdr:y>0.28808</cdr:y>
    </cdr:to>
    <cdr:sp macro="" textlink="">
      <cdr:nvSpPr>
        <cdr:cNvPr id="18" name="Straight Connector 17"/>
        <cdr:cNvSpPr/>
      </cdr:nvSpPr>
      <cdr:spPr>
        <a:xfrm xmlns:a="http://schemas.openxmlformats.org/drawingml/2006/main" flipV="1">
          <a:off x="628222" y="1417834"/>
          <a:ext cx="6678202" cy="20548"/>
        </a:xfrm>
        <a:prstGeom xmlns:a="http://schemas.openxmlformats.org/drawingml/2006/main" prst="line">
          <a:avLst/>
        </a:prstGeom>
        <a:ln xmlns:a="http://schemas.openxmlformats.org/drawingml/2006/main" w="158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sr-Latn-C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2097-7DFA-4CB1-8A41-424DFED0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24</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48</cp:revision>
  <dcterms:created xsi:type="dcterms:W3CDTF">2014-04-10T20:22:00Z</dcterms:created>
  <dcterms:modified xsi:type="dcterms:W3CDTF">2014-04-30T12:44:00Z</dcterms:modified>
</cp:coreProperties>
</file>