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25" w:rsidRPr="005A6825" w:rsidRDefault="005A6825" w:rsidP="005A6825">
      <w:pPr>
        <w:pStyle w:val="Title"/>
        <w:jc w:val="center"/>
        <w:outlineLvl w:val="0"/>
        <w:rPr>
          <w:rFonts w:ascii="Times New Roman" w:hAnsi="Times New Roman" w:cs="Times New Roman"/>
          <w:color w:val="000000" w:themeColor="text1"/>
          <w:sz w:val="28"/>
          <w:szCs w:val="28"/>
        </w:rPr>
      </w:pPr>
      <w:bookmarkStart w:id="0" w:name="_Toc354517455"/>
      <w:r w:rsidRPr="005A6825">
        <w:rPr>
          <w:rFonts w:ascii="Times New Roman" w:hAnsi="Times New Roman" w:cs="Times New Roman"/>
          <w:color w:val="000000" w:themeColor="text1"/>
          <w:sz w:val="28"/>
          <w:szCs w:val="28"/>
        </w:rPr>
        <w:t xml:space="preserve">The </w:t>
      </w:r>
      <w:proofErr w:type="spellStart"/>
      <w:r w:rsidRPr="005A6825">
        <w:rPr>
          <w:rFonts w:ascii="Times New Roman" w:hAnsi="Times New Roman" w:cs="Times New Roman"/>
          <w:color w:val="000000" w:themeColor="text1"/>
          <w:sz w:val="28"/>
          <w:szCs w:val="28"/>
        </w:rPr>
        <w:t>Dynamic</w:t>
      </w:r>
      <w:proofErr w:type="spellEnd"/>
      <w:r w:rsidRPr="005A6825">
        <w:rPr>
          <w:rFonts w:ascii="Times New Roman" w:hAnsi="Times New Roman" w:cs="Times New Roman"/>
          <w:color w:val="000000" w:themeColor="text1"/>
          <w:sz w:val="28"/>
          <w:szCs w:val="28"/>
        </w:rPr>
        <w:t xml:space="preserve"> </w:t>
      </w:r>
      <w:proofErr w:type="spellStart"/>
      <w:r w:rsidRPr="005A6825">
        <w:rPr>
          <w:rFonts w:ascii="Times New Roman" w:hAnsi="Times New Roman" w:cs="Times New Roman"/>
          <w:color w:val="000000" w:themeColor="text1"/>
          <w:sz w:val="28"/>
          <w:szCs w:val="28"/>
        </w:rPr>
        <w:t>Relationships</w:t>
      </w:r>
      <w:proofErr w:type="spellEnd"/>
      <w:r w:rsidRPr="005A6825">
        <w:rPr>
          <w:rFonts w:ascii="Times New Roman" w:hAnsi="Times New Roman" w:cs="Times New Roman"/>
          <w:color w:val="000000" w:themeColor="text1"/>
          <w:sz w:val="28"/>
          <w:szCs w:val="28"/>
        </w:rPr>
        <w:t xml:space="preserve"> </w:t>
      </w:r>
      <w:proofErr w:type="spellStart"/>
      <w:r w:rsidRPr="005A6825">
        <w:rPr>
          <w:rFonts w:ascii="Times New Roman" w:hAnsi="Times New Roman" w:cs="Times New Roman"/>
          <w:color w:val="000000" w:themeColor="text1"/>
          <w:sz w:val="28"/>
          <w:szCs w:val="28"/>
        </w:rPr>
        <w:t>between</w:t>
      </w:r>
      <w:proofErr w:type="spellEnd"/>
      <w:r w:rsidRPr="005A6825">
        <w:rPr>
          <w:rFonts w:ascii="Times New Roman" w:hAnsi="Times New Roman" w:cs="Times New Roman"/>
          <w:color w:val="000000" w:themeColor="text1"/>
          <w:sz w:val="28"/>
          <w:szCs w:val="28"/>
        </w:rPr>
        <w:t xml:space="preserve"> Stock </w:t>
      </w:r>
      <w:proofErr w:type="spellStart"/>
      <w:r w:rsidRPr="005A6825">
        <w:rPr>
          <w:rFonts w:ascii="Times New Roman" w:hAnsi="Times New Roman" w:cs="Times New Roman"/>
          <w:color w:val="000000" w:themeColor="text1"/>
          <w:sz w:val="28"/>
          <w:szCs w:val="28"/>
        </w:rPr>
        <w:t>Market</w:t>
      </w:r>
      <w:proofErr w:type="spellEnd"/>
      <w:r w:rsidRPr="005A6825">
        <w:rPr>
          <w:rFonts w:ascii="Times New Roman" w:hAnsi="Times New Roman" w:cs="Times New Roman"/>
          <w:color w:val="000000" w:themeColor="text1"/>
          <w:sz w:val="28"/>
          <w:szCs w:val="28"/>
        </w:rPr>
        <w:t xml:space="preserve"> </w:t>
      </w:r>
      <w:proofErr w:type="spellStart"/>
      <w:r w:rsidRPr="005A6825">
        <w:rPr>
          <w:rFonts w:ascii="Times New Roman" w:hAnsi="Times New Roman" w:cs="Times New Roman"/>
          <w:color w:val="000000" w:themeColor="text1"/>
          <w:sz w:val="28"/>
          <w:szCs w:val="28"/>
        </w:rPr>
        <w:t>Capitalization</w:t>
      </w:r>
      <w:proofErr w:type="spellEnd"/>
      <w:r w:rsidRPr="005A6825">
        <w:rPr>
          <w:rFonts w:ascii="Times New Roman" w:hAnsi="Times New Roman" w:cs="Times New Roman"/>
          <w:color w:val="000000" w:themeColor="text1"/>
          <w:sz w:val="28"/>
          <w:szCs w:val="28"/>
        </w:rPr>
        <w:t xml:space="preserve"> Rate and </w:t>
      </w:r>
      <w:proofErr w:type="spellStart"/>
      <w:r w:rsidRPr="005A6825">
        <w:rPr>
          <w:rFonts w:ascii="Times New Roman" w:hAnsi="Times New Roman" w:cs="Times New Roman"/>
          <w:color w:val="000000" w:themeColor="text1"/>
          <w:sz w:val="28"/>
          <w:szCs w:val="28"/>
        </w:rPr>
        <w:t>Interest</w:t>
      </w:r>
      <w:proofErr w:type="spellEnd"/>
      <w:r w:rsidRPr="005A6825">
        <w:rPr>
          <w:rFonts w:ascii="Times New Roman" w:hAnsi="Times New Roman" w:cs="Times New Roman"/>
          <w:color w:val="000000" w:themeColor="text1"/>
          <w:sz w:val="28"/>
          <w:szCs w:val="28"/>
        </w:rPr>
        <w:t xml:space="preserve"> Rate in </w:t>
      </w:r>
      <w:proofErr w:type="spellStart"/>
      <w:r w:rsidRPr="005A6825">
        <w:rPr>
          <w:rFonts w:ascii="Times New Roman" w:hAnsi="Times New Roman" w:cs="Times New Roman"/>
          <w:color w:val="000000" w:themeColor="text1"/>
          <w:sz w:val="28"/>
          <w:szCs w:val="28"/>
        </w:rPr>
        <w:t>Turkey</w:t>
      </w:r>
      <w:bookmarkEnd w:id="0"/>
      <w:proofErr w:type="spellEnd"/>
    </w:p>
    <w:p w:rsidR="005A6825" w:rsidRPr="00DE4823" w:rsidRDefault="005A6825" w:rsidP="005A6825">
      <w:pPr>
        <w:pStyle w:val="NoSpacing"/>
        <w:spacing w:line="240" w:lineRule="auto"/>
        <w:jc w:val="center"/>
        <w:outlineLvl w:val="1"/>
        <w:rPr>
          <w:rFonts w:ascii="Times New Roman" w:hAnsi="Times New Roman"/>
          <w:b/>
          <w:color w:val="000000" w:themeColor="text1"/>
        </w:rPr>
      </w:pPr>
      <w:bookmarkStart w:id="1" w:name="_Toc354517456"/>
      <w:proofErr w:type="spellStart"/>
      <w:r w:rsidRPr="00DE4823">
        <w:rPr>
          <w:rFonts w:ascii="Times New Roman" w:hAnsi="Times New Roman"/>
          <w:b/>
          <w:color w:val="000000" w:themeColor="text1"/>
        </w:rPr>
        <w:t>Cengiz</w:t>
      </w:r>
      <w:proofErr w:type="spellEnd"/>
      <w:r w:rsidRPr="00DE4823">
        <w:rPr>
          <w:rFonts w:ascii="Times New Roman" w:hAnsi="Times New Roman"/>
          <w:b/>
          <w:color w:val="000000" w:themeColor="text1"/>
        </w:rPr>
        <w:t xml:space="preserve"> </w:t>
      </w:r>
      <w:proofErr w:type="spellStart"/>
      <w:r w:rsidRPr="00DE4823">
        <w:rPr>
          <w:rFonts w:ascii="Times New Roman" w:hAnsi="Times New Roman"/>
          <w:b/>
          <w:color w:val="000000" w:themeColor="text1"/>
        </w:rPr>
        <w:t>Toraman</w:t>
      </w:r>
      <w:bookmarkEnd w:id="1"/>
      <w:proofErr w:type="spellEnd"/>
    </w:p>
    <w:p w:rsidR="005A6825" w:rsidRPr="00DE4823" w:rsidRDefault="005A6825" w:rsidP="005A6825">
      <w:pPr>
        <w:jc w:val="center"/>
        <w:rPr>
          <w:i/>
          <w:color w:val="000000" w:themeColor="text1"/>
          <w:sz w:val="22"/>
          <w:szCs w:val="22"/>
          <w:lang w:val="en-US"/>
        </w:rPr>
      </w:pPr>
      <w:r w:rsidRPr="00DE4823">
        <w:rPr>
          <w:i/>
          <w:color w:val="000000" w:themeColor="text1"/>
          <w:sz w:val="22"/>
          <w:szCs w:val="22"/>
          <w:lang w:val="en-US"/>
        </w:rPr>
        <w:t xml:space="preserve">Gaziantep University, Gaziantep, </w:t>
      </w:r>
      <w:proofErr w:type="spellStart"/>
      <w:r w:rsidRPr="00DE4823">
        <w:rPr>
          <w:i/>
          <w:color w:val="000000" w:themeColor="text1"/>
          <w:sz w:val="22"/>
          <w:szCs w:val="22"/>
          <w:lang w:val="en-US"/>
        </w:rPr>
        <w:t>Türkiye</w:t>
      </w:r>
      <w:proofErr w:type="spellEnd"/>
    </w:p>
    <w:p w:rsidR="005A6825" w:rsidRPr="00DE4823" w:rsidRDefault="00006152" w:rsidP="005A6825">
      <w:pPr>
        <w:jc w:val="center"/>
        <w:rPr>
          <w:color w:val="000000" w:themeColor="text1"/>
          <w:sz w:val="22"/>
          <w:szCs w:val="22"/>
          <w:lang w:val="en-US"/>
        </w:rPr>
      </w:pPr>
      <w:hyperlink r:id="rId7" w:history="1">
        <w:r w:rsidR="005A6825" w:rsidRPr="00DE4823">
          <w:rPr>
            <w:rStyle w:val="Hyperlink"/>
            <w:color w:val="000000" w:themeColor="text1"/>
            <w:sz w:val="22"/>
            <w:szCs w:val="22"/>
            <w:u w:val="none"/>
            <w:lang w:val="en-US"/>
          </w:rPr>
          <w:t>cengiztoraman2004@yahoo.com</w:t>
        </w:r>
      </w:hyperlink>
    </w:p>
    <w:p w:rsidR="005A6825" w:rsidRPr="00DE4823" w:rsidRDefault="005A6825" w:rsidP="005A6825">
      <w:pPr>
        <w:jc w:val="center"/>
        <w:rPr>
          <w:color w:val="000000" w:themeColor="text1"/>
          <w:sz w:val="22"/>
          <w:szCs w:val="22"/>
          <w:lang w:val="en-US"/>
        </w:rPr>
      </w:pPr>
    </w:p>
    <w:p w:rsidR="005A6825" w:rsidRPr="00DE4823" w:rsidRDefault="005A6825" w:rsidP="005A6825">
      <w:pPr>
        <w:pStyle w:val="NoSpacing"/>
        <w:spacing w:line="240" w:lineRule="auto"/>
        <w:jc w:val="center"/>
        <w:outlineLvl w:val="1"/>
        <w:rPr>
          <w:rFonts w:ascii="Times New Roman" w:hAnsi="Times New Roman"/>
          <w:b/>
          <w:color w:val="000000" w:themeColor="text1"/>
        </w:rPr>
      </w:pPr>
      <w:bookmarkStart w:id="2" w:name="_Toc354517457"/>
      <w:proofErr w:type="spellStart"/>
      <w:r w:rsidRPr="00DE4823">
        <w:rPr>
          <w:rFonts w:ascii="Times New Roman" w:hAnsi="Times New Roman"/>
          <w:b/>
          <w:color w:val="000000" w:themeColor="text1"/>
        </w:rPr>
        <w:t>Çağatay</w:t>
      </w:r>
      <w:proofErr w:type="spellEnd"/>
      <w:r w:rsidRPr="00DE4823">
        <w:rPr>
          <w:rFonts w:ascii="Times New Roman" w:hAnsi="Times New Roman"/>
          <w:b/>
          <w:color w:val="000000" w:themeColor="text1"/>
        </w:rPr>
        <w:t xml:space="preserve"> </w:t>
      </w:r>
      <w:proofErr w:type="spellStart"/>
      <w:r w:rsidRPr="00DE4823">
        <w:rPr>
          <w:rFonts w:ascii="Times New Roman" w:hAnsi="Times New Roman"/>
          <w:b/>
          <w:color w:val="000000" w:themeColor="text1"/>
        </w:rPr>
        <w:t>Başarır</w:t>
      </w:r>
      <w:bookmarkEnd w:id="2"/>
      <w:proofErr w:type="spellEnd"/>
    </w:p>
    <w:p w:rsidR="005A6825" w:rsidRPr="00DE4823" w:rsidRDefault="005A6825" w:rsidP="005A6825">
      <w:pPr>
        <w:jc w:val="center"/>
        <w:rPr>
          <w:i/>
          <w:color w:val="000000" w:themeColor="text1"/>
          <w:sz w:val="22"/>
          <w:szCs w:val="22"/>
          <w:lang w:val="en-US"/>
        </w:rPr>
      </w:pPr>
      <w:proofErr w:type="spellStart"/>
      <w:r w:rsidRPr="00DE4823">
        <w:rPr>
          <w:i/>
          <w:color w:val="000000" w:themeColor="text1"/>
          <w:sz w:val="22"/>
          <w:szCs w:val="22"/>
          <w:lang w:val="en-US"/>
        </w:rPr>
        <w:t>Balıkesir</w:t>
      </w:r>
      <w:proofErr w:type="spellEnd"/>
      <w:r w:rsidRPr="00DE4823">
        <w:rPr>
          <w:i/>
          <w:color w:val="000000" w:themeColor="text1"/>
          <w:sz w:val="22"/>
          <w:szCs w:val="22"/>
          <w:lang w:val="en-US"/>
        </w:rPr>
        <w:t xml:space="preserve"> University, </w:t>
      </w:r>
      <w:proofErr w:type="spellStart"/>
      <w:r w:rsidRPr="00DE4823">
        <w:rPr>
          <w:i/>
          <w:color w:val="000000" w:themeColor="text1"/>
          <w:sz w:val="22"/>
          <w:szCs w:val="22"/>
          <w:lang w:val="en-US"/>
        </w:rPr>
        <w:t>Balıkesir</w:t>
      </w:r>
      <w:proofErr w:type="spellEnd"/>
      <w:r w:rsidRPr="00DE4823">
        <w:rPr>
          <w:i/>
          <w:color w:val="000000" w:themeColor="text1"/>
          <w:sz w:val="22"/>
          <w:szCs w:val="22"/>
          <w:lang w:val="en-US"/>
        </w:rPr>
        <w:t xml:space="preserve">, </w:t>
      </w:r>
      <w:proofErr w:type="spellStart"/>
      <w:r w:rsidRPr="00DE4823">
        <w:rPr>
          <w:i/>
          <w:color w:val="000000" w:themeColor="text1"/>
          <w:sz w:val="22"/>
          <w:szCs w:val="22"/>
          <w:lang w:val="en-US"/>
        </w:rPr>
        <w:t>Türkiye</w:t>
      </w:r>
      <w:proofErr w:type="spellEnd"/>
    </w:p>
    <w:p w:rsidR="00285B9A" w:rsidRPr="00DE4823" w:rsidRDefault="00006152" w:rsidP="005A6825">
      <w:pPr>
        <w:jc w:val="center"/>
        <w:rPr>
          <w:b/>
          <w:noProof/>
          <w:sz w:val="22"/>
          <w:szCs w:val="22"/>
          <w:lang w:val="en-US"/>
        </w:rPr>
      </w:pPr>
      <w:hyperlink r:id="rId8" w:history="1">
        <w:r w:rsidR="005A6825" w:rsidRPr="00DE4823">
          <w:rPr>
            <w:rStyle w:val="Hyperlink"/>
            <w:color w:val="000000" w:themeColor="text1"/>
            <w:sz w:val="22"/>
            <w:szCs w:val="22"/>
            <w:u w:val="none"/>
            <w:lang w:val="en-US"/>
          </w:rPr>
          <w:t>cagataybasarir@gmail.com</w:t>
        </w:r>
      </w:hyperlink>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DE4823" w:rsidRPr="00DE4823" w:rsidRDefault="00DE4823" w:rsidP="00DE4823">
      <w:pPr>
        <w:ind w:left="567" w:right="567"/>
        <w:jc w:val="both"/>
        <w:rPr>
          <w:noProof/>
          <w:sz w:val="22"/>
          <w:szCs w:val="22"/>
          <w:lang w:val="en-US"/>
        </w:rPr>
      </w:pPr>
      <w:r w:rsidRPr="00DE4823">
        <w:rPr>
          <w:noProof/>
          <w:sz w:val="22"/>
          <w:szCs w:val="22"/>
          <w:lang w:val="en-US"/>
        </w:rPr>
        <w:t xml:space="preserve">This paper investigates the long term and short term relationships between stock market capitalization rate and interest rates in Turkey over the period 1998-2012.  Prior to conducting the analysis in time series, in order to test the stability of the series, a unit root test was initially applied. It is determined that both stock market capitalization rate and interest rate series are not stationary.  Long-term relationship is tested by Johansen Cointegration tests and casual relationship is tested by Granger Causality tests. According to the results of the study, there is long term relationship between stock market capitalization rate and interest rates while there is not causal relationship between stock market capitalization rate and interest rates in short term. </w:t>
      </w:r>
    </w:p>
    <w:p w:rsidR="00DE4823" w:rsidRPr="00DE4823" w:rsidRDefault="00DE4823" w:rsidP="00DE4823">
      <w:pPr>
        <w:ind w:left="567" w:right="567"/>
        <w:jc w:val="both"/>
        <w:rPr>
          <w:noProof/>
          <w:sz w:val="22"/>
          <w:szCs w:val="22"/>
          <w:lang w:val="en-US"/>
        </w:rPr>
      </w:pPr>
    </w:p>
    <w:p w:rsidR="00EE1A90" w:rsidRPr="00DE4823" w:rsidRDefault="00DE4823" w:rsidP="00DE4823">
      <w:pPr>
        <w:ind w:left="567" w:right="567"/>
        <w:jc w:val="both"/>
        <w:rPr>
          <w:noProof/>
          <w:sz w:val="22"/>
          <w:szCs w:val="22"/>
          <w:lang w:val="en-US"/>
        </w:rPr>
      </w:pPr>
      <w:r w:rsidRPr="00DE4823">
        <w:rPr>
          <w:b/>
          <w:noProof/>
          <w:sz w:val="22"/>
          <w:szCs w:val="22"/>
          <w:lang w:val="en-US"/>
        </w:rPr>
        <w:t>Keywords:</w:t>
      </w:r>
      <w:r w:rsidRPr="00DE4823">
        <w:rPr>
          <w:noProof/>
          <w:sz w:val="22"/>
          <w:szCs w:val="22"/>
          <w:lang w:val="en-US"/>
        </w:rPr>
        <w:t xml:space="preserve"> Stock Market Capitalization Rate, Interest rat</w:t>
      </w:r>
      <w:r>
        <w:rPr>
          <w:noProof/>
          <w:sz w:val="22"/>
          <w:szCs w:val="22"/>
          <w:lang w:val="en-US"/>
        </w:rPr>
        <w:t xml:space="preserve">es, Cointegration, Vector error, </w:t>
      </w:r>
      <w:r w:rsidRPr="00DE4823">
        <w:rPr>
          <w:noProof/>
          <w:sz w:val="22"/>
          <w:szCs w:val="22"/>
          <w:lang w:val="en-US"/>
        </w:rPr>
        <w:t>Correction model (VECM), Causality.</w:t>
      </w:r>
    </w:p>
    <w:p w:rsidR="00285B9A" w:rsidRDefault="00285B9A" w:rsidP="000C0831">
      <w:pPr>
        <w:ind w:left="567" w:right="567"/>
        <w:jc w:val="both"/>
        <w:rPr>
          <w:noProof/>
          <w:color w:val="000000"/>
          <w:lang w:val="en-US"/>
        </w:rPr>
      </w:pPr>
      <w:r w:rsidRPr="00AC42E5">
        <w:rPr>
          <w:noProof/>
          <w:color w:val="000000"/>
          <w:lang w:val="en-US"/>
        </w:rPr>
        <w:t xml:space="preserve"> </w:t>
      </w:r>
    </w:p>
    <w:p w:rsidR="00DE4823" w:rsidRPr="00AC42E5" w:rsidRDefault="00DE4823" w:rsidP="000C0831">
      <w:pPr>
        <w:ind w:left="567" w:right="567"/>
        <w:jc w:val="both"/>
        <w:rPr>
          <w:noProof/>
          <w:color w:val="000000"/>
          <w:lang w:val="en-US"/>
        </w:rPr>
      </w:pPr>
    </w:p>
    <w:p w:rsidR="00DE4823" w:rsidRPr="00DE4823" w:rsidRDefault="00DE4823" w:rsidP="00DE4823">
      <w:pPr>
        <w:rPr>
          <w:b/>
          <w:lang w:val="en-US"/>
        </w:rPr>
      </w:pPr>
      <w:r w:rsidRPr="00DE4823">
        <w:rPr>
          <w:b/>
          <w:lang w:val="en-US"/>
        </w:rPr>
        <w:t>Introduction</w:t>
      </w:r>
    </w:p>
    <w:p w:rsidR="00DE4823" w:rsidRPr="00DE4823" w:rsidRDefault="00DE4823" w:rsidP="00DE4823">
      <w:pPr>
        <w:autoSpaceDE w:val="0"/>
        <w:autoSpaceDN w:val="0"/>
        <w:adjustRightInd w:val="0"/>
        <w:rPr>
          <w:lang w:val="en-US"/>
        </w:rPr>
      </w:pPr>
    </w:p>
    <w:p w:rsidR="00DE4823" w:rsidRDefault="00DE4823" w:rsidP="00DE4823">
      <w:pPr>
        <w:jc w:val="both"/>
        <w:rPr>
          <w:lang w:val="en-US"/>
        </w:rPr>
      </w:pPr>
      <w:r w:rsidRPr="00DE4823">
        <w:rPr>
          <w:lang w:val="en-US"/>
        </w:rPr>
        <w:t>Two critical factors of economic growth are stock exchange and interest rate. The effects of interest rate on stock exchange ensure important implications for monitory policy towards financial markets. The relationship between stock market capitalization rate (SMCR) and interest rate have preoccupied the minds of economists since they both play important roles in influencing a country’s economic development (</w:t>
      </w:r>
      <w:proofErr w:type="spellStart"/>
      <w:r w:rsidRPr="00DE4823">
        <w:rPr>
          <w:lang w:val="en-US"/>
        </w:rPr>
        <w:t>Aydemir</w:t>
      </w:r>
      <w:proofErr w:type="spellEnd"/>
      <w:r w:rsidRPr="00DE4823">
        <w:rPr>
          <w:lang w:val="en-US"/>
        </w:rPr>
        <w:t xml:space="preserve"> and </w:t>
      </w:r>
      <w:proofErr w:type="spellStart"/>
      <w:r w:rsidRPr="00DE4823">
        <w:rPr>
          <w:lang w:val="en-US"/>
        </w:rPr>
        <w:t>Demirhan</w:t>
      </w:r>
      <w:proofErr w:type="spellEnd"/>
      <w:r w:rsidRPr="00DE4823">
        <w:rPr>
          <w:lang w:val="en-US"/>
        </w:rPr>
        <w:t>, 2009).</w:t>
      </w:r>
    </w:p>
    <w:p w:rsidR="00DE4823" w:rsidRPr="00DE4823" w:rsidRDefault="00DE4823" w:rsidP="00DE4823">
      <w:pPr>
        <w:jc w:val="both"/>
        <w:rPr>
          <w:lang w:val="en-US"/>
        </w:rPr>
      </w:pPr>
    </w:p>
    <w:p w:rsidR="00DE4823" w:rsidRDefault="00DE4823" w:rsidP="00DE4823">
      <w:pPr>
        <w:jc w:val="both"/>
        <w:rPr>
          <w:lang w:val="en-US"/>
        </w:rPr>
      </w:pPr>
      <w:r w:rsidRPr="00DE4823">
        <w:rPr>
          <w:lang w:val="en-US"/>
        </w:rPr>
        <w:t xml:space="preserve">Theoretically, interest rates have negative impact on stock market performance. An increase in interest rates would avoid investors making high risk stock market investments comparing to low risk interest bearing security investments such as fixed deposits, savings certificates, treasury bills </w:t>
      </w:r>
      <w:proofErr w:type="spellStart"/>
      <w:r w:rsidRPr="00DE4823">
        <w:rPr>
          <w:lang w:val="en-US"/>
        </w:rPr>
        <w:t>etc</w:t>
      </w:r>
      <w:proofErr w:type="spellEnd"/>
      <w:r w:rsidRPr="00DE4823">
        <w:rPr>
          <w:lang w:val="en-US"/>
        </w:rPr>
        <w:t xml:space="preserve"> (French et al., 1987). In other words, demand for high risk stock market investments would fall if the interest rates are high. As a result, fall in demand for shares would eventually reduce its prices. In contrast, lower interest rate would cause opposite effects such as higher demand for stock investment and increase of share prices. </w:t>
      </w:r>
    </w:p>
    <w:p w:rsidR="00DE4823" w:rsidRPr="00DE4823" w:rsidRDefault="00DE4823" w:rsidP="00DE4823">
      <w:pPr>
        <w:jc w:val="both"/>
        <w:rPr>
          <w:lang w:val="en-US"/>
        </w:rPr>
      </w:pPr>
    </w:p>
    <w:p w:rsidR="00DE4823" w:rsidRPr="00DE4823" w:rsidRDefault="00DE4823" w:rsidP="00DE4823">
      <w:pPr>
        <w:jc w:val="both"/>
        <w:rPr>
          <w:lang w:val="en-US"/>
        </w:rPr>
      </w:pPr>
      <w:r w:rsidRPr="00DE4823">
        <w:rPr>
          <w:lang w:val="en-US"/>
        </w:rPr>
        <w:t>On the other hand, Central Banks usually use interest rates as a tool to dominate inflation in a country. If Central Bank changes interest rates, it would indirectly affect the stock market performance. It eventually would have an impact on overall economic development of the country. Thus, determination of ideal interest rate is a very important policy decision that a country has to consider regularly (</w:t>
      </w:r>
      <w:proofErr w:type="spellStart"/>
      <w:r w:rsidRPr="00DE4823">
        <w:rPr>
          <w:lang w:val="en-US"/>
        </w:rPr>
        <w:t>Pallegedara</w:t>
      </w:r>
      <w:proofErr w:type="spellEnd"/>
      <w:r w:rsidRPr="00DE4823">
        <w:rPr>
          <w:lang w:val="en-US"/>
        </w:rPr>
        <w:t>, 2012).</w:t>
      </w:r>
    </w:p>
    <w:p w:rsidR="00DE4823" w:rsidRPr="00DE4823" w:rsidRDefault="00DE4823" w:rsidP="00DE4823">
      <w:pPr>
        <w:autoSpaceDE w:val="0"/>
        <w:autoSpaceDN w:val="0"/>
        <w:adjustRightInd w:val="0"/>
        <w:jc w:val="both"/>
        <w:rPr>
          <w:rFonts w:eastAsia="Rockwellcan-Light"/>
          <w:lang w:val="en-US"/>
        </w:rPr>
      </w:pPr>
      <w:r w:rsidRPr="00DE4823">
        <w:rPr>
          <w:rFonts w:eastAsia="Rockwellcan-Light"/>
          <w:lang w:val="en-US"/>
        </w:rPr>
        <w:lastRenderedPageBreak/>
        <w:t xml:space="preserve">Objective of this study is to investigate the </w:t>
      </w:r>
      <w:r w:rsidRPr="00DE4823">
        <w:rPr>
          <w:lang w:val="en-US"/>
        </w:rPr>
        <w:t>long term and short term relationships between SMCR and interest rates</w:t>
      </w:r>
      <w:r w:rsidRPr="00DE4823">
        <w:rPr>
          <w:rFonts w:eastAsia="Rockwellcan-Light"/>
          <w:lang w:val="en-US"/>
        </w:rPr>
        <w:t xml:space="preserve">. </w:t>
      </w:r>
      <w:r w:rsidRPr="00DE4823">
        <w:rPr>
          <w:lang w:val="en-US"/>
        </w:rPr>
        <w:t>In the first section of the study, a</w:t>
      </w:r>
      <w:r w:rsidRPr="00DE4823">
        <w:rPr>
          <w:rFonts w:eastAsia="Rockwellcan-Light"/>
          <w:lang w:val="en-US"/>
        </w:rPr>
        <w:t xml:space="preserve"> </w:t>
      </w:r>
      <w:r w:rsidRPr="00DE4823">
        <w:rPr>
          <w:lang w:val="en-US"/>
        </w:rPr>
        <w:t>literature review is made in order to introduce the variables and the models applied</w:t>
      </w:r>
      <w:r w:rsidRPr="00DE4823">
        <w:rPr>
          <w:rFonts w:eastAsia="Rockwellcan-Light"/>
          <w:lang w:val="en-US"/>
        </w:rPr>
        <w:t xml:space="preserve"> </w:t>
      </w:r>
      <w:r w:rsidRPr="00DE4823">
        <w:rPr>
          <w:lang w:val="en-US"/>
        </w:rPr>
        <w:t>for different countries. In the second section, data set and variables of the model are</w:t>
      </w:r>
      <w:r w:rsidRPr="00DE4823">
        <w:rPr>
          <w:rFonts w:eastAsia="Rockwellcan-Light"/>
          <w:lang w:val="en-US"/>
        </w:rPr>
        <w:t xml:space="preserve"> </w:t>
      </w:r>
      <w:r w:rsidRPr="00DE4823">
        <w:rPr>
          <w:lang w:val="en-US"/>
        </w:rPr>
        <w:t xml:space="preserve">explained. In the third section, a VAR (Vector </w:t>
      </w:r>
      <w:proofErr w:type="spellStart"/>
      <w:r w:rsidRPr="00DE4823">
        <w:rPr>
          <w:lang w:val="en-US"/>
        </w:rPr>
        <w:t>Autoregression</w:t>
      </w:r>
      <w:proofErr w:type="spellEnd"/>
      <w:r w:rsidRPr="00DE4823">
        <w:rPr>
          <w:lang w:val="en-US"/>
        </w:rPr>
        <w:t>) model is used to</w:t>
      </w:r>
      <w:r w:rsidRPr="00DE4823">
        <w:rPr>
          <w:rFonts w:eastAsia="Rockwellcan-Light"/>
          <w:lang w:val="en-US"/>
        </w:rPr>
        <w:t xml:space="preserve"> </w:t>
      </w:r>
      <w:r w:rsidRPr="00DE4823">
        <w:rPr>
          <w:lang w:val="en-US"/>
        </w:rPr>
        <w:t>explain the relationship between interest rates and SMCR. The last section of the study evaluates the results of the model and concludes the paper.</w:t>
      </w:r>
    </w:p>
    <w:p w:rsidR="00DE4823" w:rsidRPr="00DE4823" w:rsidRDefault="00DE4823" w:rsidP="00DE4823">
      <w:pPr>
        <w:rPr>
          <w:b/>
          <w:bCs/>
          <w:lang w:val="en-US"/>
        </w:rPr>
      </w:pPr>
    </w:p>
    <w:p w:rsidR="00DE4823" w:rsidRPr="00DE4823" w:rsidRDefault="00DE4823" w:rsidP="00DE4823">
      <w:pPr>
        <w:rPr>
          <w:b/>
          <w:bCs/>
          <w:lang w:val="en-US"/>
        </w:rPr>
      </w:pPr>
      <w:r w:rsidRPr="00DE4823">
        <w:rPr>
          <w:b/>
          <w:bCs/>
          <w:lang w:val="en-US"/>
        </w:rPr>
        <w:t>Literature Review</w:t>
      </w:r>
    </w:p>
    <w:p w:rsidR="00DE4823" w:rsidRPr="00DE4823" w:rsidRDefault="00DE4823" w:rsidP="00DE4823">
      <w:pPr>
        <w:rPr>
          <w:b/>
          <w:bCs/>
          <w:lang w:val="en-US"/>
        </w:rPr>
      </w:pPr>
    </w:p>
    <w:p w:rsidR="00DE4823" w:rsidRDefault="00DE4823" w:rsidP="00DE4823">
      <w:pPr>
        <w:jc w:val="both"/>
        <w:rPr>
          <w:lang w:val="en-US"/>
        </w:rPr>
      </w:pPr>
      <w:r w:rsidRPr="00DE4823">
        <w:rPr>
          <w:lang w:val="en-US"/>
        </w:rPr>
        <w:t xml:space="preserve">The relationship between the stock market and macroeconomic factors has been a key study concern in the literature. For instance, the relationship between inflation and stock market returns was investigated by </w:t>
      </w:r>
      <w:proofErr w:type="spellStart"/>
      <w:r w:rsidRPr="00DE4823">
        <w:rPr>
          <w:lang w:val="en-US"/>
        </w:rPr>
        <w:t>Fama</w:t>
      </w:r>
      <w:proofErr w:type="spellEnd"/>
      <w:r w:rsidRPr="00DE4823">
        <w:rPr>
          <w:lang w:val="en-US"/>
        </w:rPr>
        <w:t xml:space="preserve"> (1981). In his study, it is argued that expected inflation is negatively correlated with anticipated real activity, which in turn is positively related to returns on the stock market. A negative correlation between stock market returns and expected inflation was introduced. Conversely, the influence of the long term interest rate on stock prices stems directly from the present value model through the influence of the long term interest rate on the discount rate.</w:t>
      </w:r>
    </w:p>
    <w:p w:rsidR="00DE4823" w:rsidRPr="00DE4823" w:rsidRDefault="00DE4823" w:rsidP="00DE4823">
      <w:pPr>
        <w:jc w:val="both"/>
        <w:rPr>
          <w:lang w:val="en-US"/>
        </w:rPr>
      </w:pPr>
    </w:p>
    <w:p w:rsidR="00DE4823" w:rsidRDefault="00DE4823" w:rsidP="00DE4823">
      <w:pPr>
        <w:jc w:val="both"/>
        <w:rPr>
          <w:lang w:val="en-US"/>
        </w:rPr>
      </w:pPr>
      <w:r w:rsidRPr="00DE4823">
        <w:rPr>
          <w:lang w:val="en-US"/>
        </w:rPr>
        <w:t>Zhou (1996) analyzed the relationship between interest rates and stock prices with a regression analysis. He found that over the long term, interest rates have a significant effect on stock returns. In addition, his results point out that long term interest rates explain a major part of variation in price-dividend ratios and bring up that the high volatility of the stock market is related to the high volatility of long term bond yields and may be accounted for by changing forecasts of discount rates.</w:t>
      </w:r>
    </w:p>
    <w:p w:rsidR="00DE4823" w:rsidRPr="00DE4823" w:rsidRDefault="00DE4823" w:rsidP="00DE4823">
      <w:pPr>
        <w:jc w:val="both"/>
        <w:rPr>
          <w:lang w:val="en-US"/>
        </w:rPr>
      </w:pPr>
    </w:p>
    <w:p w:rsidR="00DE4823" w:rsidRPr="00DE4823" w:rsidRDefault="00DE4823" w:rsidP="00DE4823">
      <w:pPr>
        <w:jc w:val="both"/>
        <w:rPr>
          <w:lang w:val="en-US"/>
        </w:rPr>
      </w:pPr>
      <w:proofErr w:type="spellStart"/>
      <w:r w:rsidRPr="00DE4823">
        <w:rPr>
          <w:lang w:val="en-US"/>
        </w:rPr>
        <w:t>Maysami</w:t>
      </w:r>
      <w:proofErr w:type="spellEnd"/>
      <w:r w:rsidRPr="00DE4823">
        <w:rPr>
          <w:lang w:val="en-US"/>
        </w:rPr>
        <w:t xml:space="preserve"> and </w:t>
      </w:r>
      <w:proofErr w:type="spellStart"/>
      <w:r w:rsidRPr="00DE4823">
        <w:rPr>
          <w:lang w:val="en-US"/>
        </w:rPr>
        <w:t>Koh</w:t>
      </w:r>
      <w:proofErr w:type="spellEnd"/>
      <w:r w:rsidRPr="00DE4823">
        <w:rPr>
          <w:lang w:val="en-US"/>
        </w:rPr>
        <w:t xml:space="preserve"> (2000) used a VECM model using monthly data between 1988-2003 to examine the long term equilibrium relationships between selected macroeconomic variables and stock indices of Singapore, Japan and the United States. They found that changes in Singapore’s stock market levels cause a </w:t>
      </w:r>
      <w:proofErr w:type="spellStart"/>
      <w:r w:rsidRPr="00DE4823">
        <w:rPr>
          <w:lang w:val="en-US"/>
        </w:rPr>
        <w:t>cointegration</w:t>
      </w:r>
      <w:proofErr w:type="spellEnd"/>
      <w:r w:rsidRPr="00DE4823">
        <w:rPr>
          <w:lang w:val="en-US"/>
        </w:rPr>
        <w:t xml:space="preserve"> relationship with changes in price levels, money supply, short and long term interest rates, and exchange rate except industrial production and trade. And also they detected that Singapore stock market is significantly and positively </w:t>
      </w:r>
      <w:proofErr w:type="spellStart"/>
      <w:r w:rsidRPr="00DE4823">
        <w:rPr>
          <w:lang w:val="en-US"/>
        </w:rPr>
        <w:t>cointegrated</w:t>
      </w:r>
      <w:proofErr w:type="spellEnd"/>
      <w:r w:rsidRPr="00DE4823">
        <w:rPr>
          <w:lang w:val="en-US"/>
        </w:rPr>
        <w:t xml:space="preserve"> with stock markets of Japan and the United States.</w:t>
      </w:r>
    </w:p>
    <w:p w:rsidR="00DE4823" w:rsidRDefault="00DE4823" w:rsidP="00DE4823">
      <w:pPr>
        <w:jc w:val="both"/>
        <w:rPr>
          <w:bCs/>
          <w:lang w:val="en-US"/>
        </w:rPr>
      </w:pPr>
      <w:proofErr w:type="spellStart"/>
      <w:r w:rsidRPr="00DE4823">
        <w:rPr>
          <w:bCs/>
          <w:lang w:val="en-US"/>
        </w:rPr>
        <w:t>Hondroyiannis</w:t>
      </w:r>
      <w:proofErr w:type="spellEnd"/>
      <w:r w:rsidRPr="00DE4823">
        <w:rPr>
          <w:bCs/>
          <w:lang w:val="en-US"/>
        </w:rPr>
        <w:t xml:space="preserve"> and </w:t>
      </w:r>
      <w:proofErr w:type="spellStart"/>
      <w:r w:rsidRPr="00DE4823">
        <w:rPr>
          <w:bCs/>
          <w:lang w:val="en-US"/>
        </w:rPr>
        <w:t>Papapetrou</w:t>
      </w:r>
      <w:proofErr w:type="spellEnd"/>
      <w:r w:rsidRPr="00DE4823">
        <w:rPr>
          <w:bCs/>
          <w:lang w:val="en-US"/>
        </w:rPr>
        <w:t xml:space="preserve"> (2001) investigated the dynamic relationships between the real stock returns, oil prices, and economic activity. They performed a VAR model using monthly data </w:t>
      </w:r>
      <w:proofErr w:type="gramStart"/>
      <w:r w:rsidRPr="00DE4823">
        <w:rPr>
          <w:bCs/>
          <w:lang w:val="en-US"/>
        </w:rPr>
        <w:t>between 1984:1–1999:9</w:t>
      </w:r>
      <w:proofErr w:type="gramEnd"/>
      <w:r w:rsidRPr="00DE4823">
        <w:rPr>
          <w:bCs/>
          <w:lang w:val="en-US"/>
        </w:rPr>
        <w:t xml:space="preserve">. They found that stock prices do not lead to changes in real economic activity but the macroeconomic activity and foreign stock market changes partially explained Greek stock price movements. They also found that oil price changes explain Greek stock price movements and have a negative impact on economic activity. </w:t>
      </w:r>
    </w:p>
    <w:p w:rsidR="00DE4823" w:rsidRPr="00DE4823" w:rsidRDefault="00DE4823" w:rsidP="00DE4823">
      <w:pPr>
        <w:jc w:val="both"/>
        <w:rPr>
          <w:bCs/>
          <w:lang w:val="en-US"/>
        </w:rPr>
      </w:pPr>
    </w:p>
    <w:p w:rsidR="00DE4823" w:rsidRDefault="00DE4823" w:rsidP="00DE4823">
      <w:pPr>
        <w:jc w:val="both"/>
        <w:rPr>
          <w:iCs/>
          <w:lang w:val="en-US"/>
        </w:rPr>
      </w:pPr>
      <w:proofErr w:type="spellStart"/>
      <w:r w:rsidRPr="00DE4823">
        <w:rPr>
          <w:lang w:val="en-US"/>
        </w:rPr>
        <w:t>Arango</w:t>
      </w:r>
      <w:proofErr w:type="spellEnd"/>
      <w:r w:rsidRPr="00DE4823">
        <w:rPr>
          <w:lang w:val="en-US"/>
        </w:rPr>
        <w:t xml:space="preserve">, Gonzales and Posada (2002) exhibited some evidence of the nonlinear and inverse relationship between the share prices on the Bogota stock market and the interest rate. They </w:t>
      </w:r>
      <w:r w:rsidRPr="00DE4823">
        <w:rPr>
          <w:iCs/>
          <w:lang w:val="en-US"/>
        </w:rPr>
        <w:t>used daily data from January 1994 up to February 2000. They attained that their model captured the stylized fact on this market of high dependence of returns in short periods of time.</w:t>
      </w:r>
    </w:p>
    <w:p w:rsidR="00DE4823" w:rsidRPr="00DE4823" w:rsidRDefault="00DE4823" w:rsidP="00DE4823">
      <w:pPr>
        <w:jc w:val="both"/>
        <w:rPr>
          <w:iCs/>
          <w:lang w:val="en-US"/>
        </w:rPr>
      </w:pPr>
    </w:p>
    <w:p w:rsidR="00DE4823" w:rsidRDefault="00DE4823" w:rsidP="00DE4823">
      <w:pPr>
        <w:jc w:val="both"/>
        <w:rPr>
          <w:lang w:val="en-US"/>
        </w:rPr>
      </w:pPr>
      <w:r w:rsidRPr="00DE4823">
        <w:rPr>
          <w:lang w:val="en-US"/>
        </w:rPr>
        <w:t xml:space="preserve">Simpson and Evans (2003) analyzed the dynamic interactions and long term relationships between banks share returns and interest rates with a VAR model including Granger Causality and </w:t>
      </w:r>
      <w:proofErr w:type="spellStart"/>
      <w:r w:rsidRPr="00DE4823">
        <w:rPr>
          <w:lang w:val="en-US"/>
        </w:rPr>
        <w:t>cointegration</w:t>
      </w:r>
      <w:proofErr w:type="spellEnd"/>
      <w:r w:rsidRPr="00DE4823">
        <w:rPr>
          <w:lang w:val="en-US"/>
        </w:rPr>
        <w:t xml:space="preserve"> analysis. They concluded that there is no long term </w:t>
      </w:r>
      <w:r w:rsidRPr="00DE4823">
        <w:rPr>
          <w:lang w:val="en-US"/>
        </w:rPr>
        <w:lastRenderedPageBreak/>
        <w:t>relationship between bank shares returns, bank share returns and exchange returns. However, a causality from bank share returns and to exchange rates and interest rates.</w:t>
      </w:r>
    </w:p>
    <w:p w:rsidR="00DE4823" w:rsidRPr="00DE4823" w:rsidRDefault="00DE4823" w:rsidP="00DE4823">
      <w:pPr>
        <w:jc w:val="both"/>
        <w:rPr>
          <w:lang w:val="en-US"/>
        </w:rPr>
      </w:pPr>
    </w:p>
    <w:p w:rsidR="00DE4823" w:rsidRDefault="00DE4823" w:rsidP="00DE4823">
      <w:pPr>
        <w:autoSpaceDE w:val="0"/>
        <w:autoSpaceDN w:val="0"/>
        <w:adjustRightInd w:val="0"/>
        <w:jc w:val="both"/>
        <w:rPr>
          <w:lang w:val="en-US"/>
        </w:rPr>
      </w:pPr>
      <w:proofErr w:type="spellStart"/>
      <w:r w:rsidRPr="00DE4823">
        <w:rPr>
          <w:bCs/>
          <w:lang w:val="en-US"/>
        </w:rPr>
        <w:t>Gan</w:t>
      </w:r>
      <w:proofErr w:type="spellEnd"/>
      <w:r w:rsidRPr="00DE4823">
        <w:rPr>
          <w:bCs/>
          <w:lang w:val="en-US"/>
        </w:rPr>
        <w:t xml:space="preserve"> et al. (2006) </w:t>
      </w:r>
      <w:r w:rsidRPr="00DE4823">
        <w:rPr>
          <w:lang w:val="en-US"/>
        </w:rPr>
        <w:t xml:space="preserve">examined the relationship between the New Zealand Stock Index and certain macroeconomic variables between 1990- 2003. They used monthly data to perform the </w:t>
      </w:r>
      <w:proofErr w:type="spellStart"/>
      <w:r w:rsidRPr="00DE4823">
        <w:rPr>
          <w:lang w:val="en-US"/>
        </w:rPr>
        <w:t>cointegration</w:t>
      </w:r>
      <w:proofErr w:type="spellEnd"/>
      <w:r w:rsidRPr="00DE4823">
        <w:rPr>
          <w:lang w:val="en-US"/>
        </w:rPr>
        <w:t xml:space="preserve"> tests.  They found that the New Zealand Stock Index is consistently determined by the interest rate, money supply and real GDP but no proof could be found whether the New Zealand Stock Index is a leading indicator for changes in macroeconomic variables.</w:t>
      </w:r>
    </w:p>
    <w:p w:rsidR="00DE4823" w:rsidRPr="00DE4823" w:rsidRDefault="00DE4823" w:rsidP="00DE4823">
      <w:pPr>
        <w:autoSpaceDE w:val="0"/>
        <w:autoSpaceDN w:val="0"/>
        <w:adjustRightInd w:val="0"/>
        <w:jc w:val="both"/>
        <w:rPr>
          <w:lang w:val="en-US"/>
        </w:rPr>
      </w:pPr>
    </w:p>
    <w:p w:rsidR="00DE4823" w:rsidRDefault="00DE4823" w:rsidP="00DE4823">
      <w:pPr>
        <w:jc w:val="both"/>
        <w:rPr>
          <w:lang w:val="en-US"/>
        </w:rPr>
      </w:pPr>
      <w:proofErr w:type="spellStart"/>
      <w:r w:rsidRPr="00DE4823">
        <w:rPr>
          <w:lang w:val="en-US"/>
        </w:rPr>
        <w:t>Kurihara</w:t>
      </w:r>
      <w:proofErr w:type="spellEnd"/>
      <w:r w:rsidRPr="00DE4823">
        <w:rPr>
          <w:lang w:val="en-US"/>
        </w:rPr>
        <w:t xml:space="preserve"> (2006) analyzed the relationships between Japan stock index and macroeconomic factors with using daily data Japan among March 2001 and September 2005. His study included various variables such as Japan stock index prices, USA stock index prices, Yen/USD exchange rates, Japan interest rates. As a result, he found that interest rates have no effect on Japan stock prices but, exchange rates and USA stock prices have effects on Japan stock prices. </w:t>
      </w:r>
    </w:p>
    <w:p w:rsidR="00DE4823" w:rsidRPr="00DE4823" w:rsidRDefault="00DE4823" w:rsidP="00DE4823">
      <w:pPr>
        <w:jc w:val="both"/>
        <w:rPr>
          <w:lang w:val="en-US"/>
        </w:rPr>
      </w:pPr>
    </w:p>
    <w:p w:rsidR="00DE4823" w:rsidRDefault="00DE4823" w:rsidP="00DE4823">
      <w:pPr>
        <w:autoSpaceDE w:val="0"/>
        <w:autoSpaceDN w:val="0"/>
        <w:adjustRightInd w:val="0"/>
        <w:jc w:val="both"/>
        <w:rPr>
          <w:lang w:val="en-US"/>
        </w:rPr>
      </w:pPr>
      <w:proofErr w:type="spellStart"/>
      <w:r w:rsidRPr="00DE4823">
        <w:rPr>
          <w:lang w:val="en-US"/>
        </w:rPr>
        <w:t>Ologunde</w:t>
      </w:r>
      <w:proofErr w:type="spellEnd"/>
      <w:r w:rsidRPr="00DE4823">
        <w:rPr>
          <w:lang w:val="en-US"/>
        </w:rPr>
        <w:t xml:space="preserve"> et al. (2006) employed a time series analysis to examine the effect of interest rate on some certain variables such as SMCR and government development stock rate between 1981-2000 years. They used the ordinary least-square (OLS) regression method and used yearly data. They found that interest rates have a positive influence on SMCR and a negative influence on government development stock rate. They also found that government development stock rate has a negative influence on SMCR.</w:t>
      </w:r>
    </w:p>
    <w:p w:rsidR="00DE4823" w:rsidRPr="00DE4823" w:rsidRDefault="00DE4823" w:rsidP="00DE4823">
      <w:pPr>
        <w:autoSpaceDE w:val="0"/>
        <w:autoSpaceDN w:val="0"/>
        <w:adjustRightInd w:val="0"/>
        <w:jc w:val="both"/>
        <w:rPr>
          <w:lang w:val="en-US"/>
        </w:rPr>
      </w:pPr>
    </w:p>
    <w:p w:rsidR="00DE4823" w:rsidRDefault="00DE4823" w:rsidP="00DE4823">
      <w:pPr>
        <w:jc w:val="both"/>
        <w:rPr>
          <w:lang w:val="en-US"/>
        </w:rPr>
      </w:pPr>
      <w:proofErr w:type="spellStart"/>
      <w:r w:rsidRPr="00DE4823">
        <w:rPr>
          <w:lang w:val="en-US"/>
        </w:rPr>
        <w:t>Mahmudul</w:t>
      </w:r>
      <w:proofErr w:type="spellEnd"/>
      <w:r w:rsidRPr="00DE4823">
        <w:rPr>
          <w:lang w:val="en-US"/>
        </w:rPr>
        <w:t xml:space="preserve"> and </w:t>
      </w:r>
      <w:proofErr w:type="spellStart"/>
      <w:r w:rsidRPr="00DE4823">
        <w:rPr>
          <w:lang w:val="en-US"/>
        </w:rPr>
        <w:t>Gazi</w:t>
      </w:r>
      <w:proofErr w:type="spellEnd"/>
      <w:r w:rsidRPr="00DE4823">
        <w:rPr>
          <w:lang w:val="en-US"/>
        </w:rPr>
        <w:t xml:space="preserve"> (2009) investigated the relationship between interest rate and stock price for 15 developed and developing countries including Australia, Bangladesh, Canada, Chile, Colombia, Germany, Italy, Jamaica, Japan, Malaysia, Mexico, Philippine, S. Africa, Spain, and Venezuela. They used monthly data from 1988 to 2003. They found that interest rates have a significant and negative relationship with share prices for most of the countries. Only six countries -Malaysia, Japan, Bangladesh, Colombia, Italy, and S. Africa are found that changes of interest rates have a significant and negative relationship with changes of share price.  </w:t>
      </w:r>
    </w:p>
    <w:p w:rsidR="00DE4823" w:rsidRPr="00DE4823" w:rsidRDefault="00DE4823" w:rsidP="00DE4823">
      <w:pPr>
        <w:jc w:val="both"/>
        <w:rPr>
          <w:lang w:val="en-US"/>
        </w:rPr>
      </w:pPr>
    </w:p>
    <w:p w:rsidR="00DE4823" w:rsidRPr="00DE4823" w:rsidRDefault="00DE4823" w:rsidP="00DE4823">
      <w:pPr>
        <w:jc w:val="both"/>
        <w:rPr>
          <w:lang w:val="en-US"/>
        </w:rPr>
      </w:pPr>
      <w:proofErr w:type="spellStart"/>
      <w:r w:rsidRPr="00DE4823">
        <w:rPr>
          <w:lang w:val="en-US"/>
        </w:rPr>
        <w:t>Büyükşalvarcı</w:t>
      </w:r>
      <w:proofErr w:type="spellEnd"/>
      <w:r w:rsidRPr="00DE4823">
        <w:rPr>
          <w:lang w:val="en-US"/>
        </w:rPr>
        <w:t xml:space="preserve"> (2010) analyzed the effects of certain macroeconomic variables on share index by arbitrage pricing model. The model contains seven macroeconomic variables (consumer price index, money market interest rates, industrial production index, gold prices, oil prices, exchange rates, money supply) and Istanbul Stock Exchange 100 Index returns. The dynamics between the seven variables and Istanbul Stock Exchange 100 Index returns are introduced by a multiple regression method. As a conclusion, interest rates, industrial production index, oil prices and exchange rates have negative effects on Istanbul Stock Exchange 100 Index returns, but money supply has a positive effect on Istanbul Stock Exchange 100 Index returns. Inflation rate and gold prices have no significant effect on Istanbul Stock Exchange 100 Index returns.</w:t>
      </w:r>
    </w:p>
    <w:p w:rsidR="00DE4823" w:rsidRPr="00DE4823" w:rsidRDefault="00DE4823" w:rsidP="00DE4823">
      <w:pPr>
        <w:rPr>
          <w:b/>
          <w:lang w:val="en-US"/>
        </w:rPr>
      </w:pPr>
    </w:p>
    <w:p w:rsidR="00DE4823" w:rsidRPr="00DE4823" w:rsidRDefault="00DE4823" w:rsidP="00DE4823">
      <w:pPr>
        <w:rPr>
          <w:b/>
          <w:lang w:val="en-US"/>
        </w:rPr>
      </w:pPr>
      <w:r w:rsidRPr="00DE4823">
        <w:rPr>
          <w:b/>
          <w:lang w:val="en-US"/>
        </w:rPr>
        <w:t>4. Methodology</w:t>
      </w:r>
    </w:p>
    <w:p w:rsidR="00DE4823" w:rsidRPr="00DE4823" w:rsidRDefault="00DE4823" w:rsidP="00DE4823">
      <w:pPr>
        <w:rPr>
          <w:b/>
          <w:lang w:val="en-US"/>
        </w:rPr>
      </w:pPr>
    </w:p>
    <w:p w:rsidR="00DE4823" w:rsidRPr="00DE4823" w:rsidRDefault="00DE4823" w:rsidP="00DE4823">
      <w:pPr>
        <w:jc w:val="both"/>
        <w:rPr>
          <w:lang w:val="en-US"/>
        </w:rPr>
      </w:pPr>
      <w:r w:rsidRPr="00DE4823">
        <w:rPr>
          <w:lang w:val="en-US"/>
        </w:rPr>
        <w:t>In this section of the study, the relationships between SMCR and interest rates in Turkey over the period 1998-2012 is analyzed using time series methods of co-integration and Granger Causality. For that purpose, data set will be defined first, and then time series properties of the series will be tested.</w:t>
      </w:r>
    </w:p>
    <w:p w:rsidR="00DE4823" w:rsidRPr="00DE4823" w:rsidRDefault="00DE4823" w:rsidP="00DE4823">
      <w:pPr>
        <w:rPr>
          <w:b/>
          <w:lang w:val="en-US"/>
        </w:rPr>
      </w:pPr>
    </w:p>
    <w:p w:rsidR="00DE4823" w:rsidRPr="00DE4823" w:rsidRDefault="00DE4823" w:rsidP="00DE4823">
      <w:pPr>
        <w:rPr>
          <w:b/>
          <w:bCs/>
          <w:lang w:val="en-US"/>
        </w:rPr>
      </w:pPr>
      <w:r w:rsidRPr="00DE4823">
        <w:rPr>
          <w:b/>
          <w:bCs/>
          <w:lang w:val="en-US"/>
        </w:rPr>
        <w:t>4.1. Data Description</w:t>
      </w:r>
    </w:p>
    <w:p w:rsidR="00DE4823" w:rsidRPr="00DE4823" w:rsidRDefault="00DE4823" w:rsidP="00DE4823">
      <w:pPr>
        <w:rPr>
          <w:b/>
          <w:bCs/>
          <w:lang w:val="en-US"/>
        </w:rPr>
      </w:pPr>
    </w:p>
    <w:p w:rsidR="00DE4823" w:rsidRDefault="00DE4823" w:rsidP="00DE4823">
      <w:pPr>
        <w:jc w:val="both"/>
        <w:rPr>
          <w:bCs/>
          <w:lang w:val="en-US"/>
        </w:rPr>
      </w:pPr>
      <w:r w:rsidRPr="00DE4823">
        <w:rPr>
          <w:bCs/>
          <w:lang w:val="en-US"/>
        </w:rPr>
        <w:t xml:space="preserve">In the study, an empirical analysis was made to detect </w:t>
      </w:r>
      <w:r w:rsidRPr="00DE4823">
        <w:rPr>
          <w:lang w:val="en-US"/>
        </w:rPr>
        <w:t>the relationships between the ISE SMCR and interest rate with a VAR model</w:t>
      </w:r>
      <w:r w:rsidRPr="00DE4823">
        <w:rPr>
          <w:bCs/>
          <w:lang w:val="en-US"/>
        </w:rPr>
        <w:t xml:space="preserve">. For this purpose, quarterly data between 1998:Q1 and 2012:Q3 periods were included. </w:t>
      </w:r>
    </w:p>
    <w:p w:rsidR="00DE4823" w:rsidRPr="00DE4823" w:rsidRDefault="00DE4823" w:rsidP="00DE4823">
      <w:pPr>
        <w:jc w:val="both"/>
        <w:rPr>
          <w:bCs/>
          <w:lang w:val="en-US"/>
        </w:rPr>
      </w:pPr>
    </w:p>
    <w:p w:rsidR="00DE4823" w:rsidRPr="00DE4823" w:rsidRDefault="00DE4823" w:rsidP="00DE4823">
      <w:pPr>
        <w:jc w:val="both"/>
        <w:rPr>
          <w:bCs/>
          <w:lang w:val="en-US"/>
        </w:rPr>
      </w:pPr>
      <w:r w:rsidRPr="00DE4823">
        <w:rPr>
          <w:bCs/>
          <w:lang w:val="en-US"/>
        </w:rPr>
        <w:t xml:space="preserve">Market Capitalization data is obtained from the website of ISE or at present name </w:t>
      </w:r>
      <w:proofErr w:type="spellStart"/>
      <w:r w:rsidRPr="00DE4823">
        <w:rPr>
          <w:bCs/>
          <w:lang w:val="en-US"/>
        </w:rPr>
        <w:t>Borsaİstanbul</w:t>
      </w:r>
      <w:proofErr w:type="spellEnd"/>
      <w:r w:rsidRPr="00DE4823">
        <w:rPr>
          <w:bCs/>
          <w:lang w:val="en-US"/>
        </w:rPr>
        <w:t>. The SMCR is defined as market capitalization data divided by GDP. Data for the interest rate was retrieved from the website of the TCMB (Central Bank of Turkey).</w:t>
      </w:r>
    </w:p>
    <w:p w:rsidR="00DE4823" w:rsidRPr="00DE4823" w:rsidRDefault="00DE4823" w:rsidP="00DE4823">
      <w:pPr>
        <w:jc w:val="both"/>
        <w:rPr>
          <w:bCs/>
          <w:lang w:val="en-US"/>
        </w:rPr>
      </w:pPr>
      <w:r w:rsidRPr="00DE4823">
        <w:rPr>
          <w:bCs/>
          <w:lang w:val="en-US"/>
        </w:rPr>
        <w:t>Data set and definitions can be seen in Table 1.</w:t>
      </w:r>
    </w:p>
    <w:p w:rsidR="00DE4823" w:rsidRPr="00DE4823" w:rsidRDefault="00DE4823" w:rsidP="00DE4823">
      <w:pPr>
        <w:rPr>
          <w:b/>
          <w:lang w:val="en-US"/>
        </w:rPr>
      </w:pPr>
    </w:p>
    <w:p w:rsidR="00DE4823" w:rsidRPr="00DE4823" w:rsidRDefault="00DE4823" w:rsidP="00DE4823">
      <w:pPr>
        <w:jc w:val="center"/>
        <w:rPr>
          <w:lang w:val="en-US"/>
        </w:rPr>
      </w:pPr>
      <w:r w:rsidRPr="00DE4823">
        <w:rPr>
          <w:b/>
          <w:lang w:val="en-US"/>
        </w:rPr>
        <w:t>Table 1:</w:t>
      </w:r>
      <w:r w:rsidRPr="00DE4823">
        <w:rPr>
          <w:lang w:val="en-US"/>
        </w:rPr>
        <w:t xml:space="preserve"> Data Set</w:t>
      </w:r>
    </w:p>
    <w:tbl>
      <w:tblPr>
        <w:tblStyle w:val="TableGrid"/>
        <w:tblW w:w="8280" w:type="dxa"/>
        <w:jc w:val="center"/>
        <w:tblInd w:w="108" w:type="dxa"/>
        <w:tblLook w:val="01E0" w:firstRow="1" w:lastRow="1" w:firstColumn="1" w:lastColumn="1" w:noHBand="0" w:noVBand="0"/>
      </w:tblPr>
      <w:tblGrid>
        <w:gridCol w:w="1148"/>
        <w:gridCol w:w="2236"/>
        <w:gridCol w:w="4896"/>
      </w:tblGrid>
      <w:tr w:rsidR="00DE4823" w:rsidRPr="00DE4823" w:rsidTr="00766E8D">
        <w:trPr>
          <w:jc w:val="center"/>
        </w:trPr>
        <w:tc>
          <w:tcPr>
            <w:tcW w:w="1148" w:type="dxa"/>
            <w:tcBorders>
              <w:top w:val="single" w:sz="12" w:space="0" w:color="auto"/>
              <w:left w:val="single" w:sz="4" w:space="0" w:color="auto"/>
              <w:bottom w:val="single" w:sz="12" w:space="0" w:color="auto"/>
              <w:right w:val="single" w:sz="4" w:space="0" w:color="auto"/>
            </w:tcBorders>
          </w:tcPr>
          <w:p w:rsidR="00DE4823" w:rsidRPr="00DE4823" w:rsidRDefault="00DE4823" w:rsidP="00766E8D">
            <w:r w:rsidRPr="00DE4823">
              <w:t>Variable</w:t>
            </w:r>
          </w:p>
        </w:tc>
        <w:tc>
          <w:tcPr>
            <w:tcW w:w="2236" w:type="dxa"/>
            <w:tcBorders>
              <w:top w:val="single" w:sz="12" w:space="0" w:color="auto"/>
              <w:left w:val="single" w:sz="4" w:space="0" w:color="auto"/>
              <w:bottom w:val="single" w:sz="12" w:space="0" w:color="auto"/>
              <w:right w:val="single" w:sz="4" w:space="0" w:color="auto"/>
            </w:tcBorders>
          </w:tcPr>
          <w:p w:rsidR="00DE4823" w:rsidRPr="00DE4823" w:rsidRDefault="00DE4823" w:rsidP="00766E8D">
            <w:r w:rsidRPr="00DE4823">
              <w:t>Definition</w:t>
            </w:r>
          </w:p>
        </w:tc>
        <w:tc>
          <w:tcPr>
            <w:tcW w:w="4896" w:type="dxa"/>
            <w:tcBorders>
              <w:top w:val="single" w:sz="12" w:space="0" w:color="auto"/>
              <w:left w:val="single" w:sz="4" w:space="0" w:color="auto"/>
              <w:bottom w:val="single" w:sz="12" w:space="0" w:color="auto"/>
              <w:right w:val="single" w:sz="4" w:space="0" w:color="auto"/>
            </w:tcBorders>
          </w:tcPr>
          <w:p w:rsidR="00DE4823" w:rsidRPr="00DE4823" w:rsidRDefault="00DE4823" w:rsidP="00766E8D"/>
        </w:tc>
      </w:tr>
      <w:tr w:rsidR="00DE4823" w:rsidRPr="00DE4823" w:rsidTr="00766E8D">
        <w:trPr>
          <w:jc w:val="center"/>
        </w:trPr>
        <w:tc>
          <w:tcPr>
            <w:tcW w:w="1148" w:type="dxa"/>
            <w:vAlign w:val="center"/>
          </w:tcPr>
          <w:p w:rsidR="00DE4823" w:rsidRPr="00DE4823" w:rsidRDefault="00DE4823" w:rsidP="00766E8D">
            <w:proofErr w:type="spellStart"/>
            <w:r w:rsidRPr="00DE4823">
              <w:t>dMSC</w:t>
            </w:r>
            <w:proofErr w:type="spellEnd"/>
          </w:p>
        </w:tc>
        <w:tc>
          <w:tcPr>
            <w:tcW w:w="2236" w:type="dxa"/>
            <w:vAlign w:val="center"/>
          </w:tcPr>
          <w:p w:rsidR="00DE4823" w:rsidRPr="00DE4823" w:rsidRDefault="00DE4823" w:rsidP="00766E8D">
            <w:r w:rsidRPr="00DE4823">
              <w:t>SMCR</w:t>
            </w:r>
          </w:p>
        </w:tc>
        <w:tc>
          <w:tcPr>
            <w:tcW w:w="4896" w:type="dxa"/>
            <w:vAlign w:val="center"/>
          </w:tcPr>
          <w:p w:rsidR="00DE4823" w:rsidRPr="00DE4823" w:rsidRDefault="00DE4823" w:rsidP="00766E8D">
            <w:r w:rsidRPr="00DE4823">
              <w:t>Ratio of stock market capitalization to GDP</w:t>
            </w:r>
          </w:p>
        </w:tc>
      </w:tr>
      <w:tr w:rsidR="00DE4823" w:rsidRPr="00DE4823" w:rsidTr="00766E8D">
        <w:trPr>
          <w:jc w:val="center"/>
        </w:trPr>
        <w:tc>
          <w:tcPr>
            <w:tcW w:w="1148" w:type="dxa"/>
            <w:vAlign w:val="center"/>
          </w:tcPr>
          <w:p w:rsidR="00DE4823" w:rsidRPr="00DE4823" w:rsidRDefault="00DE4823" w:rsidP="00766E8D">
            <w:proofErr w:type="spellStart"/>
            <w:r w:rsidRPr="00DE4823">
              <w:t>dintr</w:t>
            </w:r>
            <w:proofErr w:type="spellEnd"/>
          </w:p>
        </w:tc>
        <w:tc>
          <w:tcPr>
            <w:tcW w:w="2236" w:type="dxa"/>
            <w:vAlign w:val="center"/>
          </w:tcPr>
          <w:p w:rsidR="00DE4823" w:rsidRPr="00DE4823" w:rsidRDefault="00DE4823" w:rsidP="00766E8D">
            <w:r w:rsidRPr="00DE4823">
              <w:t>Interest rate</w:t>
            </w:r>
          </w:p>
        </w:tc>
        <w:tc>
          <w:tcPr>
            <w:tcW w:w="4896" w:type="dxa"/>
            <w:vAlign w:val="center"/>
          </w:tcPr>
          <w:p w:rsidR="00DE4823" w:rsidRPr="00DE4823" w:rsidRDefault="00DE4823" w:rsidP="00766E8D">
            <w:r w:rsidRPr="00DE4823">
              <w:t>2 to 14 days weighted average interest rate</w:t>
            </w:r>
          </w:p>
        </w:tc>
      </w:tr>
    </w:tbl>
    <w:p w:rsidR="00DE4823" w:rsidRPr="00DE4823" w:rsidRDefault="00DE4823" w:rsidP="00DE4823">
      <w:pPr>
        <w:rPr>
          <w:b/>
          <w:lang w:val="en-US"/>
        </w:rPr>
      </w:pPr>
    </w:p>
    <w:p w:rsidR="00DE4823" w:rsidRPr="00DE4823" w:rsidRDefault="00DE4823" w:rsidP="00DE4823">
      <w:pPr>
        <w:rPr>
          <w:b/>
          <w:lang w:val="en-US"/>
        </w:rPr>
      </w:pPr>
      <w:r w:rsidRPr="00DE4823">
        <w:rPr>
          <w:b/>
          <w:lang w:val="en-US"/>
        </w:rPr>
        <w:t>4.2. Methodology and Empirical Results</w:t>
      </w:r>
    </w:p>
    <w:p w:rsidR="00DE4823" w:rsidRPr="00DE4823" w:rsidRDefault="00DE4823" w:rsidP="00DE4823">
      <w:pPr>
        <w:jc w:val="both"/>
        <w:rPr>
          <w:lang w:val="en-US"/>
        </w:rPr>
      </w:pPr>
    </w:p>
    <w:p w:rsidR="00DE4823" w:rsidRPr="00DE4823" w:rsidRDefault="00DE4823" w:rsidP="00DE4823">
      <w:pPr>
        <w:jc w:val="both"/>
        <w:rPr>
          <w:lang w:val="en-US"/>
        </w:rPr>
      </w:pPr>
      <w:r w:rsidRPr="00DE4823">
        <w:rPr>
          <w:lang w:val="en-US"/>
        </w:rPr>
        <w:t xml:space="preserve">Initially we graph the series, it is seen that there is no </w:t>
      </w:r>
      <w:proofErr w:type="spellStart"/>
      <w:r w:rsidRPr="00DE4823">
        <w:rPr>
          <w:lang w:val="en-US"/>
        </w:rPr>
        <w:t>stationarity</w:t>
      </w:r>
      <w:proofErr w:type="spellEnd"/>
      <w:r w:rsidRPr="00DE4823">
        <w:rPr>
          <w:lang w:val="en-US"/>
        </w:rPr>
        <w:t xml:space="preserve"> for both of the series. If the series are not stationary in level, variance and covariance of the series are not fixed in the research period.</w:t>
      </w:r>
    </w:p>
    <w:p w:rsidR="00DE4823" w:rsidRPr="00DE4823" w:rsidRDefault="00DE4823" w:rsidP="00DE4823">
      <w:pPr>
        <w:jc w:val="both"/>
        <w:rPr>
          <w:lang w:val="en-US"/>
        </w:rPr>
      </w:pPr>
    </w:p>
    <w:p w:rsidR="00DE4823" w:rsidRPr="00DE4823" w:rsidRDefault="00DE4823" w:rsidP="00DE4823">
      <w:pPr>
        <w:jc w:val="center"/>
        <w:rPr>
          <w:lang w:val="en-US"/>
        </w:rPr>
      </w:pPr>
      <w:r w:rsidRPr="00DE4823">
        <w:rPr>
          <w:b/>
          <w:bCs/>
          <w:lang w:val="en-US"/>
        </w:rPr>
        <w:t>Graph 1:</w:t>
      </w:r>
      <w:r w:rsidRPr="00DE4823">
        <w:rPr>
          <w:bCs/>
          <w:lang w:val="en-US"/>
        </w:rPr>
        <w:t xml:space="preserve"> </w:t>
      </w:r>
      <w:r w:rsidRPr="00DE4823">
        <w:rPr>
          <w:lang w:val="en-US"/>
        </w:rPr>
        <w:t xml:space="preserve">Variables Volatility </w:t>
      </w:r>
    </w:p>
    <w:p w:rsidR="00DE4823" w:rsidRPr="00DE4823" w:rsidRDefault="00DE4823" w:rsidP="00DE4823">
      <w:pPr>
        <w:rPr>
          <w:b/>
          <w:lang w:val="en-US"/>
        </w:rPr>
      </w:pPr>
      <w:r w:rsidRPr="00DE4823">
        <w:rPr>
          <w:noProof/>
          <w:lang w:val="en-US" w:eastAsia="en-US"/>
        </w:rPr>
        <w:drawing>
          <wp:anchor distT="0" distB="0" distL="114300" distR="114300" simplePos="0" relativeHeight="251659264" behindDoc="1" locked="0" layoutInCell="1" allowOverlap="1" wp14:anchorId="2750C3BF" wp14:editId="607230C1">
            <wp:simplePos x="0" y="0"/>
            <wp:positionH relativeFrom="column">
              <wp:posOffset>1257300</wp:posOffset>
            </wp:positionH>
            <wp:positionV relativeFrom="paragraph">
              <wp:posOffset>83820</wp:posOffset>
            </wp:positionV>
            <wp:extent cx="3429000" cy="2401570"/>
            <wp:effectExtent l="0" t="0" r="0" b="0"/>
            <wp:wrapTight wrapText="bothSides">
              <wp:wrapPolygon edited="0">
                <wp:start x="0" y="0"/>
                <wp:lineTo x="0" y="7196"/>
                <wp:lineTo x="360" y="8224"/>
                <wp:lineTo x="1080" y="8224"/>
                <wp:lineTo x="120" y="10109"/>
                <wp:lineTo x="120" y="10280"/>
                <wp:lineTo x="1080" y="10966"/>
                <wp:lineTo x="120" y="12508"/>
                <wp:lineTo x="1080" y="13707"/>
                <wp:lineTo x="240" y="14735"/>
                <wp:lineTo x="240" y="15249"/>
                <wp:lineTo x="1080" y="16448"/>
                <wp:lineTo x="360" y="17476"/>
                <wp:lineTo x="1080" y="18847"/>
                <wp:lineTo x="10800" y="19190"/>
                <wp:lineTo x="8280" y="19875"/>
                <wp:lineTo x="7800" y="20218"/>
                <wp:lineTo x="7800" y="21417"/>
                <wp:lineTo x="14880" y="21417"/>
                <wp:lineTo x="15120" y="20389"/>
                <wp:lineTo x="14520" y="20047"/>
                <wp:lineTo x="10800" y="19190"/>
                <wp:lineTo x="21480" y="18847"/>
                <wp:lineTo x="21480" y="343"/>
                <wp:lineTo x="10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401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lang w:val="en-US"/>
        </w:rPr>
      </w:pPr>
    </w:p>
    <w:p w:rsidR="00DE4823" w:rsidRPr="00DE4823" w:rsidRDefault="00DE4823" w:rsidP="00DE4823">
      <w:pPr>
        <w:jc w:val="both"/>
        <w:rPr>
          <w:lang w:val="en-US"/>
        </w:rPr>
      </w:pPr>
      <w:r w:rsidRPr="00DE4823">
        <w:rPr>
          <w:lang w:val="en-US"/>
        </w:rPr>
        <w:t xml:space="preserve">After an observational look, the stationary of each variable were tested by unit root tests to determine their level of </w:t>
      </w:r>
      <w:proofErr w:type="spellStart"/>
      <w:r w:rsidRPr="00DE4823">
        <w:rPr>
          <w:lang w:val="en-US"/>
        </w:rPr>
        <w:t>stationarity</w:t>
      </w:r>
      <w:proofErr w:type="spellEnd"/>
      <w:r w:rsidRPr="00DE4823">
        <w:rPr>
          <w:lang w:val="en-US"/>
        </w:rPr>
        <w:t>. Stationary variables could be used in the model. Then, a VAR model is estimated, granger causality, impulse- response functions and variance decomposition were tested in order to emphasize the dynamic properties of the system.</w:t>
      </w:r>
    </w:p>
    <w:p w:rsidR="00DE4823" w:rsidRPr="00DE4823" w:rsidRDefault="00DE4823" w:rsidP="00DE4823">
      <w:pPr>
        <w:rPr>
          <w:b/>
          <w:lang w:val="en-US"/>
        </w:rPr>
      </w:pPr>
    </w:p>
    <w:p w:rsidR="00DE4823" w:rsidRPr="00DE4823" w:rsidRDefault="00DE4823" w:rsidP="00DE4823">
      <w:pPr>
        <w:rPr>
          <w:b/>
          <w:lang w:val="en-US"/>
        </w:rPr>
      </w:pPr>
      <w:r w:rsidRPr="00DE4823">
        <w:rPr>
          <w:b/>
          <w:lang w:val="en-US"/>
        </w:rPr>
        <w:t>4.2.1. Unit Root Test</w:t>
      </w:r>
    </w:p>
    <w:p w:rsidR="00DE4823" w:rsidRPr="00DE4823" w:rsidRDefault="00DE4823" w:rsidP="00DE4823">
      <w:pPr>
        <w:rPr>
          <w:b/>
          <w:lang w:val="en-US"/>
        </w:rPr>
      </w:pPr>
    </w:p>
    <w:p w:rsidR="00DE4823" w:rsidRPr="00DE4823" w:rsidRDefault="00DE4823" w:rsidP="00DE4823">
      <w:pPr>
        <w:jc w:val="both"/>
        <w:rPr>
          <w:lang w:val="en-US"/>
        </w:rPr>
      </w:pPr>
      <w:proofErr w:type="spellStart"/>
      <w:r w:rsidRPr="00DE4823">
        <w:rPr>
          <w:lang w:val="en-US"/>
        </w:rPr>
        <w:t>Stationarity</w:t>
      </w:r>
      <w:proofErr w:type="spellEnd"/>
      <w:r w:rsidRPr="00DE4823">
        <w:rPr>
          <w:lang w:val="en-US"/>
        </w:rPr>
        <w:t xml:space="preserve"> of the time series is a salient pre-condition in future estimations. That is related to the fact that if the analysis is conducted with non-stationary time series, spurious regression problem occurs. In such a case, series with no actual interrelationship may seem as if they are interrelated (</w:t>
      </w:r>
      <w:proofErr w:type="spellStart"/>
      <w:r w:rsidRPr="00DE4823">
        <w:rPr>
          <w:lang w:val="en-US"/>
        </w:rPr>
        <w:t>Özata</w:t>
      </w:r>
      <w:proofErr w:type="spellEnd"/>
      <w:r w:rsidRPr="00DE4823">
        <w:rPr>
          <w:lang w:val="en-US"/>
        </w:rPr>
        <w:t xml:space="preserve"> and </w:t>
      </w:r>
      <w:proofErr w:type="spellStart"/>
      <w:r w:rsidRPr="00DE4823">
        <w:rPr>
          <w:lang w:val="en-US"/>
        </w:rPr>
        <w:t>Esen</w:t>
      </w:r>
      <w:proofErr w:type="spellEnd"/>
      <w:r w:rsidRPr="00DE4823">
        <w:rPr>
          <w:lang w:val="en-US"/>
        </w:rPr>
        <w:t xml:space="preserve">, 2010). In this study </w:t>
      </w:r>
      <w:proofErr w:type="spellStart"/>
      <w:r w:rsidRPr="00DE4823">
        <w:rPr>
          <w:lang w:val="en-US"/>
        </w:rPr>
        <w:t>stationarity</w:t>
      </w:r>
      <w:proofErr w:type="spellEnd"/>
      <w:r w:rsidRPr="00DE4823">
        <w:rPr>
          <w:lang w:val="en-US"/>
        </w:rPr>
        <w:t xml:space="preserve"> of the variables </w:t>
      </w:r>
      <w:r w:rsidRPr="00DE4823">
        <w:rPr>
          <w:lang w:val="en-US"/>
        </w:rPr>
        <w:lastRenderedPageBreak/>
        <w:t>are tested by unit root tests of Augmented Dickey-Fuller (ADF), Philips-Peron (PP) and KPSS. None of the series is found to be stationary as a result of ADF, PP and KPSS test results. All of the series become stationary when their first differences are taken. Therefore, all of the series are first-order integrated I (1). As a consequence, differenced series are used in the analysis. Results of the unit root tests are presented in Table 2.</w:t>
      </w:r>
    </w:p>
    <w:p w:rsidR="00DE4823" w:rsidRPr="00DE4823" w:rsidRDefault="00DE4823" w:rsidP="00DE4823">
      <w:pPr>
        <w:rPr>
          <w:b/>
          <w:lang w:val="en-US"/>
        </w:rPr>
      </w:pPr>
    </w:p>
    <w:p w:rsidR="00DE4823" w:rsidRPr="00DE4823" w:rsidRDefault="00DE4823" w:rsidP="00DE4823">
      <w:pPr>
        <w:tabs>
          <w:tab w:val="left" w:pos="5685"/>
        </w:tabs>
        <w:jc w:val="center"/>
        <w:rPr>
          <w:lang w:val="en-US"/>
        </w:rPr>
      </w:pPr>
      <w:r w:rsidRPr="00DE4823">
        <w:rPr>
          <w:b/>
          <w:lang w:val="en-US"/>
        </w:rPr>
        <w:t>Table 2:</w:t>
      </w:r>
      <w:r w:rsidRPr="00DE4823">
        <w:rPr>
          <w:lang w:val="en-US"/>
        </w:rPr>
        <w:t xml:space="preserve"> Unit root test results</w:t>
      </w:r>
    </w:p>
    <w:tbl>
      <w:tblPr>
        <w:tblStyle w:val="TableList1"/>
        <w:tblW w:w="0" w:type="auto"/>
        <w:jc w:val="center"/>
        <w:tblLook w:val="01E0" w:firstRow="1" w:lastRow="1" w:firstColumn="1" w:lastColumn="1" w:noHBand="0" w:noVBand="0"/>
      </w:tblPr>
      <w:tblGrid>
        <w:gridCol w:w="1188"/>
        <w:gridCol w:w="1750"/>
        <w:gridCol w:w="1388"/>
      </w:tblGrid>
      <w:tr w:rsidR="00DE4823" w:rsidRPr="00DE4823" w:rsidTr="00766E8D">
        <w:trPr>
          <w:cnfStyle w:val="100000000000" w:firstRow="1" w:lastRow="0" w:firstColumn="0" w:lastColumn="0" w:oddVBand="0" w:evenVBand="0" w:oddHBand="0" w:evenHBand="0" w:firstRowFirstColumn="0" w:firstRowLastColumn="0" w:lastRowFirstColumn="0" w:lastRowLastColumn="0"/>
          <w:trHeight w:val="390"/>
          <w:jc w:val="center"/>
        </w:trPr>
        <w:tc>
          <w:tcPr>
            <w:tcW w:w="1188" w:type="dxa"/>
          </w:tcPr>
          <w:p w:rsidR="00DE4823" w:rsidRPr="00DE4823" w:rsidRDefault="00DE4823" w:rsidP="00766E8D">
            <w:pPr>
              <w:spacing w:line="360" w:lineRule="auto"/>
              <w:jc w:val="both"/>
              <w:rPr>
                <w:b w:val="0"/>
                <w:i w:val="0"/>
                <w:color w:val="auto"/>
              </w:rPr>
            </w:pPr>
            <w:r w:rsidRPr="00DE4823">
              <w:rPr>
                <w:b w:val="0"/>
                <w:i w:val="0"/>
                <w:color w:val="auto"/>
              </w:rPr>
              <w:t>TEST</w:t>
            </w:r>
          </w:p>
        </w:tc>
        <w:tc>
          <w:tcPr>
            <w:tcW w:w="1750" w:type="dxa"/>
          </w:tcPr>
          <w:p w:rsidR="00DE4823" w:rsidRPr="00DE4823" w:rsidRDefault="00DE4823" w:rsidP="00766E8D">
            <w:pPr>
              <w:spacing w:line="360" w:lineRule="auto"/>
              <w:jc w:val="center"/>
              <w:rPr>
                <w:b w:val="0"/>
                <w:i w:val="0"/>
                <w:color w:val="auto"/>
              </w:rPr>
            </w:pPr>
            <w:proofErr w:type="spellStart"/>
            <w:r w:rsidRPr="00DE4823">
              <w:rPr>
                <w:b w:val="0"/>
                <w:i w:val="0"/>
                <w:color w:val="auto"/>
              </w:rPr>
              <w:t>dMCR</w:t>
            </w:r>
            <w:proofErr w:type="spellEnd"/>
          </w:p>
        </w:tc>
        <w:tc>
          <w:tcPr>
            <w:tcW w:w="1388" w:type="dxa"/>
          </w:tcPr>
          <w:p w:rsidR="00DE4823" w:rsidRPr="00DE4823" w:rsidRDefault="00DE4823" w:rsidP="00766E8D">
            <w:pPr>
              <w:spacing w:line="360" w:lineRule="auto"/>
              <w:jc w:val="center"/>
              <w:rPr>
                <w:b w:val="0"/>
                <w:i w:val="0"/>
                <w:color w:val="auto"/>
              </w:rPr>
            </w:pPr>
            <w:proofErr w:type="spellStart"/>
            <w:r w:rsidRPr="00DE4823">
              <w:rPr>
                <w:b w:val="0"/>
                <w:i w:val="0"/>
                <w:color w:val="auto"/>
              </w:rPr>
              <w:t>dINT</w:t>
            </w:r>
            <w:proofErr w:type="spellEnd"/>
          </w:p>
        </w:tc>
      </w:tr>
      <w:tr w:rsidR="00DE4823" w:rsidRPr="00DE4823" w:rsidTr="00766E8D">
        <w:trPr>
          <w:cnfStyle w:val="000000100000" w:firstRow="0" w:lastRow="0" w:firstColumn="0" w:lastColumn="0" w:oddVBand="0" w:evenVBand="0" w:oddHBand="1" w:evenHBand="0" w:firstRowFirstColumn="0" w:firstRowLastColumn="0" w:lastRowFirstColumn="0" w:lastRowLastColumn="0"/>
          <w:trHeight w:val="390"/>
          <w:jc w:val="center"/>
        </w:trPr>
        <w:tc>
          <w:tcPr>
            <w:tcW w:w="1188" w:type="dxa"/>
          </w:tcPr>
          <w:p w:rsidR="00DE4823" w:rsidRPr="00DE4823" w:rsidRDefault="00DE4823" w:rsidP="00766E8D">
            <w:pPr>
              <w:spacing w:line="360" w:lineRule="auto"/>
              <w:jc w:val="both"/>
              <w:rPr>
                <w:b/>
              </w:rPr>
            </w:pPr>
            <w:r w:rsidRPr="00DE4823">
              <w:rPr>
                <w:b/>
              </w:rPr>
              <w:t>ADF(c)</w:t>
            </w:r>
          </w:p>
        </w:tc>
        <w:tc>
          <w:tcPr>
            <w:tcW w:w="1750" w:type="dxa"/>
          </w:tcPr>
          <w:p w:rsidR="00DE4823" w:rsidRPr="00DE4823" w:rsidRDefault="00DE4823" w:rsidP="00766E8D">
            <w:pPr>
              <w:spacing w:line="360" w:lineRule="auto"/>
              <w:jc w:val="center"/>
            </w:pPr>
            <w:r w:rsidRPr="00DE4823">
              <w:t>-7.610268</w:t>
            </w:r>
          </w:p>
        </w:tc>
        <w:tc>
          <w:tcPr>
            <w:tcW w:w="1388" w:type="dxa"/>
          </w:tcPr>
          <w:p w:rsidR="00DE4823" w:rsidRPr="00DE4823" w:rsidRDefault="00DE4823" w:rsidP="00766E8D">
            <w:pPr>
              <w:spacing w:line="360" w:lineRule="auto"/>
              <w:jc w:val="center"/>
            </w:pPr>
            <w:r w:rsidRPr="00DE4823">
              <w:t>-5.406468</w:t>
            </w:r>
          </w:p>
        </w:tc>
      </w:tr>
      <w:tr w:rsidR="00DE4823" w:rsidRPr="00DE4823" w:rsidTr="00766E8D">
        <w:trPr>
          <w:cnfStyle w:val="000000010000" w:firstRow="0" w:lastRow="0" w:firstColumn="0" w:lastColumn="0" w:oddVBand="0" w:evenVBand="0" w:oddHBand="0" w:evenHBand="1" w:firstRowFirstColumn="0" w:firstRowLastColumn="0" w:lastRowFirstColumn="0" w:lastRowLastColumn="0"/>
          <w:trHeight w:val="390"/>
          <w:jc w:val="center"/>
        </w:trPr>
        <w:tc>
          <w:tcPr>
            <w:tcW w:w="1188" w:type="dxa"/>
          </w:tcPr>
          <w:p w:rsidR="00DE4823" w:rsidRPr="00DE4823" w:rsidRDefault="00DE4823" w:rsidP="00766E8D">
            <w:pPr>
              <w:spacing w:line="360" w:lineRule="auto"/>
              <w:jc w:val="both"/>
              <w:rPr>
                <w:b/>
              </w:rPr>
            </w:pPr>
            <w:r w:rsidRPr="00DE4823">
              <w:rPr>
                <w:b/>
              </w:rPr>
              <w:t>ADF(t)</w:t>
            </w:r>
          </w:p>
        </w:tc>
        <w:tc>
          <w:tcPr>
            <w:tcW w:w="1750" w:type="dxa"/>
          </w:tcPr>
          <w:p w:rsidR="00DE4823" w:rsidRPr="00DE4823" w:rsidRDefault="00DE4823" w:rsidP="00766E8D">
            <w:pPr>
              <w:spacing w:line="360" w:lineRule="auto"/>
              <w:jc w:val="center"/>
            </w:pPr>
            <w:r w:rsidRPr="00DE4823">
              <w:t>-7.539280</w:t>
            </w:r>
          </w:p>
        </w:tc>
        <w:tc>
          <w:tcPr>
            <w:tcW w:w="1388" w:type="dxa"/>
          </w:tcPr>
          <w:p w:rsidR="00DE4823" w:rsidRPr="00DE4823" w:rsidRDefault="00DE4823" w:rsidP="00766E8D">
            <w:pPr>
              <w:spacing w:line="360" w:lineRule="auto"/>
              <w:jc w:val="center"/>
            </w:pPr>
            <w:r w:rsidRPr="00DE4823">
              <w:t>-5.548979</w:t>
            </w:r>
          </w:p>
        </w:tc>
      </w:tr>
      <w:tr w:rsidR="00DE4823" w:rsidRPr="00DE4823" w:rsidTr="00766E8D">
        <w:trPr>
          <w:cnfStyle w:val="000000100000" w:firstRow="0" w:lastRow="0" w:firstColumn="0" w:lastColumn="0" w:oddVBand="0" w:evenVBand="0" w:oddHBand="1" w:evenHBand="0" w:firstRowFirstColumn="0" w:firstRowLastColumn="0" w:lastRowFirstColumn="0" w:lastRowLastColumn="0"/>
          <w:trHeight w:val="390"/>
          <w:jc w:val="center"/>
        </w:trPr>
        <w:tc>
          <w:tcPr>
            <w:tcW w:w="1188" w:type="dxa"/>
          </w:tcPr>
          <w:p w:rsidR="00DE4823" w:rsidRPr="00DE4823" w:rsidRDefault="00DE4823" w:rsidP="00766E8D">
            <w:pPr>
              <w:spacing w:line="360" w:lineRule="auto"/>
              <w:jc w:val="both"/>
              <w:rPr>
                <w:b/>
              </w:rPr>
            </w:pPr>
            <w:r w:rsidRPr="00DE4823">
              <w:rPr>
                <w:b/>
              </w:rPr>
              <w:t>PP (c)</w:t>
            </w:r>
          </w:p>
        </w:tc>
        <w:tc>
          <w:tcPr>
            <w:tcW w:w="1750" w:type="dxa"/>
          </w:tcPr>
          <w:p w:rsidR="00DE4823" w:rsidRPr="00DE4823" w:rsidRDefault="00DE4823" w:rsidP="00766E8D">
            <w:pPr>
              <w:spacing w:line="360" w:lineRule="auto"/>
              <w:jc w:val="center"/>
            </w:pPr>
            <w:r w:rsidRPr="00DE4823">
              <w:t>-8.225866</w:t>
            </w:r>
          </w:p>
        </w:tc>
        <w:tc>
          <w:tcPr>
            <w:tcW w:w="1388" w:type="dxa"/>
          </w:tcPr>
          <w:p w:rsidR="00DE4823" w:rsidRPr="00DE4823" w:rsidRDefault="00DE4823" w:rsidP="00766E8D">
            <w:pPr>
              <w:spacing w:line="360" w:lineRule="auto"/>
              <w:jc w:val="center"/>
            </w:pPr>
            <w:r w:rsidRPr="00DE4823">
              <w:t>-14.92046</w:t>
            </w:r>
          </w:p>
        </w:tc>
      </w:tr>
      <w:tr w:rsidR="00DE4823" w:rsidRPr="00DE4823" w:rsidTr="00766E8D">
        <w:trPr>
          <w:cnfStyle w:val="000000010000" w:firstRow="0" w:lastRow="0" w:firstColumn="0" w:lastColumn="0" w:oddVBand="0" w:evenVBand="0" w:oddHBand="0" w:evenHBand="1" w:firstRowFirstColumn="0" w:firstRowLastColumn="0" w:lastRowFirstColumn="0" w:lastRowLastColumn="0"/>
          <w:trHeight w:val="390"/>
          <w:jc w:val="center"/>
        </w:trPr>
        <w:tc>
          <w:tcPr>
            <w:tcW w:w="1188" w:type="dxa"/>
          </w:tcPr>
          <w:p w:rsidR="00DE4823" w:rsidRPr="00DE4823" w:rsidRDefault="00DE4823" w:rsidP="00766E8D">
            <w:pPr>
              <w:spacing w:line="360" w:lineRule="auto"/>
              <w:jc w:val="both"/>
              <w:rPr>
                <w:b/>
              </w:rPr>
            </w:pPr>
            <w:r w:rsidRPr="00DE4823">
              <w:rPr>
                <w:b/>
              </w:rPr>
              <w:t>PP(t)</w:t>
            </w:r>
          </w:p>
        </w:tc>
        <w:tc>
          <w:tcPr>
            <w:tcW w:w="1750" w:type="dxa"/>
          </w:tcPr>
          <w:p w:rsidR="00DE4823" w:rsidRPr="00DE4823" w:rsidRDefault="00DE4823" w:rsidP="00766E8D">
            <w:pPr>
              <w:spacing w:line="360" w:lineRule="auto"/>
              <w:jc w:val="center"/>
            </w:pPr>
            <w:r w:rsidRPr="00DE4823">
              <w:t>-8.173137</w:t>
            </w:r>
          </w:p>
        </w:tc>
        <w:tc>
          <w:tcPr>
            <w:tcW w:w="1388" w:type="dxa"/>
          </w:tcPr>
          <w:p w:rsidR="00DE4823" w:rsidRPr="00DE4823" w:rsidRDefault="00DE4823" w:rsidP="00766E8D">
            <w:pPr>
              <w:spacing w:line="360" w:lineRule="auto"/>
              <w:jc w:val="center"/>
            </w:pPr>
            <w:r w:rsidRPr="00DE4823">
              <w:t>-18.86397</w:t>
            </w:r>
          </w:p>
        </w:tc>
      </w:tr>
      <w:tr w:rsidR="00DE4823" w:rsidRPr="00DE4823" w:rsidTr="00766E8D">
        <w:trPr>
          <w:cnfStyle w:val="000000100000" w:firstRow="0" w:lastRow="0" w:firstColumn="0" w:lastColumn="0" w:oddVBand="0" w:evenVBand="0" w:oddHBand="1" w:evenHBand="0" w:firstRowFirstColumn="0" w:firstRowLastColumn="0" w:lastRowFirstColumn="0" w:lastRowLastColumn="0"/>
          <w:trHeight w:val="390"/>
          <w:jc w:val="center"/>
        </w:trPr>
        <w:tc>
          <w:tcPr>
            <w:tcW w:w="1188" w:type="dxa"/>
          </w:tcPr>
          <w:p w:rsidR="00DE4823" w:rsidRPr="00DE4823" w:rsidRDefault="00DE4823" w:rsidP="00766E8D">
            <w:pPr>
              <w:spacing w:line="360" w:lineRule="auto"/>
              <w:jc w:val="both"/>
              <w:rPr>
                <w:b/>
              </w:rPr>
            </w:pPr>
            <w:r w:rsidRPr="00DE4823">
              <w:rPr>
                <w:b/>
              </w:rPr>
              <w:t>KPSS(c)</w:t>
            </w:r>
          </w:p>
        </w:tc>
        <w:tc>
          <w:tcPr>
            <w:tcW w:w="1750" w:type="dxa"/>
          </w:tcPr>
          <w:p w:rsidR="00DE4823" w:rsidRPr="00DE4823" w:rsidRDefault="00DE4823" w:rsidP="00766E8D">
            <w:pPr>
              <w:spacing w:line="360" w:lineRule="auto"/>
              <w:jc w:val="center"/>
            </w:pPr>
            <w:r w:rsidRPr="00DE4823">
              <w:t>-0.099097</w:t>
            </w:r>
          </w:p>
        </w:tc>
        <w:tc>
          <w:tcPr>
            <w:tcW w:w="1388" w:type="dxa"/>
          </w:tcPr>
          <w:p w:rsidR="00DE4823" w:rsidRPr="00DE4823" w:rsidRDefault="00DE4823" w:rsidP="00766E8D">
            <w:pPr>
              <w:spacing w:line="360" w:lineRule="auto"/>
              <w:jc w:val="center"/>
            </w:pPr>
            <w:r w:rsidRPr="00DE4823">
              <w:t>0.500000</w:t>
            </w:r>
          </w:p>
        </w:tc>
      </w:tr>
      <w:tr w:rsidR="00DE4823" w:rsidRPr="00DE4823" w:rsidTr="00766E8D">
        <w:trPr>
          <w:cnfStyle w:val="000000010000" w:firstRow="0" w:lastRow="0" w:firstColumn="0" w:lastColumn="0" w:oddVBand="0" w:evenVBand="0" w:oddHBand="0" w:evenHBand="1" w:firstRowFirstColumn="0" w:firstRowLastColumn="0" w:lastRowFirstColumn="0" w:lastRowLastColumn="0"/>
          <w:trHeight w:val="683"/>
          <w:jc w:val="center"/>
        </w:trPr>
        <w:tc>
          <w:tcPr>
            <w:tcW w:w="1188" w:type="dxa"/>
          </w:tcPr>
          <w:p w:rsidR="00DE4823" w:rsidRPr="00DE4823" w:rsidRDefault="00DE4823" w:rsidP="00766E8D">
            <w:pPr>
              <w:spacing w:line="360" w:lineRule="auto"/>
              <w:jc w:val="both"/>
              <w:rPr>
                <w:b/>
              </w:rPr>
            </w:pPr>
            <w:r w:rsidRPr="00DE4823">
              <w:rPr>
                <w:b/>
              </w:rPr>
              <w:t xml:space="preserve">KPSS(t)                  </w:t>
            </w:r>
          </w:p>
        </w:tc>
        <w:tc>
          <w:tcPr>
            <w:tcW w:w="1750" w:type="dxa"/>
          </w:tcPr>
          <w:p w:rsidR="00DE4823" w:rsidRPr="00DE4823" w:rsidRDefault="00DE4823" w:rsidP="00766E8D">
            <w:pPr>
              <w:spacing w:line="360" w:lineRule="auto"/>
              <w:jc w:val="center"/>
            </w:pPr>
            <w:r w:rsidRPr="00DE4823">
              <w:t>0.105651</w:t>
            </w:r>
          </w:p>
        </w:tc>
        <w:tc>
          <w:tcPr>
            <w:tcW w:w="1388" w:type="dxa"/>
          </w:tcPr>
          <w:p w:rsidR="00DE4823" w:rsidRPr="00DE4823" w:rsidRDefault="00DE4823" w:rsidP="00766E8D">
            <w:pPr>
              <w:spacing w:line="360" w:lineRule="auto"/>
              <w:jc w:val="center"/>
            </w:pPr>
            <w:r w:rsidRPr="00DE4823">
              <w:t>0.500000</w:t>
            </w:r>
          </w:p>
        </w:tc>
      </w:tr>
      <w:tr w:rsidR="00DE4823" w:rsidRPr="00DE4823" w:rsidTr="00766E8D">
        <w:trPr>
          <w:cnfStyle w:val="010000000000" w:firstRow="0" w:lastRow="1" w:firstColumn="0" w:lastColumn="0" w:oddVBand="0" w:evenVBand="0" w:oddHBand="0" w:evenHBand="0" w:firstRowFirstColumn="0" w:firstRowLastColumn="0" w:lastRowFirstColumn="0" w:lastRowLastColumn="0"/>
          <w:trHeight w:val="390"/>
          <w:jc w:val="center"/>
        </w:trPr>
        <w:tc>
          <w:tcPr>
            <w:cnfStyle w:val="000000000001" w:firstRow="0" w:lastRow="0" w:firstColumn="0" w:lastColumn="0" w:oddVBand="0" w:evenVBand="0" w:oddHBand="0" w:evenHBand="0" w:firstRowFirstColumn="0" w:firstRowLastColumn="0" w:lastRowFirstColumn="1" w:lastRowLastColumn="0"/>
            <w:tcW w:w="4326" w:type="dxa"/>
            <w:gridSpan w:val="3"/>
          </w:tcPr>
          <w:p w:rsidR="00DE4823" w:rsidRPr="00DE4823" w:rsidRDefault="00DE4823" w:rsidP="00766E8D">
            <w:pPr>
              <w:spacing w:line="360" w:lineRule="auto"/>
              <w:rPr>
                <w:b w:val="0"/>
              </w:rPr>
            </w:pPr>
            <w:r w:rsidRPr="00DE4823">
              <w:t xml:space="preserve">*c </w:t>
            </w:r>
            <w:r w:rsidRPr="00DE4823">
              <w:rPr>
                <w:b w:val="0"/>
              </w:rPr>
              <w:t>with constant term but no trend.</w:t>
            </w:r>
          </w:p>
          <w:p w:rsidR="00DE4823" w:rsidRPr="00DE4823" w:rsidRDefault="00DE4823" w:rsidP="00766E8D">
            <w:pPr>
              <w:spacing w:line="360" w:lineRule="auto"/>
            </w:pPr>
            <w:r w:rsidRPr="00DE4823">
              <w:rPr>
                <w:b w:val="0"/>
              </w:rPr>
              <w:t>*</w:t>
            </w:r>
            <w:r w:rsidRPr="00DE4823">
              <w:t xml:space="preserve"> </w:t>
            </w:r>
            <w:proofErr w:type="gramStart"/>
            <w:r w:rsidRPr="00DE4823">
              <w:t>t</w:t>
            </w:r>
            <w:proofErr w:type="gramEnd"/>
            <w:r w:rsidRPr="00DE4823">
              <w:rPr>
                <w:b w:val="0"/>
              </w:rPr>
              <w:t xml:space="preserve"> with constant term and trend.</w:t>
            </w:r>
          </w:p>
        </w:tc>
      </w:tr>
    </w:tbl>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r w:rsidRPr="00DE4823">
        <w:rPr>
          <w:b/>
          <w:lang w:val="en-US"/>
        </w:rPr>
        <w:t xml:space="preserve">4.2.2. </w:t>
      </w:r>
      <w:proofErr w:type="spellStart"/>
      <w:r w:rsidRPr="00DE4823">
        <w:rPr>
          <w:b/>
          <w:lang w:val="en-US"/>
        </w:rPr>
        <w:t>Cointegration</w:t>
      </w:r>
      <w:proofErr w:type="spellEnd"/>
      <w:r w:rsidRPr="00DE4823">
        <w:rPr>
          <w:b/>
          <w:lang w:val="en-US"/>
        </w:rPr>
        <w:t xml:space="preserve"> Test</w:t>
      </w:r>
    </w:p>
    <w:p w:rsidR="00DE4823" w:rsidRPr="00DE4823" w:rsidRDefault="00DE4823" w:rsidP="00DE4823">
      <w:pPr>
        <w:jc w:val="both"/>
        <w:rPr>
          <w:lang w:val="en-US"/>
        </w:rPr>
      </w:pPr>
    </w:p>
    <w:p w:rsidR="00DE4823" w:rsidRDefault="00DE4823" w:rsidP="00DE4823">
      <w:pPr>
        <w:jc w:val="both"/>
        <w:rPr>
          <w:lang w:val="en-US"/>
        </w:rPr>
      </w:pPr>
      <w:r w:rsidRPr="00DE4823">
        <w:rPr>
          <w:lang w:val="en-US"/>
        </w:rPr>
        <w:t xml:space="preserve">Unit root tests revealed that the series are stationary at first level, so they are integrated. But, even the series are integrated; it does not guarantee that they behave in the same direction in the long term. Long term relationships between two non-stationary series can be detected by </w:t>
      </w:r>
      <w:proofErr w:type="spellStart"/>
      <w:r w:rsidRPr="00DE4823">
        <w:rPr>
          <w:lang w:val="en-US"/>
        </w:rPr>
        <w:t>cointegration</w:t>
      </w:r>
      <w:proofErr w:type="spellEnd"/>
      <w:r w:rsidRPr="00DE4823">
        <w:rPr>
          <w:lang w:val="en-US"/>
        </w:rPr>
        <w:t xml:space="preserve"> analysis. There are certain tests to perform </w:t>
      </w:r>
      <w:proofErr w:type="spellStart"/>
      <w:r w:rsidRPr="00DE4823">
        <w:rPr>
          <w:lang w:val="en-US"/>
        </w:rPr>
        <w:t>cointegration</w:t>
      </w:r>
      <w:proofErr w:type="spellEnd"/>
      <w:r w:rsidRPr="00DE4823">
        <w:rPr>
          <w:lang w:val="en-US"/>
        </w:rPr>
        <w:t xml:space="preserve"> analysis. In this study, long term relationship between the </w:t>
      </w:r>
      <w:proofErr w:type="spellStart"/>
      <w:r w:rsidRPr="00DE4823">
        <w:rPr>
          <w:lang w:val="en-US"/>
        </w:rPr>
        <w:t>cointegrated</w:t>
      </w:r>
      <w:proofErr w:type="spellEnd"/>
      <w:r w:rsidRPr="00DE4823">
        <w:rPr>
          <w:lang w:val="en-US"/>
        </w:rPr>
        <w:t xml:space="preserve"> series is tested by a Johansen </w:t>
      </w:r>
      <w:proofErr w:type="spellStart"/>
      <w:r w:rsidRPr="00DE4823">
        <w:rPr>
          <w:lang w:val="en-US"/>
        </w:rPr>
        <w:t>cointegration</w:t>
      </w:r>
      <w:proofErr w:type="spellEnd"/>
      <w:r w:rsidRPr="00DE4823">
        <w:rPr>
          <w:lang w:val="en-US"/>
        </w:rPr>
        <w:t xml:space="preserve"> test (1988). Johansen </w:t>
      </w:r>
      <w:proofErr w:type="spellStart"/>
      <w:r w:rsidRPr="00DE4823">
        <w:rPr>
          <w:lang w:val="en-US"/>
        </w:rPr>
        <w:t>cointegration</w:t>
      </w:r>
      <w:proofErr w:type="spellEnd"/>
      <w:r w:rsidRPr="00DE4823">
        <w:rPr>
          <w:lang w:val="en-US"/>
        </w:rPr>
        <w:t xml:space="preserve"> test provide us to determine the number of </w:t>
      </w:r>
      <w:proofErr w:type="spellStart"/>
      <w:r w:rsidRPr="00DE4823">
        <w:rPr>
          <w:lang w:val="en-US"/>
        </w:rPr>
        <w:t>cointegration</w:t>
      </w:r>
      <w:proofErr w:type="spellEnd"/>
      <w:r w:rsidRPr="00DE4823">
        <w:rPr>
          <w:lang w:val="en-US"/>
        </w:rPr>
        <w:t xml:space="preserve"> relationship and the parameters of this relationship (</w:t>
      </w:r>
      <w:proofErr w:type="spellStart"/>
      <w:r w:rsidRPr="00DE4823">
        <w:rPr>
          <w:lang w:val="en-US"/>
        </w:rPr>
        <w:t>Özata</w:t>
      </w:r>
      <w:proofErr w:type="spellEnd"/>
      <w:r w:rsidRPr="00DE4823">
        <w:rPr>
          <w:lang w:val="en-US"/>
        </w:rPr>
        <w:t xml:space="preserve"> and </w:t>
      </w:r>
      <w:proofErr w:type="spellStart"/>
      <w:r w:rsidRPr="00DE4823">
        <w:rPr>
          <w:lang w:val="en-US"/>
        </w:rPr>
        <w:t>Esen</w:t>
      </w:r>
      <w:proofErr w:type="spellEnd"/>
      <w:r w:rsidRPr="00DE4823">
        <w:rPr>
          <w:lang w:val="en-US"/>
        </w:rPr>
        <w:t>, 2010).</w:t>
      </w:r>
    </w:p>
    <w:p w:rsidR="00DE4823" w:rsidRPr="00DE4823" w:rsidRDefault="00DE4823" w:rsidP="00DE4823">
      <w:pPr>
        <w:jc w:val="both"/>
        <w:rPr>
          <w:lang w:val="en-US"/>
        </w:rPr>
      </w:pPr>
    </w:p>
    <w:p w:rsidR="00DE4823" w:rsidRPr="00DE4823" w:rsidRDefault="00DE4823" w:rsidP="00DE4823">
      <w:pPr>
        <w:jc w:val="both"/>
        <w:rPr>
          <w:lang w:val="en-US"/>
        </w:rPr>
      </w:pPr>
      <w:r w:rsidRPr="00DE4823">
        <w:rPr>
          <w:lang w:val="en-US"/>
        </w:rPr>
        <w:t xml:space="preserve">Prior to the implementation of the Johansen </w:t>
      </w:r>
      <w:proofErr w:type="spellStart"/>
      <w:r w:rsidRPr="00DE4823">
        <w:rPr>
          <w:lang w:val="en-US"/>
        </w:rPr>
        <w:t>Cointegration</w:t>
      </w:r>
      <w:proofErr w:type="spellEnd"/>
      <w:r w:rsidRPr="00DE4823">
        <w:rPr>
          <w:lang w:val="en-US"/>
        </w:rPr>
        <w:t xml:space="preserve"> Test, the unrestricted Vector </w:t>
      </w:r>
      <w:proofErr w:type="spellStart"/>
      <w:r w:rsidRPr="00DE4823">
        <w:rPr>
          <w:lang w:val="en-US"/>
        </w:rPr>
        <w:t>Autoregression</w:t>
      </w:r>
      <w:proofErr w:type="spellEnd"/>
      <w:r w:rsidRPr="00DE4823">
        <w:rPr>
          <w:lang w:val="en-US"/>
        </w:rPr>
        <w:t xml:space="preserve"> (VAR) model was applied on the series to determine lagged ratios. Lagged ratio is taken as 2 according to the SC, HQ and LR criteria. The Johansen </w:t>
      </w:r>
      <w:proofErr w:type="spellStart"/>
      <w:r w:rsidRPr="00DE4823">
        <w:rPr>
          <w:lang w:val="en-US"/>
        </w:rPr>
        <w:t>Cointegration</w:t>
      </w:r>
      <w:proofErr w:type="spellEnd"/>
      <w:r w:rsidRPr="00DE4823">
        <w:rPr>
          <w:lang w:val="en-US"/>
        </w:rPr>
        <w:t xml:space="preserve"> test results, the Trace Test and the Maximum Eigenvalue test results are illustrated in Table 3 and Table 4. </w:t>
      </w:r>
    </w:p>
    <w:p w:rsidR="00DE4823" w:rsidRPr="00DE4823" w:rsidRDefault="00DE4823" w:rsidP="00DE4823">
      <w:pPr>
        <w:rPr>
          <w:b/>
          <w:lang w:val="en-US"/>
        </w:rPr>
      </w:pPr>
      <w:r w:rsidRPr="00DE4823">
        <w:rPr>
          <w:b/>
          <w:lang w:val="en-US"/>
        </w:rPr>
        <w:t xml:space="preserve">  </w:t>
      </w:r>
    </w:p>
    <w:p w:rsidR="00DE4823" w:rsidRPr="00DE4823" w:rsidRDefault="00DE4823" w:rsidP="00DE4823">
      <w:pPr>
        <w:jc w:val="center"/>
        <w:rPr>
          <w:lang w:val="en-US"/>
        </w:rPr>
      </w:pPr>
      <w:r w:rsidRPr="00DE4823">
        <w:rPr>
          <w:b/>
          <w:lang w:val="en-US"/>
        </w:rPr>
        <w:t>Table 3:</w:t>
      </w:r>
      <w:r w:rsidRPr="00DE4823">
        <w:rPr>
          <w:lang w:val="en-US"/>
        </w:rPr>
        <w:t xml:space="preserve"> Trace Test Results</w:t>
      </w:r>
    </w:p>
    <w:tbl>
      <w:tblPr>
        <w:tblStyle w:val="TableList1"/>
        <w:tblW w:w="7335" w:type="dxa"/>
        <w:jc w:val="center"/>
        <w:tblLook w:val="0000" w:firstRow="0" w:lastRow="0" w:firstColumn="0" w:lastColumn="0" w:noHBand="0" w:noVBand="0"/>
      </w:tblPr>
      <w:tblGrid>
        <w:gridCol w:w="1932"/>
        <w:gridCol w:w="1457"/>
        <w:gridCol w:w="1288"/>
        <w:gridCol w:w="1281"/>
        <w:gridCol w:w="1377"/>
      </w:tblGrid>
      <w:tr w:rsidR="00DE4823" w:rsidRPr="00DE4823" w:rsidTr="00766E8D">
        <w:trPr>
          <w:cnfStyle w:val="000000100000" w:firstRow="0" w:lastRow="0" w:firstColumn="0" w:lastColumn="0" w:oddVBand="0" w:evenVBand="0" w:oddHBand="1" w:evenHBand="0" w:firstRowFirstColumn="0" w:firstRowLastColumn="0" w:lastRowFirstColumn="0" w:lastRowLastColumn="0"/>
          <w:trHeight w:val="1095"/>
          <w:jc w:val="center"/>
        </w:trPr>
        <w:tc>
          <w:tcPr>
            <w:tcW w:w="2052" w:type="dxa"/>
          </w:tcPr>
          <w:p w:rsidR="00DE4823" w:rsidRPr="00DE4823" w:rsidRDefault="00DE4823" w:rsidP="00766E8D">
            <w:pPr>
              <w:jc w:val="center"/>
            </w:pPr>
            <w:r w:rsidRPr="00DE4823">
              <w:rPr>
                <w:b/>
                <w:bCs/>
              </w:rPr>
              <w:t>Hypothesized No. of CE(s)</w:t>
            </w:r>
          </w:p>
        </w:tc>
        <w:tc>
          <w:tcPr>
            <w:tcW w:w="1496" w:type="dxa"/>
          </w:tcPr>
          <w:p w:rsidR="00DE4823" w:rsidRPr="00DE4823" w:rsidRDefault="00DE4823" w:rsidP="00766E8D">
            <w:pPr>
              <w:jc w:val="center"/>
              <w:rPr>
                <w:b/>
                <w:bCs/>
              </w:rPr>
            </w:pPr>
            <w:r w:rsidRPr="00DE4823">
              <w:rPr>
                <w:b/>
                <w:bCs/>
              </w:rPr>
              <w:t>Eigenvalue</w:t>
            </w:r>
          </w:p>
        </w:tc>
        <w:tc>
          <w:tcPr>
            <w:tcW w:w="1343" w:type="dxa"/>
          </w:tcPr>
          <w:p w:rsidR="00DE4823" w:rsidRPr="00DE4823" w:rsidRDefault="00DE4823" w:rsidP="00766E8D">
            <w:pPr>
              <w:jc w:val="center"/>
            </w:pPr>
            <w:r w:rsidRPr="00DE4823">
              <w:rPr>
                <w:b/>
                <w:bCs/>
              </w:rPr>
              <w:t>Trace Statistics</w:t>
            </w:r>
          </w:p>
        </w:tc>
        <w:tc>
          <w:tcPr>
            <w:tcW w:w="1341" w:type="dxa"/>
          </w:tcPr>
          <w:p w:rsidR="00DE4823" w:rsidRPr="00DE4823" w:rsidRDefault="00DE4823" w:rsidP="00766E8D">
            <w:pPr>
              <w:jc w:val="center"/>
            </w:pPr>
            <w:r w:rsidRPr="00DE4823">
              <w:rPr>
                <w:b/>
                <w:bCs/>
              </w:rPr>
              <w:t>%5 Critic Value</w:t>
            </w:r>
          </w:p>
        </w:tc>
        <w:tc>
          <w:tcPr>
            <w:tcW w:w="1103" w:type="dxa"/>
          </w:tcPr>
          <w:p w:rsidR="00DE4823" w:rsidRPr="00DE4823" w:rsidRDefault="00DE4823" w:rsidP="00766E8D">
            <w:pPr>
              <w:jc w:val="center"/>
            </w:pPr>
            <w:r w:rsidRPr="00DE4823">
              <w:rPr>
                <w:b/>
                <w:bCs/>
              </w:rPr>
              <w:t>Probability</w:t>
            </w:r>
          </w:p>
        </w:tc>
      </w:tr>
      <w:tr w:rsidR="00DE4823" w:rsidRPr="00DE4823" w:rsidTr="00766E8D">
        <w:trPr>
          <w:cnfStyle w:val="000000010000" w:firstRow="0" w:lastRow="0" w:firstColumn="0" w:lastColumn="0" w:oddVBand="0" w:evenVBand="0" w:oddHBand="0" w:evenHBand="1" w:firstRowFirstColumn="0" w:firstRowLastColumn="0" w:lastRowFirstColumn="0" w:lastRowLastColumn="0"/>
          <w:trHeight w:val="435"/>
          <w:jc w:val="center"/>
        </w:trPr>
        <w:tc>
          <w:tcPr>
            <w:tcW w:w="2052" w:type="dxa"/>
          </w:tcPr>
          <w:p w:rsidR="00DE4823" w:rsidRPr="00DE4823" w:rsidRDefault="00DE4823" w:rsidP="00766E8D">
            <w:pPr>
              <w:jc w:val="center"/>
            </w:pPr>
            <w:r w:rsidRPr="00DE4823">
              <w:t>None (r=0)</w:t>
            </w:r>
          </w:p>
        </w:tc>
        <w:tc>
          <w:tcPr>
            <w:tcW w:w="1496" w:type="dxa"/>
            <w:vAlign w:val="bottom"/>
          </w:tcPr>
          <w:p w:rsidR="00DE4823" w:rsidRPr="00DE4823" w:rsidRDefault="00DE4823" w:rsidP="00766E8D">
            <w:pPr>
              <w:autoSpaceDE w:val="0"/>
              <w:autoSpaceDN w:val="0"/>
              <w:adjustRightInd w:val="0"/>
              <w:jc w:val="center"/>
              <w:rPr>
                <w:color w:val="000000"/>
              </w:rPr>
            </w:pPr>
            <w:r w:rsidRPr="00DE4823">
              <w:rPr>
                <w:color w:val="000000"/>
              </w:rPr>
              <w:t>0.430888</w:t>
            </w:r>
          </w:p>
        </w:tc>
        <w:tc>
          <w:tcPr>
            <w:tcW w:w="1343" w:type="dxa"/>
            <w:vAlign w:val="bottom"/>
          </w:tcPr>
          <w:p w:rsidR="00DE4823" w:rsidRPr="00DE4823" w:rsidRDefault="00DE4823" w:rsidP="00766E8D">
            <w:pPr>
              <w:autoSpaceDE w:val="0"/>
              <w:autoSpaceDN w:val="0"/>
              <w:adjustRightInd w:val="0"/>
              <w:jc w:val="center"/>
              <w:rPr>
                <w:color w:val="000000"/>
              </w:rPr>
            </w:pPr>
            <w:r w:rsidRPr="00DE4823">
              <w:rPr>
                <w:color w:val="000000"/>
              </w:rPr>
              <w:t>49.95243</w:t>
            </w:r>
          </w:p>
        </w:tc>
        <w:tc>
          <w:tcPr>
            <w:tcW w:w="1341" w:type="dxa"/>
            <w:vAlign w:val="bottom"/>
          </w:tcPr>
          <w:p w:rsidR="00DE4823" w:rsidRPr="00DE4823" w:rsidRDefault="00DE4823" w:rsidP="00766E8D">
            <w:pPr>
              <w:autoSpaceDE w:val="0"/>
              <w:autoSpaceDN w:val="0"/>
              <w:adjustRightInd w:val="0"/>
              <w:jc w:val="center"/>
              <w:rPr>
                <w:color w:val="000000"/>
              </w:rPr>
            </w:pPr>
            <w:r w:rsidRPr="00DE4823">
              <w:rPr>
                <w:color w:val="000000"/>
              </w:rPr>
              <w:t>15.49471</w:t>
            </w:r>
          </w:p>
        </w:tc>
        <w:tc>
          <w:tcPr>
            <w:tcW w:w="1103" w:type="dxa"/>
            <w:vAlign w:val="bottom"/>
          </w:tcPr>
          <w:p w:rsidR="00DE4823" w:rsidRPr="00DE4823" w:rsidRDefault="00DE4823" w:rsidP="00766E8D">
            <w:pPr>
              <w:autoSpaceDE w:val="0"/>
              <w:autoSpaceDN w:val="0"/>
              <w:adjustRightInd w:val="0"/>
              <w:jc w:val="center"/>
              <w:rPr>
                <w:color w:val="000000"/>
              </w:rPr>
            </w:pPr>
            <w:r w:rsidRPr="00DE4823">
              <w:rPr>
                <w:color w:val="000000"/>
              </w:rPr>
              <w:t>0.0000</w:t>
            </w:r>
          </w:p>
        </w:tc>
      </w:tr>
      <w:tr w:rsidR="00DE4823" w:rsidRPr="00DE4823" w:rsidTr="00766E8D">
        <w:trPr>
          <w:cnfStyle w:val="000000100000" w:firstRow="0" w:lastRow="0" w:firstColumn="0" w:lastColumn="0" w:oddVBand="0" w:evenVBand="0" w:oddHBand="1" w:evenHBand="0" w:firstRowFirstColumn="0" w:firstRowLastColumn="0" w:lastRowFirstColumn="0" w:lastRowLastColumn="0"/>
          <w:trHeight w:val="435"/>
          <w:jc w:val="center"/>
        </w:trPr>
        <w:tc>
          <w:tcPr>
            <w:tcW w:w="2052" w:type="dxa"/>
          </w:tcPr>
          <w:p w:rsidR="00DE4823" w:rsidRPr="00DE4823" w:rsidRDefault="00DE4823" w:rsidP="00766E8D">
            <w:pPr>
              <w:jc w:val="center"/>
            </w:pPr>
            <w:r w:rsidRPr="00DE4823">
              <w:t>At most 1 (r≤1)</w:t>
            </w:r>
          </w:p>
        </w:tc>
        <w:tc>
          <w:tcPr>
            <w:tcW w:w="1496" w:type="dxa"/>
            <w:vAlign w:val="bottom"/>
          </w:tcPr>
          <w:p w:rsidR="00DE4823" w:rsidRPr="00DE4823" w:rsidRDefault="00DE4823" w:rsidP="00766E8D">
            <w:pPr>
              <w:autoSpaceDE w:val="0"/>
              <w:autoSpaceDN w:val="0"/>
              <w:adjustRightInd w:val="0"/>
              <w:jc w:val="center"/>
              <w:rPr>
                <w:color w:val="000000"/>
              </w:rPr>
            </w:pPr>
            <w:r w:rsidRPr="00DE4823">
              <w:rPr>
                <w:color w:val="000000"/>
              </w:rPr>
              <w:t>0.291460</w:t>
            </w:r>
          </w:p>
        </w:tc>
        <w:tc>
          <w:tcPr>
            <w:tcW w:w="1343" w:type="dxa"/>
            <w:vAlign w:val="bottom"/>
          </w:tcPr>
          <w:p w:rsidR="00DE4823" w:rsidRPr="00DE4823" w:rsidRDefault="00DE4823" w:rsidP="00766E8D">
            <w:pPr>
              <w:autoSpaceDE w:val="0"/>
              <w:autoSpaceDN w:val="0"/>
              <w:adjustRightInd w:val="0"/>
              <w:jc w:val="center"/>
              <w:rPr>
                <w:color w:val="000000"/>
              </w:rPr>
            </w:pPr>
            <w:r w:rsidRPr="00DE4823">
              <w:rPr>
                <w:color w:val="000000"/>
              </w:rPr>
              <w:t>18.95016</w:t>
            </w:r>
          </w:p>
        </w:tc>
        <w:tc>
          <w:tcPr>
            <w:tcW w:w="1341" w:type="dxa"/>
            <w:vAlign w:val="bottom"/>
          </w:tcPr>
          <w:p w:rsidR="00DE4823" w:rsidRPr="00DE4823" w:rsidRDefault="00DE4823" w:rsidP="00766E8D">
            <w:pPr>
              <w:autoSpaceDE w:val="0"/>
              <w:autoSpaceDN w:val="0"/>
              <w:adjustRightInd w:val="0"/>
              <w:jc w:val="center"/>
              <w:rPr>
                <w:color w:val="000000"/>
              </w:rPr>
            </w:pPr>
            <w:r w:rsidRPr="00DE4823">
              <w:rPr>
                <w:color w:val="000000"/>
              </w:rPr>
              <w:t>3.841466</w:t>
            </w:r>
          </w:p>
        </w:tc>
        <w:tc>
          <w:tcPr>
            <w:tcW w:w="1103" w:type="dxa"/>
            <w:vAlign w:val="bottom"/>
          </w:tcPr>
          <w:p w:rsidR="00DE4823" w:rsidRPr="00DE4823" w:rsidRDefault="00DE4823" w:rsidP="00766E8D">
            <w:pPr>
              <w:autoSpaceDE w:val="0"/>
              <w:autoSpaceDN w:val="0"/>
              <w:adjustRightInd w:val="0"/>
              <w:jc w:val="center"/>
              <w:rPr>
                <w:color w:val="000000"/>
              </w:rPr>
            </w:pPr>
            <w:r w:rsidRPr="00DE4823">
              <w:rPr>
                <w:color w:val="000000"/>
              </w:rPr>
              <w:t>0.0000</w:t>
            </w:r>
          </w:p>
        </w:tc>
      </w:tr>
    </w:tbl>
    <w:p w:rsidR="00DE4823" w:rsidRPr="00DE4823" w:rsidRDefault="00DE4823" w:rsidP="00DE4823">
      <w:pPr>
        <w:spacing w:line="360" w:lineRule="auto"/>
        <w:jc w:val="center"/>
        <w:rPr>
          <w:lang w:val="en-US"/>
        </w:rPr>
      </w:pPr>
    </w:p>
    <w:p w:rsidR="00DE4823" w:rsidRPr="00DE4823" w:rsidRDefault="00DE4823" w:rsidP="00DE4823">
      <w:pPr>
        <w:jc w:val="center"/>
        <w:rPr>
          <w:lang w:val="en-US"/>
        </w:rPr>
      </w:pPr>
      <w:r w:rsidRPr="00DE4823">
        <w:rPr>
          <w:b/>
          <w:lang w:val="en-US"/>
        </w:rPr>
        <w:lastRenderedPageBreak/>
        <w:t>Table 4:</w:t>
      </w:r>
      <w:r w:rsidRPr="00DE4823">
        <w:rPr>
          <w:lang w:val="en-US"/>
        </w:rPr>
        <w:t xml:space="preserve"> Maximum Eigenvalue Test Results</w:t>
      </w:r>
    </w:p>
    <w:tbl>
      <w:tblPr>
        <w:tblStyle w:val="TableList1"/>
        <w:tblW w:w="7335" w:type="dxa"/>
        <w:jc w:val="center"/>
        <w:tblLook w:val="0000" w:firstRow="0" w:lastRow="0" w:firstColumn="0" w:lastColumn="0" w:noHBand="0" w:noVBand="0"/>
      </w:tblPr>
      <w:tblGrid>
        <w:gridCol w:w="1904"/>
        <w:gridCol w:w="1440"/>
        <w:gridCol w:w="1350"/>
        <w:gridCol w:w="1264"/>
        <w:gridCol w:w="1377"/>
      </w:tblGrid>
      <w:tr w:rsidR="00DE4823" w:rsidRPr="00DE4823" w:rsidTr="00766E8D">
        <w:trPr>
          <w:cnfStyle w:val="000000100000" w:firstRow="0" w:lastRow="0" w:firstColumn="0" w:lastColumn="0" w:oddVBand="0" w:evenVBand="0" w:oddHBand="1" w:evenHBand="0" w:firstRowFirstColumn="0" w:firstRowLastColumn="0" w:lastRowFirstColumn="0" w:lastRowLastColumn="0"/>
          <w:trHeight w:val="1095"/>
          <w:jc w:val="center"/>
        </w:trPr>
        <w:tc>
          <w:tcPr>
            <w:tcW w:w="1969" w:type="dxa"/>
          </w:tcPr>
          <w:p w:rsidR="00DE4823" w:rsidRPr="00DE4823" w:rsidRDefault="00DE4823" w:rsidP="00766E8D">
            <w:pPr>
              <w:jc w:val="center"/>
            </w:pPr>
            <w:r w:rsidRPr="00DE4823">
              <w:rPr>
                <w:b/>
                <w:bCs/>
              </w:rPr>
              <w:t>Hypothesized No. of CE(s)</w:t>
            </w:r>
          </w:p>
        </w:tc>
        <w:tc>
          <w:tcPr>
            <w:tcW w:w="1460" w:type="dxa"/>
          </w:tcPr>
          <w:p w:rsidR="00DE4823" w:rsidRPr="00DE4823" w:rsidRDefault="00DE4823" w:rsidP="00766E8D">
            <w:pPr>
              <w:jc w:val="center"/>
              <w:rPr>
                <w:b/>
                <w:bCs/>
              </w:rPr>
            </w:pPr>
            <w:r w:rsidRPr="00DE4823">
              <w:rPr>
                <w:b/>
                <w:bCs/>
              </w:rPr>
              <w:t>Eigenvalue</w:t>
            </w:r>
          </w:p>
        </w:tc>
        <w:tc>
          <w:tcPr>
            <w:tcW w:w="1330" w:type="dxa"/>
          </w:tcPr>
          <w:p w:rsidR="00DE4823" w:rsidRPr="00DE4823" w:rsidRDefault="00DE4823" w:rsidP="00766E8D">
            <w:pPr>
              <w:jc w:val="center"/>
              <w:rPr>
                <w:b/>
                <w:bCs/>
              </w:rPr>
            </w:pPr>
            <w:r w:rsidRPr="00DE4823">
              <w:rPr>
                <w:b/>
                <w:bCs/>
              </w:rPr>
              <w:t>Maximum</w:t>
            </w:r>
          </w:p>
          <w:p w:rsidR="00DE4823" w:rsidRPr="00DE4823" w:rsidRDefault="00DE4823" w:rsidP="00766E8D">
            <w:pPr>
              <w:jc w:val="center"/>
              <w:rPr>
                <w:b/>
                <w:bCs/>
              </w:rPr>
            </w:pPr>
            <w:r w:rsidRPr="00DE4823">
              <w:rPr>
                <w:b/>
                <w:bCs/>
              </w:rPr>
              <w:t>Eigenvalue</w:t>
            </w:r>
          </w:p>
          <w:p w:rsidR="00DE4823" w:rsidRPr="00DE4823" w:rsidRDefault="00DE4823" w:rsidP="00766E8D">
            <w:pPr>
              <w:jc w:val="center"/>
            </w:pPr>
            <w:r w:rsidRPr="00DE4823">
              <w:rPr>
                <w:b/>
                <w:bCs/>
              </w:rPr>
              <w:t>Statistics</w:t>
            </w:r>
          </w:p>
        </w:tc>
        <w:tc>
          <w:tcPr>
            <w:tcW w:w="1296" w:type="dxa"/>
          </w:tcPr>
          <w:p w:rsidR="00DE4823" w:rsidRPr="00DE4823" w:rsidRDefault="00DE4823" w:rsidP="00766E8D">
            <w:pPr>
              <w:jc w:val="center"/>
            </w:pPr>
            <w:r w:rsidRPr="00DE4823">
              <w:rPr>
                <w:b/>
                <w:bCs/>
              </w:rPr>
              <w:t>%5 Critic Value</w:t>
            </w:r>
          </w:p>
        </w:tc>
        <w:tc>
          <w:tcPr>
            <w:tcW w:w="1280" w:type="dxa"/>
          </w:tcPr>
          <w:p w:rsidR="00DE4823" w:rsidRPr="00DE4823" w:rsidRDefault="00DE4823" w:rsidP="00766E8D">
            <w:pPr>
              <w:jc w:val="center"/>
            </w:pPr>
            <w:r w:rsidRPr="00DE4823">
              <w:rPr>
                <w:b/>
                <w:bCs/>
              </w:rPr>
              <w:t>Probability</w:t>
            </w:r>
          </w:p>
        </w:tc>
      </w:tr>
      <w:tr w:rsidR="00DE4823" w:rsidRPr="00DE4823" w:rsidTr="00766E8D">
        <w:trPr>
          <w:cnfStyle w:val="000000010000" w:firstRow="0" w:lastRow="0" w:firstColumn="0" w:lastColumn="0" w:oddVBand="0" w:evenVBand="0" w:oddHBand="0" w:evenHBand="1" w:firstRowFirstColumn="0" w:firstRowLastColumn="0" w:lastRowFirstColumn="0" w:lastRowLastColumn="0"/>
          <w:trHeight w:val="435"/>
          <w:jc w:val="center"/>
        </w:trPr>
        <w:tc>
          <w:tcPr>
            <w:tcW w:w="1969" w:type="dxa"/>
          </w:tcPr>
          <w:p w:rsidR="00DE4823" w:rsidRPr="00DE4823" w:rsidRDefault="00DE4823" w:rsidP="00766E8D">
            <w:pPr>
              <w:jc w:val="center"/>
            </w:pPr>
            <w:r w:rsidRPr="00DE4823">
              <w:t>None (r=0)</w:t>
            </w:r>
          </w:p>
        </w:tc>
        <w:tc>
          <w:tcPr>
            <w:tcW w:w="1460" w:type="dxa"/>
            <w:vAlign w:val="bottom"/>
          </w:tcPr>
          <w:p w:rsidR="00DE4823" w:rsidRPr="00DE4823" w:rsidRDefault="00DE4823" w:rsidP="00766E8D">
            <w:pPr>
              <w:autoSpaceDE w:val="0"/>
              <w:autoSpaceDN w:val="0"/>
              <w:adjustRightInd w:val="0"/>
              <w:jc w:val="center"/>
              <w:rPr>
                <w:color w:val="000000"/>
              </w:rPr>
            </w:pPr>
            <w:r w:rsidRPr="00DE4823">
              <w:rPr>
                <w:color w:val="000000"/>
              </w:rPr>
              <w:t>0.430888</w:t>
            </w:r>
          </w:p>
        </w:tc>
        <w:tc>
          <w:tcPr>
            <w:tcW w:w="1330" w:type="dxa"/>
            <w:vAlign w:val="bottom"/>
          </w:tcPr>
          <w:p w:rsidR="00DE4823" w:rsidRPr="00DE4823" w:rsidRDefault="00DE4823" w:rsidP="00766E8D">
            <w:pPr>
              <w:autoSpaceDE w:val="0"/>
              <w:autoSpaceDN w:val="0"/>
              <w:adjustRightInd w:val="0"/>
              <w:jc w:val="center"/>
              <w:rPr>
                <w:color w:val="000000"/>
              </w:rPr>
            </w:pPr>
            <w:r w:rsidRPr="00DE4823">
              <w:rPr>
                <w:color w:val="000000"/>
              </w:rPr>
              <w:t>31.00227</w:t>
            </w:r>
          </w:p>
        </w:tc>
        <w:tc>
          <w:tcPr>
            <w:tcW w:w="1296" w:type="dxa"/>
            <w:vAlign w:val="bottom"/>
          </w:tcPr>
          <w:p w:rsidR="00DE4823" w:rsidRPr="00DE4823" w:rsidRDefault="00DE4823" w:rsidP="00766E8D">
            <w:pPr>
              <w:autoSpaceDE w:val="0"/>
              <w:autoSpaceDN w:val="0"/>
              <w:adjustRightInd w:val="0"/>
              <w:jc w:val="center"/>
              <w:rPr>
                <w:color w:val="000000"/>
              </w:rPr>
            </w:pPr>
            <w:r w:rsidRPr="00DE4823">
              <w:rPr>
                <w:color w:val="000000"/>
              </w:rPr>
              <w:t>14.26460</w:t>
            </w:r>
          </w:p>
        </w:tc>
        <w:tc>
          <w:tcPr>
            <w:tcW w:w="1280" w:type="dxa"/>
            <w:vAlign w:val="bottom"/>
          </w:tcPr>
          <w:p w:rsidR="00DE4823" w:rsidRPr="00DE4823" w:rsidRDefault="00DE4823" w:rsidP="00766E8D">
            <w:pPr>
              <w:autoSpaceDE w:val="0"/>
              <w:autoSpaceDN w:val="0"/>
              <w:adjustRightInd w:val="0"/>
              <w:jc w:val="center"/>
              <w:rPr>
                <w:color w:val="000000"/>
              </w:rPr>
            </w:pPr>
            <w:r w:rsidRPr="00DE4823">
              <w:rPr>
                <w:color w:val="000000"/>
              </w:rPr>
              <w:t>0.0001</w:t>
            </w:r>
          </w:p>
        </w:tc>
      </w:tr>
      <w:tr w:rsidR="00DE4823" w:rsidRPr="00DE4823" w:rsidTr="00766E8D">
        <w:trPr>
          <w:cnfStyle w:val="000000100000" w:firstRow="0" w:lastRow="0" w:firstColumn="0" w:lastColumn="0" w:oddVBand="0" w:evenVBand="0" w:oddHBand="1" w:evenHBand="0" w:firstRowFirstColumn="0" w:firstRowLastColumn="0" w:lastRowFirstColumn="0" w:lastRowLastColumn="0"/>
          <w:trHeight w:val="435"/>
          <w:jc w:val="center"/>
        </w:trPr>
        <w:tc>
          <w:tcPr>
            <w:tcW w:w="1969" w:type="dxa"/>
          </w:tcPr>
          <w:p w:rsidR="00DE4823" w:rsidRPr="00DE4823" w:rsidRDefault="00DE4823" w:rsidP="00766E8D">
            <w:pPr>
              <w:jc w:val="center"/>
            </w:pPr>
            <w:r w:rsidRPr="00DE4823">
              <w:t>At most 1 (r≤1)</w:t>
            </w:r>
          </w:p>
        </w:tc>
        <w:tc>
          <w:tcPr>
            <w:tcW w:w="1460" w:type="dxa"/>
            <w:vAlign w:val="bottom"/>
          </w:tcPr>
          <w:p w:rsidR="00DE4823" w:rsidRPr="00DE4823" w:rsidRDefault="00DE4823" w:rsidP="00766E8D">
            <w:pPr>
              <w:autoSpaceDE w:val="0"/>
              <w:autoSpaceDN w:val="0"/>
              <w:adjustRightInd w:val="0"/>
              <w:jc w:val="center"/>
              <w:rPr>
                <w:color w:val="000000"/>
              </w:rPr>
            </w:pPr>
            <w:r w:rsidRPr="00DE4823">
              <w:rPr>
                <w:color w:val="000000"/>
              </w:rPr>
              <w:t>0.291460</w:t>
            </w:r>
          </w:p>
        </w:tc>
        <w:tc>
          <w:tcPr>
            <w:tcW w:w="1330" w:type="dxa"/>
            <w:vAlign w:val="bottom"/>
          </w:tcPr>
          <w:p w:rsidR="00DE4823" w:rsidRPr="00DE4823" w:rsidRDefault="00DE4823" w:rsidP="00766E8D">
            <w:pPr>
              <w:autoSpaceDE w:val="0"/>
              <w:autoSpaceDN w:val="0"/>
              <w:adjustRightInd w:val="0"/>
              <w:jc w:val="center"/>
              <w:rPr>
                <w:color w:val="000000"/>
              </w:rPr>
            </w:pPr>
            <w:r w:rsidRPr="00DE4823">
              <w:rPr>
                <w:color w:val="000000"/>
              </w:rPr>
              <w:t>18.95016</w:t>
            </w:r>
          </w:p>
        </w:tc>
        <w:tc>
          <w:tcPr>
            <w:tcW w:w="1296" w:type="dxa"/>
            <w:vAlign w:val="bottom"/>
          </w:tcPr>
          <w:p w:rsidR="00DE4823" w:rsidRPr="00DE4823" w:rsidRDefault="00DE4823" w:rsidP="00766E8D">
            <w:pPr>
              <w:autoSpaceDE w:val="0"/>
              <w:autoSpaceDN w:val="0"/>
              <w:adjustRightInd w:val="0"/>
              <w:jc w:val="center"/>
              <w:rPr>
                <w:color w:val="000000"/>
              </w:rPr>
            </w:pPr>
            <w:r w:rsidRPr="00DE4823">
              <w:rPr>
                <w:color w:val="000000"/>
              </w:rPr>
              <w:t>3.841466</w:t>
            </w:r>
          </w:p>
        </w:tc>
        <w:tc>
          <w:tcPr>
            <w:tcW w:w="1280" w:type="dxa"/>
            <w:vAlign w:val="bottom"/>
          </w:tcPr>
          <w:p w:rsidR="00DE4823" w:rsidRPr="00DE4823" w:rsidRDefault="00DE4823" w:rsidP="00766E8D">
            <w:pPr>
              <w:autoSpaceDE w:val="0"/>
              <w:autoSpaceDN w:val="0"/>
              <w:adjustRightInd w:val="0"/>
              <w:jc w:val="center"/>
              <w:rPr>
                <w:color w:val="000000"/>
              </w:rPr>
            </w:pPr>
            <w:r w:rsidRPr="00DE4823">
              <w:rPr>
                <w:color w:val="000000"/>
              </w:rPr>
              <w:t>0.0000</w:t>
            </w:r>
          </w:p>
        </w:tc>
      </w:tr>
    </w:tbl>
    <w:p w:rsidR="00DE4823" w:rsidRDefault="00DE4823" w:rsidP="00DE4823">
      <w:pPr>
        <w:jc w:val="both"/>
        <w:rPr>
          <w:lang w:val="en-US"/>
        </w:rPr>
      </w:pPr>
    </w:p>
    <w:p w:rsidR="00DE4823" w:rsidRPr="00DE4823" w:rsidRDefault="00DE4823" w:rsidP="00DE4823">
      <w:pPr>
        <w:jc w:val="both"/>
        <w:rPr>
          <w:lang w:val="en-US"/>
        </w:rPr>
      </w:pPr>
      <w:r w:rsidRPr="00DE4823">
        <w:rPr>
          <w:lang w:val="en-US"/>
        </w:rPr>
        <w:t>Trace test and Maximum Eigenvalue test results shows that we can reject the null hypothesis:</w:t>
      </w:r>
    </w:p>
    <w:p w:rsidR="00DE4823" w:rsidRDefault="00DE4823" w:rsidP="00DE4823">
      <w:pPr>
        <w:jc w:val="both"/>
        <w:rPr>
          <w:i/>
          <w:lang w:val="en-US"/>
        </w:rPr>
      </w:pPr>
    </w:p>
    <w:p w:rsidR="00DE4823" w:rsidRPr="00DE4823" w:rsidRDefault="00DE4823" w:rsidP="00DE4823">
      <w:pPr>
        <w:jc w:val="both"/>
        <w:rPr>
          <w:i/>
          <w:lang w:val="en-US"/>
        </w:rPr>
      </w:pPr>
      <w:r w:rsidRPr="00DE4823">
        <w:rPr>
          <w:i/>
          <w:lang w:val="en-US"/>
        </w:rPr>
        <w:t xml:space="preserve">Ho: There is no </w:t>
      </w:r>
      <w:proofErr w:type="spellStart"/>
      <w:r w:rsidRPr="00DE4823">
        <w:rPr>
          <w:i/>
          <w:lang w:val="en-US"/>
        </w:rPr>
        <w:t>cointegration</w:t>
      </w:r>
      <w:proofErr w:type="spellEnd"/>
      <w:r w:rsidRPr="00DE4823">
        <w:rPr>
          <w:i/>
          <w:lang w:val="en-US"/>
        </w:rPr>
        <w:t>,</w:t>
      </w:r>
    </w:p>
    <w:p w:rsidR="00DE4823" w:rsidRDefault="00DE4823" w:rsidP="00DE4823">
      <w:pPr>
        <w:jc w:val="both"/>
        <w:rPr>
          <w:lang w:val="en-US"/>
        </w:rPr>
      </w:pPr>
    </w:p>
    <w:p w:rsidR="00DE4823" w:rsidRPr="00DE4823" w:rsidRDefault="00DE4823" w:rsidP="00DE4823">
      <w:pPr>
        <w:jc w:val="both"/>
        <w:rPr>
          <w:lang w:val="en-US"/>
        </w:rPr>
      </w:pPr>
      <w:r w:rsidRPr="00DE4823">
        <w:rPr>
          <w:lang w:val="en-US"/>
        </w:rPr>
        <w:t>As a conclusion, we can state that there is a long term relationship between the variables.</w:t>
      </w:r>
    </w:p>
    <w:p w:rsidR="00DE4823" w:rsidRPr="00DE4823" w:rsidRDefault="00DE4823" w:rsidP="00DE4823">
      <w:pPr>
        <w:jc w:val="both"/>
        <w:rPr>
          <w:highlight w:val="yellow"/>
          <w:lang w:val="en-US"/>
        </w:rPr>
      </w:pPr>
    </w:p>
    <w:p w:rsidR="00DE4823" w:rsidRPr="00DE4823" w:rsidRDefault="00DE4823" w:rsidP="00DE4823">
      <w:pPr>
        <w:jc w:val="both"/>
        <w:rPr>
          <w:lang w:val="en-US"/>
        </w:rPr>
      </w:pPr>
      <w:r w:rsidRPr="00DE4823">
        <w:rPr>
          <w:lang w:val="en-US"/>
        </w:rPr>
        <w:t>Engle and Granger (1987) emphasized that an error correction model can be set when there is long term relationship between the variables. In other words, a bias of the long term equilibrium can be corrected. Correction of the bias in the regression can be made by an error correction term (ECT). Therefore, Granger causality of the model should be based on an error correction model (VECM).</w:t>
      </w:r>
    </w:p>
    <w:p w:rsidR="00DE4823" w:rsidRPr="00DE4823" w:rsidRDefault="00DE4823" w:rsidP="00DE4823">
      <w:pPr>
        <w:jc w:val="both"/>
        <w:rPr>
          <w:highlight w:val="yellow"/>
          <w:lang w:val="en-US"/>
        </w:rPr>
      </w:pPr>
    </w:p>
    <w:p w:rsidR="00DE4823" w:rsidRPr="00DE4823" w:rsidRDefault="00DE4823" w:rsidP="00DE4823">
      <w:pPr>
        <w:spacing w:after="120" w:line="360" w:lineRule="auto"/>
        <w:jc w:val="both"/>
        <w:rPr>
          <w:b/>
          <w:lang w:val="en-US"/>
        </w:rPr>
      </w:pPr>
      <w:r w:rsidRPr="00DE4823">
        <w:rPr>
          <w:b/>
          <w:lang w:val="en-US"/>
        </w:rPr>
        <w:t>4.2.3 Vector Error Correction Model</w:t>
      </w:r>
    </w:p>
    <w:p w:rsidR="00DE4823" w:rsidRDefault="00DE4823" w:rsidP="00DE4823">
      <w:pPr>
        <w:jc w:val="both"/>
        <w:rPr>
          <w:lang w:val="en-US"/>
        </w:rPr>
      </w:pPr>
      <w:r w:rsidRPr="00DE4823">
        <w:rPr>
          <w:lang w:val="en-US"/>
        </w:rPr>
        <w:t>The main advantage of the error correction model is that it enables to benefit the sub information of the series in the short term and long term. It also provides to eliminate the spurious regression (</w:t>
      </w:r>
      <w:proofErr w:type="spellStart"/>
      <w:r w:rsidRPr="00DE4823">
        <w:rPr>
          <w:lang w:val="en-US"/>
        </w:rPr>
        <w:t>Sevüktekin</w:t>
      </w:r>
      <w:proofErr w:type="spellEnd"/>
      <w:r w:rsidRPr="00DE4823">
        <w:rPr>
          <w:lang w:val="en-US"/>
        </w:rPr>
        <w:t xml:space="preserve"> and </w:t>
      </w:r>
      <w:proofErr w:type="spellStart"/>
      <w:r w:rsidRPr="00DE4823">
        <w:rPr>
          <w:lang w:val="en-US"/>
        </w:rPr>
        <w:t>Nargeleçekenler</w:t>
      </w:r>
      <w:proofErr w:type="spellEnd"/>
      <w:r w:rsidRPr="00DE4823">
        <w:rPr>
          <w:lang w:val="en-US"/>
        </w:rPr>
        <w:t>, 2010).</w:t>
      </w:r>
    </w:p>
    <w:p w:rsidR="00DE4823" w:rsidRPr="00DE4823" w:rsidRDefault="00DE4823" w:rsidP="00DE4823">
      <w:pPr>
        <w:jc w:val="both"/>
        <w:rPr>
          <w:lang w:val="en-US"/>
        </w:rPr>
      </w:pPr>
    </w:p>
    <w:p w:rsidR="00DE4823" w:rsidRPr="00DE4823" w:rsidRDefault="00DE4823" w:rsidP="00DE4823">
      <w:pPr>
        <w:jc w:val="both"/>
        <w:rPr>
          <w:lang w:val="en-US"/>
        </w:rPr>
      </w:pPr>
      <w:r w:rsidRPr="00DE4823">
        <w:rPr>
          <w:lang w:val="en-US"/>
        </w:rPr>
        <w:t>Therefore, for long term relationship, a dynamic specification of error correction (VECM) model can be defined as:</w:t>
      </w:r>
    </w:p>
    <w:p w:rsidR="00DE4823" w:rsidRPr="00DE4823" w:rsidRDefault="00DE4823" w:rsidP="00DE4823">
      <w:pPr>
        <w:spacing w:after="120" w:line="360" w:lineRule="auto"/>
        <w:jc w:val="center"/>
        <w:rPr>
          <w:b/>
          <w:lang w:val="en-US"/>
        </w:rPr>
      </w:pPr>
      <w:r w:rsidRPr="00DE4823">
        <w:rPr>
          <w:noProof/>
          <w:lang w:val="en-US" w:eastAsia="en-US"/>
        </w:rPr>
        <mc:AlternateContent>
          <mc:Choice Requires="wps">
            <w:drawing>
              <wp:anchor distT="0" distB="0" distL="114300" distR="114300" simplePos="0" relativeHeight="251664384" behindDoc="0" locked="0" layoutInCell="1" allowOverlap="1" wp14:anchorId="17C54910" wp14:editId="0690A257">
                <wp:simplePos x="0" y="0"/>
                <wp:positionH relativeFrom="column">
                  <wp:posOffset>5417820</wp:posOffset>
                </wp:positionH>
                <wp:positionV relativeFrom="paragraph">
                  <wp:posOffset>90805</wp:posOffset>
                </wp:positionV>
                <wp:extent cx="457200" cy="298450"/>
                <wp:effectExtent l="254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823" w:rsidRDefault="00DE4823" w:rsidP="00DE4823">
                            <w:pPr>
                              <w:jc w:val="cente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26.6pt;margin-top:7.15pt;width:36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QsgAIAAA4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" stroked="f">
                <v:textbox>
                  <w:txbxContent>
                    <w:p w:rsidR="00DE4823" w:rsidRDefault="00DE4823" w:rsidP="00DE4823">
                      <w:pPr>
                        <w:jc w:val="center"/>
                      </w:pPr>
                      <w:r>
                        <w:t>(1)</w:t>
                      </w:r>
                    </w:p>
                  </w:txbxContent>
                </v:textbox>
              </v:shape>
            </w:pict>
          </mc:Fallback>
        </mc:AlternateContent>
      </w:r>
      <w:r w:rsidRPr="00DE4823">
        <w:rPr>
          <w:noProof/>
          <w:lang w:val="en-US" w:eastAsia="en-US"/>
        </w:rPr>
        <w:drawing>
          <wp:anchor distT="0" distB="0" distL="114300" distR="114300" simplePos="0" relativeHeight="251662336" behindDoc="1" locked="0" layoutInCell="1" allowOverlap="1" wp14:anchorId="75B08791" wp14:editId="104DCD13">
            <wp:simplePos x="0" y="0"/>
            <wp:positionH relativeFrom="column">
              <wp:align>center</wp:align>
            </wp:positionH>
            <wp:positionV relativeFrom="paragraph">
              <wp:posOffset>0</wp:posOffset>
            </wp:positionV>
            <wp:extent cx="3467100" cy="431800"/>
            <wp:effectExtent l="0" t="0" r="0" b="6350"/>
            <wp:wrapTight wrapText="bothSides">
              <wp:wrapPolygon edited="0">
                <wp:start x="5103" y="0"/>
                <wp:lineTo x="0" y="6671"/>
                <wp:lineTo x="0" y="14294"/>
                <wp:lineTo x="4985" y="17153"/>
                <wp:lineTo x="4747" y="20965"/>
                <wp:lineTo x="11631" y="20965"/>
                <wp:lineTo x="11631" y="17153"/>
                <wp:lineTo x="21481" y="15247"/>
                <wp:lineTo x="21481" y="8576"/>
                <wp:lineTo x="11275" y="0"/>
                <wp:lineTo x="510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823">
        <w:rPr>
          <w:b/>
          <w:lang w:val="en-US"/>
        </w:rPr>
        <w:t xml:space="preserve">                                                            </w:t>
      </w:r>
    </w:p>
    <w:p w:rsidR="00DE4823" w:rsidRPr="00DE4823" w:rsidRDefault="00DE4823" w:rsidP="00DE4823">
      <w:pPr>
        <w:spacing w:after="120" w:line="360" w:lineRule="auto"/>
        <w:jc w:val="center"/>
        <w:rPr>
          <w:b/>
          <w:lang w:val="en-US"/>
        </w:rPr>
      </w:pPr>
      <w:r w:rsidRPr="00DE4823">
        <w:rPr>
          <w:noProof/>
          <w:lang w:val="en-US" w:eastAsia="en-US"/>
        </w:rPr>
        <mc:AlternateContent>
          <mc:Choice Requires="wps">
            <w:drawing>
              <wp:anchor distT="0" distB="0" distL="114300" distR="114300" simplePos="0" relativeHeight="251665408" behindDoc="0" locked="0" layoutInCell="1" allowOverlap="1" wp14:anchorId="13C10E13" wp14:editId="70459CE8">
                <wp:simplePos x="0" y="0"/>
                <wp:positionH relativeFrom="column">
                  <wp:posOffset>5417820</wp:posOffset>
                </wp:positionH>
                <wp:positionV relativeFrom="paragraph">
                  <wp:posOffset>88265</wp:posOffset>
                </wp:positionV>
                <wp:extent cx="457200" cy="283845"/>
                <wp:effectExtent l="254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823" w:rsidRDefault="00DE4823" w:rsidP="00DE4823">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6.6pt;margin-top:6.95pt;width:36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" stroked="f">
                <v:textbox>
                  <w:txbxContent>
                    <w:p w:rsidR="00DE4823" w:rsidRDefault="00DE4823" w:rsidP="00DE4823">
                      <w:pPr>
                        <w:jc w:val="center"/>
                      </w:pPr>
                      <w:r>
                        <w:t>(2)</w:t>
                      </w:r>
                    </w:p>
                  </w:txbxContent>
                </v:textbox>
              </v:shape>
            </w:pict>
          </mc:Fallback>
        </mc:AlternateContent>
      </w:r>
      <w:r w:rsidRPr="00DE4823">
        <w:rPr>
          <w:noProof/>
          <w:lang w:val="en-US" w:eastAsia="en-US"/>
        </w:rPr>
        <w:drawing>
          <wp:anchor distT="0" distB="0" distL="114300" distR="114300" simplePos="0" relativeHeight="251663360" behindDoc="1" locked="0" layoutInCell="1" allowOverlap="1" wp14:anchorId="39A15E5A" wp14:editId="7EAD7616">
            <wp:simplePos x="0" y="0"/>
            <wp:positionH relativeFrom="column">
              <wp:align>center</wp:align>
            </wp:positionH>
            <wp:positionV relativeFrom="paragraph">
              <wp:posOffset>0</wp:posOffset>
            </wp:positionV>
            <wp:extent cx="3517900" cy="431800"/>
            <wp:effectExtent l="0" t="0" r="6350" b="6350"/>
            <wp:wrapTight wrapText="bothSides">
              <wp:wrapPolygon edited="0">
                <wp:start x="5147" y="0"/>
                <wp:lineTo x="0" y="6671"/>
                <wp:lineTo x="0" y="14294"/>
                <wp:lineTo x="5030" y="17153"/>
                <wp:lineTo x="4796" y="20965"/>
                <wp:lineTo x="11580" y="20965"/>
                <wp:lineTo x="11580" y="17153"/>
                <wp:lineTo x="21522" y="15247"/>
                <wp:lineTo x="21522" y="8576"/>
                <wp:lineTo x="11229" y="0"/>
                <wp:lineTo x="514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7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823">
        <w:rPr>
          <w:b/>
          <w:lang w:val="en-US"/>
        </w:rPr>
        <w:t xml:space="preserve">                                                                                                                            </w:t>
      </w:r>
    </w:p>
    <w:p w:rsidR="00DE4823" w:rsidRPr="00DE4823" w:rsidRDefault="00DE4823" w:rsidP="00DE4823">
      <w:pPr>
        <w:jc w:val="both"/>
        <w:rPr>
          <w:lang w:val="en-US"/>
        </w:rPr>
      </w:pPr>
      <w:r w:rsidRPr="00DE4823">
        <w:rPr>
          <w:i/>
          <w:iCs/>
          <w:lang w:val="en-US"/>
        </w:rPr>
        <w:t>ECT</w:t>
      </w:r>
      <w:r w:rsidRPr="00DE4823">
        <w:rPr>
          <w:i/>
          <w:iCs/>
          <w:vertAlign w:val="subscript"/>
          <w:lang w:val="en-US"/>
        </w:rPr>
        <w:t xml:space="preserve">t-1 </w:t>
      </w:r>
      <w:r w:rsidRPr="00DE4823">
        <w:rPr>
          <w:iCs/>
          <w:lang w:val="en-US"/>
        </w:rPr>
        <w:t xml:space="preserve">is the lagged value of error correction model. Coefficients </w:t>
      </w:r>
      <w:r w:rsidRPr="00DE4823">
        <w:rPr>
          <w:i/>
          <w:iCs/>
          <w:lang w:val="en-US"/>
        </w:rPr>
        <w:t>λ</w:t>
      </w:r>
      <w:r w:rsidRPr="00DE4823">
        <w:rPr>
          <w:i/>
          <w:iCs/>
          <w:vertAlign w:val="subscript"/>
          <w:lang w:val="en-US"/>
        </w:rPr>
        <w:t>1</w:t>
      </w:r>
      <w:r w:rsidRPr="00DE4823">
        <w:rPr>
          <w:i/>
          <w:iCs/>
          <w:lang w:val="en-US"/>
        </w:rPr>
        <w:t xml:space="preserve"> </w:t>
      </w:r>
      <w:r w:rsidRPr="00DE4823">
        <w:rPr>
          <w:lang w:val="en-US"/>
        </w:rPr>
        <w:t xml:space="preserve">and </w:t>
      </w:r>
      <w:r w:rsidRPr="00DE4823">
        <w:rPr>
          <w:i/>
          <w:iCs/>
          <w:lang w:val="en-US"/>
        </w:rPr>
        <w:t>λ</w:t>
      </w:r>
      <w:r w:rsidRPr="00DE4823">
        <w:rPr>
          <w:i/>
          <w:iCs/>
          <w:vertAlign w:val="subscript"/>
          <w:lang w:val="en-US"/>
        </w:rPr>
        <w:t>2</w:t>
      </w:r>
      <w:r w:rsidRPr="00DE4823">
        <w:rPr>
          <w:i/>
          <w:iCs/>
          <w:lang w:val="en-US"/>
        </w:rPr>
        <w:t xml:space="preserve"> </w:t>
      </w:r>
      <w:r w:rsidRPr="00DE4823">
        <w:rPr>
          <w:iCs/>
          <w:lang w:val="en-US"/>
        </w:rPr>
        <w:t xml:space="preserve">show the equilibrium ratio. When </w:t>
      </w:r>
      <w:proofErr w:type="spellStart"/>
      <w:r w:rsidRPr="00DE4823">
        <w:rPr>
          <w:iCs/>
          <w:lang w:val="en-US"/>
        </w:rPr>
        <w:t>cointegration</w:t>
      </w:r>
      <w:proofErr w:type="spellEnd"/>
      <w:r w:rsidRPr="00DE4823">
        <w:rPr>
          <w:iCs/>
          <w:lang w:val="en-US"/>
        </w:rPr>
        <w:t xml:space="preserve"> is considered, </w:t>
      </w:r>
      <w:r w:rsidRPr="00DE4823">
        <w:rPr>
          <w:position w:val="-18"/>
          <w:lang w:val="en-US"/>
        </w:rPr>
        <w:object w:dxaOrig="4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20.4pt" o:ole="">
            <v:imagedata r:id="rId12" o:title=""/>
          </v:shape>
          <o:OLEObject Type="Embed" ProgID="Equation.3" ShapeID="_x0000_i1025" DrawAspect="Content" ObjectID="_1433806189" r:id="rId13"/>
        </w:object>
      </w:r>
      <w:r w:rsidRPr="00DE4823">
        <w:rPr>
          <w:lang w:val="en-US"/>
        </w:rPr>
        <w:t xml:space="preserve">from the equation 1 and </w:t>
      </w:r>
      <w:r w:rsidR="00006152">
        <w:rPr>
          <w:lang w:val="en-US"/>
        </w:rPr>
        <w:pict>
          <v:shape id="_x0000_i1026" type="#_x0000_t75" style="width:18.35pt;height:19pt">
            <v:imagedata r:id="rId14" o:title=""/>
          </v:shape>
        </w:pict>
      </w:r>
      <w:r w:rsidRPr="00DE4823">
        <w:rPr>
          <w:lang w:val="en-US"/>
        </w:rPr>
        <w:t xml:space="preserve"> from the equation are tested whether they are significant in group by F-test and also coefficients of the error correction model </w:t>
      </w:r>
      <w:r w:rsidRPr="00DE4823">
        <w:rPr>
          <w:i/>
          <w:iCs/>
          <w:lang w:val="en-US"/>
        </w:rPr>
        <w:t>λ</w:t>
      </w:r>
      <w:r w:rsidRPr="00DE4823">
        <w:rPr>
          <w:i/>
          <w:iCs/>
          <w:vertAlign w:val="subscript"/>
          <w:lang w:val="en-US"/>
        </w:rPr>
        <w:t>1</w:t>
      </w:r>
      <w:r w:rsidRPr="00DE4823">
        <w:rPr>
          <w:i/>
          <w:iCs/>
          <w:lang w:val="en-US"/>
        </w:rPr>
        <w:t xml:space="preserve"> </w:t>
      </w:r>
      <w:r w:rsidRPr="00DE4823">
        <w:rPr>
          <w:lang w:val="en-US"/>
        </w:rPr>
        <w:t xml:space="preserve">and  </w:t>
      </w:r>
      <w:r w:rsidRPr="00DE4823">
        <w:rPr>
          <w:i/>
          <w:iCs/>
          <w:lang w:val="en-US"/>
        </w:rPr>
        <w:t>λ</w:t>
      </w:r>
      <w:r w:rsidRPr="00DE4823">
        <w:rPr>
          <w:i/>
          <w:iCs/>
          <w:vertAlign w:val="subscript"/>
          <w:lang w:val="en-US"/>
        </w:rPr>
        <w:t xml:space="preserve">2 </w:t>
      </w:r>
      <w:r w:rsidRPr="00DE4823">
        <w:rPr>
          <w:i/>
          <w:iCs/>
          <w:lang w:val="en-US"/>
        </w:rPr>
        <w:t xml:space="preserve"> </w:t>
      </w:r>
      <w:r w:rsidRPr="00DE4823">
        <w:rPr>
          <w:lang w:val="en-US"/>
        </w:rPr>
        <w:t>are tested whether significant or not (</w:t>
      </w:r>
      <w:proofErr w:type="spellStart"/>
      <w:r w:rsidRPr="00DE4823">
        <w:rPr>
          <w:lang w:val="en-US"/>
        </w:rPr>
        <w:t>Özata</w:t>
      </w:r>
      <w:proofErr w:type="spellEnd"/>
      <w:r w:rsidRPr="00DE4823">
        <w:rPr>
          <w:lang w:val="en-US"/>
        </w:rPr>
        <w:t xml:space="preserve"> and </w:t>
      </w:r>
      <w:proofErr w:type="spellStart"/>
      <w:r w:rsidRPr="00DE4823">
        <w:rPr>
          <w:lang w:val="en-US"/>
        </w:rPr>
        <w:t>Esen</w:t>
      </w:r>
      <w:proofErr w:type="spellEnd"/>
      <w:r w:rsidRPr="00DE4823">
        <w:rPr>
          <w:lang w:val="en-US"/>
        </w:rPr>
        <w:t>, 2010).</w:t>
      </w:r>
    </w:p>
    <w:p w:rsidR="00DE4823" w:rsidRPr="00DE4823" w:rsidRDefault="00DE4823" w:rsidP="00DE4823">
      <w:pPr>
        <w:rPr>
          <w:b/>
          <w:lang w:val="en-US"/>
        </w:rPr>
      </w:pPr>
    </w:p>
    <w:p w:rsidR="00DE4823" w:rsidRPr="00DE4823" w:rsidRDefault="00DE4823" w:rsidP="00DE4823">
      <w:pPr>
        <w:rPr>
          <w:b/>
          <w:lang w:val="en-US"/>
        </w:rPr>
      </w:pPr>
      <w:r w:rsidRPr="00DE4823">
        <w:rPr>
          <w:b/>
          <w:lang w:val="en-US"/>
        </w:rPr>
        <w:t>4.2.3. Granger Causality Test</w:t>
      </w:r>
    </w:p>
    <w:p w:rsidR="00DE4823" w:rsidRPr="00DE4823" w:rsidRDefault="00DE4823" w:rsidP="00DE4823">
      <w:pPr>
        <w:jc w:val="both"/>
        <w:rPr>
          <w:b/>
          <w:lang w:val="en-US"/>
        </w:rPr>
      </w:pPr>
    </w:p>
    <w:p w:rsidR="00DE4823" w:rsidRDefault="00DE4823" w:rsidP="00DE4823">
      <w:pPr>
        <w:jc w:val="both"/>
        <w:rPr>
          <w:lang w:val="en-US"/>
        </w:rPr>
      </w:pPr>
      <w:r w:rsidRPr="00DE4823">
        <w:rPr>
          <w:lang w:val="en-US"/>
        </w:rPr>
        <w:t>Results of the Granger Causality test using vector error correction model is presented in Table 5.</w:t>
      </w:r>
    </w:p>
    <w:p w:rsidR="00DE4823" w:rsidRDefault="00DE4823" w:rsidP="00DE4823">
      <w:pPr>
        <w:jc w:val="both"/>
        <w:rPr>
          <w:lang w:val="en-US"/>
        </w:rPr>
      </w:pPr>
    </w:p>
    <w:p w:rsidR="00DE4823" w:rsidRDefault="00DE4823" w:rsidP="00DE4823">
      <w:pPr>
        <w:jc w:val="both"/>
        <w:rPr>
          <w:lang w:val="en-US"/>
        </w:rPr>
      </w:pPr>
    </w:p>
    <w:p w:rsidR="00DE4823" w:rsidRDefault="00DE4823" w:rsidP="00DE4823">
      <w:pPr>
        <w:jc w:val="both"/>
        <w:rPr>
          <w:lang w:val="en-US"/>
        </w:rPr>
      </w:pPr>
    </w:p>
    <w:p w:rsidR="00DE4823" w:rsidRDefault="00DE4823" w:rsidP="00DE4823">
      <w:pPr>
        <w:jc w:val="both"/>
        <w:rPr>
          <w:lang w:val="en-US"/>
        </w:rPr>
      </w:pPr>
    </w:p>
    <w:p w:rsidR="00DE4823" w:rsidRPr="00DE4823" w:rsidRDefault="00DE4823" w:rsidP="00DE4823">
      <w:pPr>
        <w:jc w:val="both"/>
        <w:rPr>
          <w:b/>
          <w:lang w:val="en-US"/>
        </w:rPr>
      </w:pPr>
    </w:p>
    <w:p w:rsidR="00DE4823" w:rsidRPr="00DE4823" w:rsidRDefault="00DE4823" w:rsidP="00DE4823">
      <w:pPr>
        <w:tabs>
          <w:tab w:val="left" w:pos="3870"/>
        </w:tabs>
        <w:autoSpaceDE w:val="0"/>
        <w:autoSpaceDN w:val="0"/>
        <w:adjustRightInd w:val="0"/>
        <w:jc w:val="center"/>
        <w:rPr>
          <w:lang w:val="en-US"/>
        </w:rPr>
      </w:pPr>
      <w:r w:rsidRPr="00DE4823">
        <w:rPr>
          <w:b/>
          <w:lang w:val="en-US"/>
        </w:rPr>
        <w:lastRenderedPageBreak/>
        <w:t>Table 5:</w:t>
      </w:r>
      <w:r w:rsidRPr="00DE4823">
        <w:rPr>
          <w:lang w:val="en-US"/>
        </w:rPr>
        <w:t xml:space="preserve"> Granger Causality Test Results</w:t>
      </w:r>
    </w:p>
    <w:p w:rsidR="00DE4823" w:rsidRPr="00DE4823" w:rsidRDefault="00DE4823" w:rsidP="00DE4823">
      <w:pPr>
        <w:tabs>
          <w:tab w:val="left" w:pos="3870"/>
          <w:tab w:val="center" w:pos="4536"/>
          <w:tab w:val="left" w:pos="7020"/>
        </w:tabs>
        <w:autoSpaceDE w:val="0"/>
        <w:autoSpaceDN w:val="0"/>
        <w:adjustRightInd w:val="0"/>
        <w:rPr>
          <w:lang w:val="en-US"/>
        </w:rPr>
      </w:pPr>
      <w:r w:rsidRPr="00DE4823">
        <w:rPr>
          <w:lang w:val="en-US"/>
        </w:rPr>
        <w:tab/>
      </w:r>
      <w:r w:rsidRPr="00DE4823">
        <w:rPr>
          <w:lang w:val="en-US"/>
        </w:rPr>
        <w:tab/>
      </w:r>
      <w:r w:rsidRPr="00DE4823">
        <w:rPr>
          <w:lang w:val="en-US"/>
        </w:rPr>
        <w:tab/>
        <w:t>m=2</w:t>
      </w:r>
    </w:p>
    <w:tbl>
      <w:tblPr>
        <w:tblStyle w:val="TableList1"/>
        <w:tblW w:w="7293" w:type="dxa"/>
        <w:jc w:val="center"/>
        <w:tblLook w:val="0000" w:firstRow="0" w:lastRow="0" w:firstColumn="0" w:lastColumn="0" w:noHBand="0" w:noVBand="0"/>
      </w:tblPr>
      <w:tblGrid>
        <w:gridCol w:w="4888"/>
        <w:gridCol w:w="1083"/>
        <w:gridCol w:w="1322"/>
      </w:tblGrid>
      <w:tr w:rsidR="00DE4823" w:rsidRPr="00DE4823" w:rsidTr="00766E8D">
        <w:trPr>
          <w:cnfStyle w:val="000000100000" w:firstRow="0" w:lastRow="0" w:firstColumn="0" w:lastColumn="0" w:oddVBand="0" w:evenVBand="0" w:oddHBand="1" w:evenHBand="0" w:firstRowFirstColumn="0" w:firstRowLastColumn="0" w:lastRowFirstColumn="0" w:lastRowLastColumn="0"/>
          <w:trHeight w:val="470"/>
          <w:jc w:val="center"/>
        </w:trPr>
        <w:tc>
          <w:tcPr>
            <w:tcW w:w="5051" w:type="dxa"/>
          </w:tcPr>
          <w:p w:rsidR="00DE4823" w:rsidRPr="00DE4823" w:rsidRDefault="00DE4823" w:rsidP="00766E8D">
            <w:pPr>
              <w:jc w:val="center"/>
            </w:pPr>
            <w:r w:rsidRPr="00DE4823">
              <w:t>Hypothesis</w:t>
            </w:r>
          </w:p>
        </w:tc>
        <w:tc>
          <w:tcPr>
            <w:tcW w:w="900" w:type="dxa"/>
          </w:tcPr>
          <w:p w:rsidR="00DE4823" w:rsidRPr="00DE4823" w:rsidRDefault="00DE4823" w:rsidP="00766E8D">
            <w:pPr>
              <w:jc w:val="center"/>
            </w:pPr>
            <w:r w:rsidRPr="00DE4823">
              <w:t>Test Statistics</w:t>
            </w:r>
          </w:p>
        </w:tc>
        <w:tc>
          <w:tcPr>
            <w:tcW w:w="1342" w:type="dxa"/>
          </w:tcPr>
          <w:p w:rsidR="00DE4823" w:rsidRPr="00DE4823" w:rsidRDefault="00DE4823" w:rsidP="00766E8D">
            <w:pPr>
              <w:jc w:val="center"/>
            </w:pPr>
            <w:r w:rsidRPr="00DE4823">
              <w:t>P Value</w:t>
            </w:r>
          </w:p>
        </w:tc>
      </w:tr>
      <w:tr w:rsidR="00DE4823" w:rsidRPr="00DE4823" w:rsidTr="00766E8D">
        <w:trPr>
          <w:cnfStyle w:val="000000010000" w:firstRow="0" w:lastRow="0" w:firstColumn="0" w:lastColumn="0" w:oddVBand="0" w:evenVBand="0" w:oddHBand="0" w:evenHBand="1" w:firstRowFirstColumn="0" w:firstRowLastColumn="0" w:lastRowFirstColumn="0" w:lastRowLastColumn="0"/>
          <w:trHeight w:val="424"/>
          <w:jc w:val="center"/>
        </w:trPr>
        <w:tc>
          <w:tcPr>
            <w:tcW w:w="5051" w:type="dxa"/>
          </w:tcPr>
          <w:p w:rsidR="00DE4823" w:rsidRPr="00DE4823" w:rsidRDefault="00DE4823" w:rsidP="00766E8D">
            <w:pPr>
              <w:jc w:val="center"/>
            </w:pPr>
            <w:r w:rsidRPr="00DE4823">
              <w:t>SMCR does not Granger Cause interest rate</w:t>
            </w:r>
          </w:p>
        </w:tc>
        <w:tc>
          <w:tcPr>
            <w:tcW w:w="900" w:type="dxa"/>
            <w:vAlign w:val="bottom"/>
          </w:tcPr>
          <w:p w:rsidR="00DE4823" w:rsidRPr="00DE4823" w:rsidRDefault="00DE4823" w:rsidP="00766E8D">
            <w:pPr>
              <w:autoSpaceDE w:val="0"/>
              <w:autoSpaceDN w:val="0"/>
              <w:adjustRightInd w:val="0"/>
              <w:jc w:val="center"/>
              <w:rPr>
                <w:color w:val="000000"/>
              </w:rPr>
            </w:pPr>
            <w:r w:rsidRPr="00DE4823">
              <w:rPr>
                <w:color w:val="000000"/>
              </w:rPr>
              <w:t>0.08698</w:t>
            </w:r>
          </w:p>
        </w:tc>
        <w:tc>
          <w:tcPr>
            <w:tcW w:w="1342" w:type="dxa"/>
            <w:vAlign w:val="bottom"/>
          </w:tcPr>
          <w:p w:rsidR="00DE4823" w:rsidRPr="00DE4823" w:rsidRDefault="00DE4823" w:rsidP="00766E8D">
            <w:pPr>
              <w:autoSpaceDE w:val="0"/>
              <w:autoSpaceDN w:val="0"/>
              <w:adjustRightInd w:val="0"/>
              <w:jc w:val="center"/>
              <w:rPr>
                <w:color w:val="000000"/>
              </w:rPr>
            </w:pPr>
            <w:r w:rsidRPr="00DE4823">
              <w:rPr>
                <w:color w:val="000000"/>
              </w:rPr>
              <w:t>0.9168</w:t>
            </w:r>
          </w:p>
        </w:tc>
      </w:tr>
      <w:tr w:rsidR="00DE4823" w:rsidRPr="00DE4823" w:rsidTr="00766E8D">
        <w:trPr>
          <w:cnfStyle w:val="000000100000" w:firstRow="0" w:lastRow="0" w:firstColumn="0" w:lastColumn="0" w:oddVBand="0" w:evenVBand="0" w:oddHBand="1" w:evenHBand="0" w:firstRowFirstColumn="0" w:firstRowLastColumn="0" w:lastRowFirstColumn="0" w:lastRowLastColumn="0"/>
          <w:trHeight w:val="424"/>
          <w:jc w:val="center"/>
        </w:trPr>
        <w:tc>
          <w:tcPr>
            <w:tcW w:w="5051" w:type="dxa"/>
          </w:tcPr>
          <w:p w:rsidR="00DE4823" w:rsidRPr="00DE4823" w:rsidRDefault="00DE4823" w:rsidP="00766E8D">
            <w:pPr>
              <w:jc w:val="center"/>
            </w:pPr>
            <w:r w:rsidRPr="00DE4823">
              <w:t>Interest rate does not Granger cause SMCR</w:t>
            </w:r>
          </w:p>
        </w:tc>
        <w:tc>
          <w:tcPr>
            <w:tcW w:w="900" w:type="dxa"/>
            <w:vAlign w:val="bottom"/>
          </w:tcPr>
          <w:p w:rsidR="00DE4823" w:rsidRPr="00DE4823" w:rsidRDefault="00DE4823" w:rsidP="00766E8D">
            <w:pPr>
              <w:autoSpaceDE w:val="0"/>
              <w:autoSpaceDN w:val="0"/>
              <w:adjustRightInd w:val="0"/>
              <w:jc w:val="center"/>
              <w:rPr>
                <w:color w:val="000000"/>
              </w:rPr>
            </w:pPr>
            <w:r w:rsidRPr="00DE4823">
              <w:rPr>
                <w:color w:val="000000"/>
              </w:rPr>
              <w:t>0.08871</w:t>
            </w:r>
          </w:p>
        </w:tc>
        <w:tc>
          <w:tcPr>
            <w:tcW w:w="1342" w:type="dxa"/>
            <w:vAlign w:val="bottom"/>
          </w:tcPr>
          <w:p w:rsidR="00DE4823" w:rsidRPr="00DE4823" w:rsidRDefault="00DE4823" w:rsidP="00766E8D">
            <w:pPr>
              <w:autoSpaceDE w:val="0"/>
              <w:autoSpaceDN w:val="0"/>
              <w:adjustRightInd w:val="0"/>
              <w:jc w:val="center"/>
              <w:rPr>
                <w:color w:val="000000"/>
              </w:rPr>
            </w:pPr>
            <w:r w:rsidRPr="00DE4823">
              <w:rPr>
                <w:color w:val="000000"/>
              </w:rPr>
              <w:t>0.9153</w:t>
            </w:r>
          </w:p>
        </w:tc>
      </w:tr>
    </w:tbl>
    <w:p w:rsidR="00DE4823" w:rsidRPr="00DE4823" w:rsidRDefault="00DE4823" w:rsidP="00DE4823">
      <w:pPr>
        <w:rPr>
          <w:b/>
          <w:lang w:val="en-US"/>
        </w:rPr>
      </w:pPr>
    </w:p>
    <w:p w:rsidR="00DE4823" w:rsidRPr="00DE4823" w:rsidRDefault="00DE4823" w:rsidP="00DE4823">
      <w:pPr>
        <w:jc w:val="both"/>
        <w:rPr>
          <w:lang w:val="en-US"/>
        </w:rPr>
      </w:pPr>
      <w:r w:rsidRPr="00DE4823">
        <w:rPr>
          <w:lang w:val="en-US"/>
        </w:rPr>
        <w:t>The Granger Causality test results pointed at an inelastic relationship between SMCR and interest rate. Therefore, changes in the SMCR are not sensitive to changes in interest rates. In the contrary case, changes in the interest rates are not sensitive to changes in the SMCR.</w:t>
      </w:r>
    </w:p>
    <w:p w:rsidR="00DE4823" w:rsidRPr="00DE4823" w:rsidRDefault="00DE4823" w:rsidP="00DE4823">
      <w:pPr>
        <w:rPr>
          <w:b/>
          <w:lang w:val="en-US"/>
        </w:rPr>
      </w:pPr>
    </w:p>
    <w:p w:rsidR="00DE4823" w:rsidRPr="00DE4823" w:rsidRDefault="00DE4823" w:rsidP="00DE4823">
      <w:pPr>
        <w:rPr>
          <w:b/>
          <w:lang w:val="en-US"/>
        </w:rPr>
      </w:pPr>
      <w:r w:rsidRPr="00DE4823">
        <w:rPr>
          <w:b/>
          <w:lang w:val="en-US"/>
        </w:rPr>
        <w:t>4.2.4. Impulse-Response Functions</w:t>
      </w:r>
    </w:p>
    <w:p w:rsidR="00DE4823" w:rsidRPr="00DE4823" w:rsidRDefault="00DE4823" w:rsidP="00DE4823">
      <w:pPr>
        <w:rPr>
          <w:b/>
          <w:lang w:val="en-US"/>
        </w:rPr>
      </w:pPr>
    </w:p>
    <w:p w:rsidR="00DE4823" w:rsidRPr="00DE4823" w:rsidRDefault="00DE4823" w:rsidP="00DE4823">
      <w:pPr>
        <w:jc w:val="both"/>
        <w:rPr>
          <w:b/>
          <w:lang w:val="en-US"/>
        </w:rPr>
      </w:pPr>
      <w:r w:rsidRPr="00DE4823">
        <w:rPr>
          <w:lang w:val="en-US"/>
        </w:rPr>
        <w:t>After testing causality, responses of the indices to an impulse in crude oil prices are analyzed. Impulse response functions reveal the effects of an unexpected shock given to a variable on the future values of its own and also other variables. As a result of impulse response functions, dynamic relationships can be observed among the variables and also the adjustment process can be detected.</w:t>
      </w:r>
    </w:p>
    <w:p w:rsidR="00DE4823" w:rsidRPr="00DE4823" w:rsidRDefault="00DE4823" w:rsidP="00DE4823">
      <w:pPr>
        <w:rPr>
          <w:b/>
          <w:lang w:val="en-US"/>
        </w:rPr>
      </w:pPr>
    </w:p>
    <w:p w:rsidR="00DE4823" w:rsidRPr="00DE4823" w:rsidRDefault="00DE4823" w:rsidP="00DE4823">
      <w:pPr>
        <w:jc w:val="center"/>
        <w:rPr>
          <w:b/>
          <w:lang w:val="en-US"/>
        </w:rPr>
      </w:pPr>
      <w:r w:rsidRPr="00DE4823">
        <w:rPr>
          <w:b/>
          <w:lang w:val="en-US"/>
        </w:rPr>
        <w:t>Graph 2:</w:t>
      </w:r>
      <w:r w:rsidRPr="00DE4823">
        <w:rPr>
          <w:lang w:val="en-US"/>
        </w:rPr>
        <w:t xml:space="preserve"> Graphs of Impulse-Response Functions</w:t>
      </w:r>
    </w:p>
    <w:p w:rsidR="00DE4823" w:rsidRPr="00DE4823" w:rsidRDefault="00DE4823" w:rsidP="00DE4823">
      <w:pPr>
        <w:rPr>
          <w:b/>
          <w:lang w:val="en-US"/>
        </w:rPr>
      </w:pPr>
      <w:r w:rsidRPr="00DE4823">
        <w:rPr>
          <w:noProof/>
          <w:lang w:val="en-US" w:eastAsia="en-US"/>
        </w:rPr>
        <w:drawing>
          <wp:anchor distT="0" distB="0" distL="114300" distR="114300" simplePos="0" relativeHeight="251661312" behindDoc="1" locked="0" layoutInCell="1" allowOverlap="1" wp14:anchorId="5F983090" wp14:editId="6C8BE6D7">
            <wp:simplePos x="0" y="0"/>
            <wp:positionH relativeFrom="column">
              <wp:posOffset>3236595</wp:posOffset>
            </wp:positionH>
            <wp:positionV relativeFrom="paragraph">
              <wp:posOffset>122555</wp:posOffset>
            </wp:positionV>
            <wp:extent cx="2867025" cy="2057400"/>
            <wp:effectExtent l="0" t="0" r="9525" b="0"/>
            <wp:wrapTight wrapText="bothSides">
              <wp:wrapPolygon edited="0">
                <wp:start x="6458" y="0"/>
                <wp:lineTo x="0" y="2800"/>
                <wp:lineTo x="0" y="9600"/>
                <wp:lineTo x="1005" y="9600"/>
                <wp:lineTo x="0" y="11600"/>
                <wp:lineTo x="1148" y="12800"/>
                <wp:lineTo x="0" y="13200"/>
                <wp:lineTo x="0" y="16000"/>
                <wp:lineTo x="1148" y="16000"/>
                <wp:lineTo x="0" y="17600"/>
                <wp:lineTo x="0" y="17800"/>
                <wp:lineTo x="1148" y="19200"/>
                <wp:lineTo x="0" y="19600"/>
                <wp:lineTo x="0" y="20200"/>
                <wp:lineTo x="2153" y="21200"/>
                <wp:lineTo x="21528" y="21200"/>
                <wp:lineTo x="21528" y="3200"/>
                <wp:lineTo x="1292" y="3200"/>
                <wp:lineTo x="15500" y="1800"/>
                <wp:lineTo x="16649" y="400"/>
                <wp:lineTo x="15931" y="0"/>
                <wp:lineTo x="645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823">
        <w:rPr>
          <w:noProof/>
          <w:lang w:val="en-US" w:eastAsia="en-US"/>
        </w:rPr>
        <w:drawing>
          <wp:anchor distT="0" distB="0" distL="114300" distR="114300" simplePos="0" relativeHeight="251660288" behindDoc="1" locked="0" layoutInCell="1" allowOverlap="1" wp14:anchorId="4E23C0D6" wp14:editId="4CA9BFD0">
            <wp:simplePos x="0" y="0"/>
            <wp:positionH relativeFrom="column">
              <wp:posOffset>-68580</wp:posOffset>
            </wp:positionH>
            <wp:positionV relativeFrom="paragraph">
              <wp:posOffset>122555</wp:posOffset>
            </wp:positionV>
            <wp:extent cx="2867025" cy="2057400"/>
            <wp:effectExtent l="0" t="0" r="9525" b="0"/>
            <wp:wrapTight wrapText="bothSides">
              <wp:wrapPolygon edited="0">
                <wp:start x="6171" y="0"/>
                <wp:lineTo x="0" y="2600"/>
                <wp:lineTo x="0" y="9600"/>
                <wp:lineTo x="1005" y="9600"/>
                <wp:lineTo x="0" y="11200"/>
                <wp:lineTo x="0" y="11600"/>
                <wp:lineTo x="1148" y="12800"/>
                <wp:lineTo x="0" y="13000"/>
                <wp:lineTo x="0" y="16000"/>
                <wp:lineTo x="1148" y="16000"/>
                <wp:lineTo x="0" y="17400"/>
                <wp:lineTo x="0" y="17800"/>
                <wp:lineTo x="1148" y="19200"/>
                <wp:lineTo x="0" y="19400"/>
                <wp:lineTo x="0" y="20200"/>
                <wp:lineTo x="2153" y="21200"/>
                <wp:lineTo x="21528" y="21200"/>
                <wp:lineTo x="21528" y="3200"/>
                <wp:lineTo x="1292" y="3200"/>
                <wp:lineTo x="15357" y="1800"/>
                <wp:lineTo x="16792" y="400"/>
                <wp:lineTo x="16074" y="0"/>
                <wp:lineTo x="617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rPr>
          <w:b/>
          <w:lang w:val="en-US"/>
        </w:rPr>
      </w:pPr>
    </w:p>
    <w:p w:rsidR="00DE4823" w:rsidRPr="00DE4823" w:rsidRDefault="00DE4823" w:rsidP="00DE4823">
      <w:pPr>
        <w:jc w:val="both"/>
        <w:rPr>
          <w:lang w:val="en-US"/>
        </w:rPr>
      </w:pPr>
    </w:p>
    <w:p w:rsidR="00DE4823" w:rsidRPr="00DE4823" w:rsidRDefault="00DE4823" w:rsidP="00DE4823">
      <w:pPr>
        <w:jc w:val="both"/>
        <w:rPr>
          <w:lang w:val="en-US"/>
        </w:rPr>
      </w:pPr>
    </w:p>
    <w:p w:rsidR="00DE4823" w:rsidRPr="00DE4823" w:rsidRDefault="00DE4823" w:rsidP="00DE4823">
      <w:pPr>
        <w:jc w:val="both"/>
        <w:rPr>
          <w:lang w:val="en-US"/>
        </w:rPr>
      </w:pPr>
    </w:p>
    <w:p w:rsidR="00DE4823" w:rsidRPr="00DE4823" w:rsidRDefault="00DE4823" w:rsidP="00DE4823">
      <w:pPr>
        <w:jc w:val="both"/>
        <w:rPr>
          <w:lang w:val="en-US"/>
        </w:rPr>
      </w:pPr>
    </w:p>
    <w:p w:rsidR="00DE4823" w:rsidRPr="00DE4823" w:rsidRDefault="00DE4823" w:rsidP="00DE4823">
      <w:pPr>
        <w:jc w:val="both"/>
        <w:rPr>
          <w:lang w:val="en-US"/>
        </w:rPr>
      </w:pPr>
    </w:p>
    <w:p w:rsidR="00DE4823" w:rsidRPr="00DE4823" w:rsidRDefault="00DE4823" w:rsidP="00DE4823">
      <w:pPr>
        <w:jc w:val="both"/>
        <w:rPr>
          <w:lang w:val="en-US"/>
        </w:rPr>
      </w:pPr>
    </w:p>
    <w:p w:rsidR="00DE4823" w:rsidRPr="00DE4823" w:rsidRDefault="00DE4823" w:rsidP="00DE4823">
      <w:pPr>
        <w:jc w:val="both"/>
        <w:rPr>
          <w:b/>
          <w:lang w:val="en-US"/>
        </w:rPr>
      </w:pPr>
      <w:r w:rsidRPr="00DE4823">
        <w:rPr>
          <w:lang w:val="en-US"/>
        </w:rPr>
        <w:t xml:space="preserve">According to the impulse response functions, an unexpected change of SMCR has an impact on interest rate during 16 periods and afterwards the effects disappear. And also an unexpected change of interest rate has an impact on SMCR during 17 periods. These results support the long term relationship between the two determinants. </w:t>
      </w:r>
    </w:p>
    <w:p w:rsidR="00DE4823" w:rsidRPr="00DE4823" w:rsidRDefault="00DE4823" w:rsidP="00DE4823">
      <w:pPr>
        <w:rPr>
          <w:b/>
          <w:lang w:val="en-US"/>
        </w:rPr>
      </w:pPr>
    </w:p>
    <w:p w:rsidR="00DE4823" w:rsidRPr="00DE4823" w:rsidRDefault="00DE4823" w:rsidP="00DE4823">
      <w:pPr>
        <w:rPr>
          <w:b/>
          <w:lang w:val="en-US"/>
        </w:rPr>
      </w:pPr>
      <w:r w:rsidRPr="00DE4823">
        <w:rPr>
          <w:b/>
          <w:lang w:val="en-US"/>
        </w:rPr>
        <w:t>4.2.5. Variance Decomposition</w:t>
      </w:r>
    </w:p>
    <w:p w:rsidR="00DE4823" w:rsidRPr="00DE4823" w:rsidRDefault="00DE4823" w:rsidP="00DE4823">
      <w:pPr>
        <w:rPr>
          <w:b/>
          <w:lang w:val="en-US"/>
        </w:rPr>
      </w:pPr>
    </w:p>
    <w:p w:rsidR="00DE4823" w:rsidRDefault="00DE4823" w:rsidP="00DE4823">
      <w:pPr>
        <w:jc w:val="both"/>
        <w:rPr>
          <w:lang w:val="en-US"/>
        </w:rPr>
      </w:pPr>
      <w:r w:rsidRPr="00DE4823">
        <w:rPr>
          <w:lang w:val="en-US"/>
        </w:rPr>
        <w:t xml:space="preserve">Variance decomposition indicates the amount of information each variable contributes to the other variables in a vector </w:t>
      </w:r>
      <w:proofErr w:type="spellStart"/>
      <w:r w:rsidRPr="00DE4823">
        <w:rPr>
          <w:lang w:val="en-US"/>
        </w:rPr>
        <w:t>autoregression</w:t>
      </w:r>
      <w:proofErr w:type="spellEnd"/>
      <w:r w:rsidRPr="00DE4823">
        <w:rPr>
          <w:lang w:val="en-US"/>
        </w:rPr>
        <w:t xml:space="preserve"> (VAR) model (</w:t>
      </w:r>
      <w:proofErr w:type="spellStart"/>
      <w:r w:rsidRPr="00DE4823">
        <w:rPr>
          <w:lang w:val="en-US"/>
        </w:rPr>
        <w:t>Lütkepohl</w:t>
      </w:r>
      <w:proofErr w:type="spellEnd"/>
      <w:r w:rsidRPr="00DE4823">
        <w:rPr>
          <w:lang w:val="en-US"/>
        </w:rPr>
        <w:t>, 2007). In other words, variance decomposition determines how much of the forecast error variance of each variable can be explained by exogenous shocks to the other variables. Accordingly, the results of the variance decomposition of our variables are as given in Table 6 and Table 7.</w:t>
      </w:r>
    </w:p>
    <w:p w:rsidR="00DE4823" w:rsidRDefault="00DE4823" w:rsidP="00DE4823">
      <w:pPr>
        <w:jc w:val="both"/>
        <w:rPr>
          <w:lang w:val="en-US"/>
        </w:rPr>
      </w:pPr>
    </w:p>
    <w:p w:rsidR="00DE4823" w:rsidRPr="00DE4823" w:rsidRDefault="00DE4823" w:rsidP="00DE4823">
      <w:pPr>
        <w:jc w:val="both"/>
        <w:rPr>
          <w:lang w:val="en-US"/>
        </w:rPr>
      </w:pPr>
    </w:p>
    <w:p w:rsidR="00DE4823" w:rsidRPr="00DE4823" w:rsidRDefault="00DE4823" w:rsidP="00DE4823">
      <w:pPr>
        <w:jc w:val="both"/>
        <w:rPr>
          <w:b/>
          <w:highlight w:val="yellow"/>
          <w:lang w:val="en-US"/>
        </w:rPr>
      </w:pPr>
    </w:p>
    <w:p w:rsidR="00DE4823" w:rsidRPr="00DE4823" w:rsidRDefault="00DE4823" w:rsidP="00DE4823">
      <w:pPr>
        <w:jc w:val="center"/>
        <w:rPr>
          <w:b/>
          <w:highlight w:val="yellow"/>
          <w:lang w:val="en-US"/>
        </w:rPr>
      </w:pPr>
      <w:r w:rsidRPr="00DE4823">
        <w:rPr>
          <w:b/>
          <w:lang w:val="en-US"/>
        </w:rPr>
        <w:lastRenderedPageBreak/>
        <w:t>Table 6:</w:t>
      </w:r>
      <w:r w:rsidRPr="00DE4823">
        <w:rPr>
          <w:lang w:val="en-US"/>
        </w:rPr>
        <w:t xml:space="preserve"> Variance Decompositions of SMCR</w:t>
      </w:r>
    </w:p>
    <w:p w:rsidR="00DE4823" w:rsidRPr="00DE4823" w:rsidRDefault="00DE4823" w:rsidP="00DE4823">
      <w:pPr>
        <w:jc w:val="both"/>
        <w:rPr>
          <w:b/>
          <w:highlight w:val="yellow"/>
          <w:lang w:val="en-US"/>
        </w:rPr>
      </w:pPr>
    </w:p>
    <w:tbl>
      <w:tblPr>
        <w:tblW w:w="361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7"/>
        <w:gridCol w:w="1391"/>
        <w:gridCol w:w="1163"/>
      </w:tblGrid>
      <w:tr w:rsidR="00DE4823" w:rsidRPr="00DE4823" w:rsidTr="00766E8D">
        <w:trPr>
          <w:trHeight w:val="540"/>
          <w:tblCellSpacing w:w="0" w:type="dxa"/>
          <w:jc w:val="center"/>
        </w:trPr>
        <w:tc>
          <w:tcPr>
            <w:tcW w:w="1057" w:type="dxa"/>
          </w:tcPr>
          <w:p w:rsidR="00DE4823" w:rsidRPr="00DE4823" w:rsidRDefault="00DE4823" w:rsidP="00766E8D">
            <w:pPr>
              <w:jc w:val="center"/>
              <w:rPr>
                <w:lang w:val="en-US"/>
              </w:rPr>
            </w:pPr>
            <w:r w:rsidRPr="00DE4823">
              <w:rPr>
                <w:b/>
                <w:bCs/>
                <w:lang w:val="en-US"/>
              </w:rPr>
              <w:t>Period</w:t>
            </w:r>
          </w:p>
        </w:tc>
        <w:tc>
          <w:tcPr>
            <w:tcW w:w="1391" w:type="dxa"/>
          </w:tcPr>
          <w:p w:rsidR="00DE4823" w:rsidRPr="00DE4823" w:rsidRDefault="00DE4823" w:rsidP="00766E8D">
            <w:pPr>
              <w:jc w:val="center"/>
              <w:rPr>
                <w:lang w:val="en-US"/>
              </w:rPr>
            </w:pPr>
            <w:r w:rsidRPr="00DE4823">
              <w:rPr>
                <w:b/>
                <w:bCs/>
                <w:lang w:val="en-US"/>
              </w:rPr>
              <w:t>DMCR</w:t>
            </w:r>
          </w:p>
        </w:tc>
        <w:tc>
          <w:tcPr>
            <w:tcW w:w="1163" w:type="dxa"/>
          </w:tcPr>
          <w:p w:rsidR="00DE4823" w:rsidRPr="00DE4823" w:rsidRDefault="00DE4823" w:rsidP="00766E8D">
            <w:pPr>
              <w:jc w:val="center"/>
              <w:rPr>
                <w:lang w:val="en-US"/>
              </w:rPr>
            </w:pPr>
            <w:r w:rsidRPr="00DE4823">
              <w:rPr>
                <w:b/>
                <w:bCs/>
                <w:lang w:val="en-US"/>
              </w:rPr>
              <w:t>DINTR</w:t>
            </w:r>
          </w:p>
        </w:tc>
      </w:tr>
      <w:tr w:rsidR="00DE4823" w:rsidRPr="00DE4823" w:rsidTr="00766E8D">
        <w:trPr>
          <w:trHeight w:val="540"/>
          <w:tblCellSpacing w:w="0" w:type="dxa"/>
          <w:jc w:val="center"/>
        </w:trPr>
        <w:tc>
          <w:tcPr>
            <w:tcW w:w="1057" w:type="dxa"/>
            <w:vAlign w:val="bottom"/>
          </w:tcPr>
          <w:p w:rsidR="00DE4823" w:rsidRPr="00DE4823" w:rsidRDefault="00DE4823" w:rsidP="00766E8D">
            <w:pPr>
              <w:spacing w:line="360" w:lineRule="auto"/>
              <w:jc w:val="center"/>
              <w:rPr>
                <w:lang w:val="en-US"/>
              </w:rPr>
            </w:pPr>
            <w:r w:rsidRPr="00DE4823">
              <w:rPr>
                <w:lang w:val="en-US"/>
              </w:rPr>
              <w:t>1</w:t>
            </w:r>
          </w:p>
        </w:tc>
        <w:tc>
          <w:tcPr>
            <w:tcW w:w="1391" w:type="dxa"/>
            <w:vAlign w:val="bottom"/>
          </w:tcPr>
          <w:p w:rsidR="00DE4823" w:rsidRPr="00DE4823" w:rsidRDefault="00DE4823" w:rsidP="00766E8D">
            <w:pPr>
              <w:spacing w:line="360" w:lineRule="auto"/>
              <w:jc w:val="center"/>
              <w:rPr>
                <w:lang w:val="en-US"/>
              </w:rPr>
            </w:pPr>
            <w:r w:rsidRPr="00DE4823">
              <w:rPr>
                <w:lang w:val="en-US"/>
              </w:rPr>
              <w:t>100</w:t>
            </w:r>
          </w:p>
        </w:tc>
        <w:tc>
          <w:tcPr>
            <w:tcW w:w="1163" w:type="dxa"/>
            <w:vAlign w:val="bottom"/>
          </w:tcPr>
          <w:p w:rsidR="00DE4823" w:rsidRPr="00DE4823" w:rsidRDefault="00DE4823" w:rsidP="00766E8D">
            <w:pPr>
              <w:spacing w:line="360" w:lineRule="auto"/>
              <w:jc w:val="center"/>
              <w:rPr>
                <w:lang w:val="en-US"/>
              </w:rPr>
            </w:pPr>
            <w:r w:rsidRPr="00DE4823">
              <w:rPr>
                <w:lang w:val="en-US"/>
              </w:rPr>
              <w:t>0</w:t>
            </w:r>
          </w:p>
        </w:tc>
      </w:tr>
      <w:tr w:rsidR="00DE4823" w:rsidRPr="00DE4823" w:rsidTr="00766E8D">
        <w:trPr>
          <w:trHeight w:val="540"/>
          <w:tblCellSpacing w:w="0" w:type="dxa"/>
          <w:jc w:val="center"/>
        </w:trPr>
        <w:tc>
          <w:tcPr>
            <w:tcW w:w="1057" w:type="dxa"/>
            <w:vAlign w:val="bottom"/>
          </w:tcPr>
          <w:p w:rsidR="00DE4823" w:rsidRPr="00DE4823" w:rsidRDefault="00DE4823" w:rsidP="00766E8D">
            <w:pPr>
              <w:spacing w:line="360" w:lineRule="auto"/>
              <w:jc w:val="center"/>
              <w:rPr>
                <w:lang w:val="en-US"/>
              </w:rPr>
            </w:pPr>
            <w:r w:rsidRPr="00DE4823">
              <w:rPr>
                <w:rFonts w:eastAsia="Times"/>
                <w:lang w:val="en-US"/>
              </w:rPr>
              <w:t> 6</w:t>
            </w:r>
          </w:p>
        </w:tc>
        <w:tc>
          <w:tcPr>
            <w:tcW w:w="1391" w:type="dxa"/>
            <w:vAlign w:val="bottom"/>
          </w:tcPr>
          <w:p w:rsidR="00DE4823" w:rsidRPr="00DE4823" w:rsidRDefault="00DE4823" w:rsidP="00766E8D">
            <w:pPr>
              <w:spacing w:line="360" w:lineRule="auto"/>
              <w:jc w:val="center"/>
              <w:rPr>
                <w:lang w:val="en-US"/>
              </w:rPr>
            </w:pPr>
            <w:r w:rsidRPr="00DE4823">
              <w:rPr>
                <w:lang w:val="en-US"/>
              </w:rPr>
              <w:t>97.36711</w:t>
            </w:r>
          </w:p>
        </w:tc>
        <w:tc>
          <w:tcPr>
            <w:tcW w:w="1163" w:type="dxa"/>
            <w:vAlign w:val="bottom"/>
          </w:tcPr>
          <w:p w:rsidR="00DE4823" w:rsidRPr="00DE4823" w:rsidRDefault="00DE4823" w:rsidP="00766E8D">
            <w:pPr>
              <w:spacing w:line="360" w:lineRule="auto"/>
              <w:jc w:val="center"/>
              <w:rPr>
                <w:lang w:val="en-US"/>
              </w:rPr>
            </w:pPr>
            <w:r w:rsidRPr="00DE4823">
              <w:rPr>
                <w:lang w:val="en-US"/>
              </w:rPr>
              <w:t>2.632890</w:t>
            </w:r>
          </w:p>
        </w:tc>
      </w:tr>
      <w:tr w:rsidR="00DE4823" w:rsidRPr="00DE4823" w:rsidTr="00766E8D">
        <w:trPr>
          <w:trHeight w:val="540"/>
          <w:tblCellSpacing w:w="0" w:type="dxa"/>
          <w:jc w:val="center"/>
        </w:trPr>
        <w:tc>
          <w:tcPr>
            <w:tcW w:w="1057" w:type="dxa"/>
            <w:vAlign w:val="bottom"/>
          </w:tcPr>
          <w:p w:rsidR="00DE4823" w:rsidRPr="00DE4823" w:rsidRDefault="00DE4823" w:rsidP="00766E8D">
            <w:pPr>
              <w:spacing w:line="360" w:lineRule="auto"/>
              <w:jc w:val="center"/>
              <w:rPr>
                <w:rFonts w:eastAsia="Times"/>
                <w:lang w:val="en-US"/>
              </w:rPr>
            </w:pPr>
            <w:r w:rsidRPr="00DE4823">
              <w:rPr>
                <w:rFonts w:eastAsia="Times"/>
                <w:lang w:val="en-US"/>
              </w:rPr>
              <w:t>12</w:t>
            </w:r>
          </w:p>
        </w:tc>
        <w:tc>
          <w:tcPr>
            <w:tcW w:w="1391" w:type="dxa"/>
            <w:vAlign w:val="bottom"/>
          </w:tcPr>
          <w:p w:rsidR="00DE4823" w:rsidRPr="00DE4823" w:rsidRDefault="00DE4823" w:rsidP="00766E8D">
            <w:pPr>
              <w:spacing w:line="360" w:lineRule="auto"/>
              <w:jc w:val="center"/>
              <w:rPr>
                <w:rFonts w:eastAsia="Times"/>
                <w:lang w:val="en-US"/>
              </w:rPr>
            </w:pPr>
            <w:r w:rsidRPr="00DE4823">
              <w:rPr>
                <w:rFonts w:eastAsia="Times"/>
                <w:lang w:val="en-US"/>
              </w:rPr>
              <w:t>97.87258</w:t>
            </w:r>
          </w:p>
        </w:tc>
        <w:tc>
          <w:tcPr>
            <w:tcW w:w="1163" w:type="dxa"/>
            <w:vAlign w:val="bottom"/>
          </w:tcPr>
          <w:p w:rsidR="00DE4823" w:rsidRPr="00DE4823" w:rsidRDefault="00DE4823" w:rsidP="00766E8D">
            <w:pPr>
              <w:spacing w:line="360" w:lineRule="auto"/>
              <w:jc w:val="center"/>
              <w:rPr>
                <w:lang w:val="en-US"/>
              </w:rPr>
            </w:pPr>
            <w:r w:rsidRPr="00DE4823">
              <w:rPr>
                <w:lang w:val="en-US"/>
              </w:rPr>
              <w:t>2.127417</w:t>
            </w:r>
          </w:p>
        </w:tc>
      </w:tr>
    </w:tbl>
    <w:p w:rsidR="00DE4823" w:rsidRPr="00DE4823" w:rsidRDefault="00DE4823" w:rsidP="00DE4823">
      <w:pPr>
        <w:jc w:val="both"/>
        <w:rPr>
          <w:b/>
          <w:highlight w:val="yellow"/>
          <w:lang w:val="en-US"/>
        </w:rPr>
      </w:pPr>
    </w:p>
    <w:p w:rsidR="00DE4823" w:rsidRPr="00DE4823" w:rsidRDefault="00DE4823" w:rsidP="00DE4823">
      <w:pPr>
        <w:autoSpaceDE w:val="0"/>
        <w:autoSpaceDN w:val="0"/>
        <w:adjustRightInd w:val="0"/>
        <w:jc w:val="both"/>
        <w:rPr>
          <w:lang w:val="en-US"/>
        </w:rPr>
      </w:pPr>
      <w:r w:rsidRPr="00DE4823">
        <w:rPr>
          <w:lang w:val="en-US"/>
        </w:rPr>
        <w:t xml:space="preserve">Variance decomposition of SMCR is shown in table 6. As a result of the variance decomposition tests, 100 % of the forecasting error variance of SMCR is explained by itself in short term. In midterm 2.633 % forecasting error of the SMCR can be explained by interest rate, 97.367 % is explained by </w:t>
      </w:r>
      <w:proofErr w:type="gramStart"/>
      <w:r w:rsidRPr="00DE4823">
        <w:rPr>
          <w:lang w:val="en-US"/>
        </w:rPr>
        <w:t>itself</w:t>
      </w:r>
      <w:proofErr w:type="gramEnd"/>
      <w:r w:rsidRPr="00DE4823">
        <w:rPr>
          <w:lang w:val="en-US"/>
        </w:rPr>
        <w:t xml:space="preserve"> and in the long term 2.127 of SMCR can be explained by interest rate and 97.872 % is explained itself. </w:t>
      </w:r>
    </w:p>
    <w:p w:rsidR="00DE4823" w:rsidRPr="00DE4823" w:rsidRDefault="00DE4823" w:rsidP="00DE4823">
      <w:pPr>
        <w:autoSpaceDE w:val="0"/>
        <w:autoSpaceDN w:val="0"/>
        <w:adjustRightInd w:val="0"/>
        <w:rPr>
          <w:b/>
          <w:highlight w:val="yellow"/>
          <w:lang w:val="en-US"/>
        </w:rPr>
      </w:pPr>
    </w:p>
    <w:p w:rsidR="00DE4823" w:rsidRPr="00DE4823" w:rsidRDefault="00DE4823" w:rsidP="00DE4823">
      <w:pPr>
        <w:jc w:val="center"/>
        <w:rPr>
          <w:b/>
          <w:highlight w:val="yellow"/>
          <w:lang w:val="en-US"/>
        </w:rPr>
      </w:pPr>
      <w:r w:rsidRPr="00DE4823">
        <w:rPr>
          <w:b/>
          <w:lang w:val="en-US"/>
        </w:rPr>
        <w:t>Table 7:</w:t>
      </w:r>
      <w:r w:rsidRPr="00DE4823">
        <w:rPr>
          <w:lang w:val="en-US"/>
        </w:rPr>
        <w:t xml:space="preserve"> Variance Decompositions of Interest Rate</w:t>
      </w:r>
    </w:p>
    <w:p w:rsidR="00DE4823" w:rsidRPr="00DE4823" w:rsidRDefault="00DE4823" w:rsidP="00DE4823">
      <w:pPr>
        <w:jc w:val="both"/>
        <w:rPr>
          <w:b/>
          <w:highlight w:val="yellow"/>
          <w:lang w:val="en-US"/>
        </w:rPr>
      </w:pPr>
    </w:p>
    <w:tbl>
      <w:tblPr>
        <w:tblW w:w="361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7"/>
        <w:gridCol w:w="1391"/>
        <w:gridCol w:w="1163"/>
      </w:tblGrid>
      <w:tr w:rsidR="00DE4823" w:rsidRPr="00DE4823" w:rsidTr="00766E8D">
        <w:trPr>
          <w:trHeight w:val="540"/>
          <w:tblCellSpacing w:w="0" w:type="dxa"/>
          <w:jc w:val="center"/>
        </w:trPr>
        <w:tc>
          <w:tcPr>
            <w:tcW w:w="1057" w:type="dxa"/>
          </w:tcPr>
          <w:p w:rsidR="00DE4823" w:rsidRPr="00DE4823" w:rsidRDefault="00DE4823" w:rsidP="00766E8D">
            <w:pPr>
              <w:jc w:val="center"/>
              <w:rPr>
                <w:lang w:val="en-US"/>
              </w:rPr>
            </w:pPr>
            <w:r w:rsidRPr="00DE4823">
              <w:rPr>
                <w:b/>
                <w:bCs/>
                <w:lang w:val="en-US"/>
              </w:rPr>
              <w:t>Period</w:t>
            </w:r>
          </w:p>
        </w:tc>
        <w:tc>
          <w:tcPr>
            <w:tcW w:w="1391" w:type="dxa"/>
          </w:tcPr>
          <w:p w:rsidR="00DE4823" w:rsidRPr="00DE4823" w:rsidRDefault="00DE4823" w:rsidP="00766E8D">
            <w:pPr>
              <w:jc w:val="center"/>
              <w:rPr>
                <w:lang w:val="en-US"/>
              </w:rPr>
            </w:pPr>
            <w:r w:rsidRPr="00DE4823">
              <w:rPr>
                <w:b/>
                <w:bCs/>
                <w:lang w:val="en-US"/>
              </w:rPr>
              <w:t>DMCR</w:t>
            </w:r>
          </w:p>
        </w:tc>
        <w:tc>
          <w:tcPr>
            <w:tcW w:w="1163" w:type="dxa"/>
          </w:tcPr>
          <w:p w:rsidR="00DE4823" w:rsidRPr="00DE4823" w:rsidRDefault="00DE4823" w:rsidP="00766E8D">
            <w:pPr>
              <w:jc w:val="center"/>
              <w:rPr>
                <w:lang w:val="en-US"/>
              </w:rPr>
            </w:pPr>
            <w:r w:rsidRPr="00DE4823">
              <w:rPr>
                <w:b/>
                <w:bCs/>
                <w:lang w:val="en-US"/>
              </w:rPr>
              <w:t>DINTR</w:t>
            </w:r>
          </w:p>
        </w:tc>
      </w:tr>
      <w:tr w:rsidR="00DE4823" w:rsidRPr="00DE4823" w:rsidTr="00766E8D">
        <w:trPr>
          <w:trHeight w:val="540"/>
          <w:tblCellSpacing w:w="0" w:type="dxa"/>
          <w:jc w:val="center"/>
        </w:trPr>
        <w:tc>
          <w:tcPr>
            <w:tcW w:w="1057" w:type="dxa"/>
            <w:vAlign w:val="bottom"/>
          </w:tcPr>
          <w:p w:rsidR="00DE4823" w:rsidRPr="00DE4823" w:rsidRDefault="00DE4823" w:rsidP="00766E8D">
            <w:pPr>
              <w:spacing w:line="360" w:lineRule="auto"/>
              <w:jc w:val="center"/>
              <w:rPr>
                <w:lang w:val="en-US"/>
              </w:rPr>
            </w:pPr>
            <w:r w:rsidRPr="00DE4823">
              <w:rPr>
                <w:lang w:val="en-US"/>
              </w:rPr>
              <w:t>1</w:t>
            </w:r>
          </w:p>
        </w:tc>
        <w:tc>
          <w:tcPr>
            <w:tcW w:w="1391" w:type="dxa"/>
            <w:vAlign w:val="bottom"/>
          </w:tcPr>
          <w:p w:rsidR="00DE4823" w:rsidRPr="00DE4823" w:rsidRDefault="00DE4823" w:rsidP="00766E8D">
            <w:pPr>
              <w:spacing w:line="360" w:lineRule="auto"/>
              <w:jc w:val="center"/>
              <w:rPr>
                <w:lang w:val="en-US"/>
              </w:rPr>
            </w:pPr>
            <w:r w:rsidRPr="00DE4823">
              <w:rPr>
                <w:lang w:val="en-US"/>
              </w:rPr>
              <w:t>3.452237</w:t>
            </w:r>
          </w:p>
        </w:tc>
        <w:tc>
          <w:tcPr>
            <w:tcW w:w="1163" w:type="dxa"/>
            <w:vAlign w:val="bottom"/>
          </w:tcPr>
          <w:p w:rsidR="00DE4823" w:rsidRPr="00DE4823" w:rsidRDefault="00DE4823" w:rsidP="00766E8D">
            <w:pPr>
              <w:spacing w:line="360" w:lineRule="auto"/>
              <w:jc w:val="center"/>
              <w:rPr>
                <w:lang w:val="en-US"/>
              </w:rPr>
            </w:pPr>
            <w:r w:rsidRPr="00DE4823">
              <w:rPr>
                <w:lang w:val="en-US"/>
              </w:rPr>
              <w:t>96.54776</w:t>
            </w:r>
          </w:p>
        </w:tc>
      </w:tr>
      <w:tr w:rsidR="00DE4823" w:rsidRPr="00DE4823" w:rsidTr="00766E8D">
        <w:trPr>
          <w:trHeight w:val="540"/>
          <w:tblCellSpacing w:w="0" w:type="dxa"/>
          <w:jc w:val="center"/>
        </w:trPr>
        <w:tc>
          <w:tcPr>
            <w:tcW w:w="1057" w:type="dxa"/>
            <w:vAlign w:val="bottom"/>
          </w:tcPr>
          <w:p w:rsidR="00DE4823" w:rsidRPr="00DE4823" w:rsidRDefault="00DE4823" w:rsidP="00766E8D">
            <w:pPr>
              <w:spacing w:line="360" w:lineRule="auto"/>
              <w:jc w:val="center"/>
              <w:rPr>
                <w:lang w:val="en-US"/>
              </w:rPr>
            </w:pPr>
            <w:r w:rsidRPr="00DE4823">
              <w:rPr>
                <w:rFonts w:eastAsia="Times"/>
                <w:lang w:val="en-US"/>
              </w:rPr>
              <w:t> 6</w:t>
            </w:r>
          </w:p>
        </w:tc>
        <w:tc>
          <w:tcPr>
            <w:tcW w:w="1391" w:type="dxa"/>
            <w:vAlign w:val="bottom"/>
          </w:tcPr>
          <w:p w:rsidR="00DE4823" w:rsidRPr="00DE4823" w:rsidRDefault="00DE4823" w:rsidP="00766E8D">
            <w:pPr>
              <w:spacing w:line="360" w:lineRule="auto"/>
              <w:jc w:val="center"/>
              <w:rPr>
                <w:lang w:val="en-US"/>
              </w:rPr>
            </w:pPr>
            <w:r w:rsidRPr="00DE4823">
              <w:rPr>
                <w:lang w:val="en-US"/>
              </w:rPr>
              <w:t>7.815995</w:t>
            </w:r>
          </w:p>
        </w:tc>
        <w:tc>
          <w:tcPr>
            <w:tcW w:w="1163" w:type="dxa"/>
            <w:vAlign w:val="bottom"/>
          </w:tcPr>
          <w:p w:rsidR="00DE4823" w:rsidRPr="00DE4823" w:rsidRDefault="00DE4823" w:rsidP="00766E8D">
            <w:pPr>
              <w:spacing w:line="360" w:lineRule="auto"/>
              <w:jc w:val="center"/>
              <w:rPr>
                <w:lang w:val="en-US"/>
              </w:rPr>
            </w:pPr>
            <w:r w:rsidRPr="00DE4823">
              <w:rPr>
                <w:lang w:val="en-US"/>
              </w:rPr>
              <w:t>92.18401</w:t>
            </w:r>
          </w:p>
        </w:tc>
      </w:tr>
      <w:tr w:rsidR="00DE4823" w:rsidRPr="00DE4823" w:rsidTr="00766E8D">
        <w:trPr>
          <w:trHeight w:val="540"/>
          <w:tblCellSpacing w:w="0" w:type="dxa"/>
          <w:jc w:val="center"/>
        </w:trPr>
        <w:tc>
          <w:tcPr>
            <w:tcW w:w="1057" w:type="dxa"/>
            <w:vAlign w:val="bottom"/>
          </w:tcPr>
          <w:p w:rsidR="00DE4823" w:rsidRPr="00DE4823" w:rsidRDefault="00DE4823" w:rsidP="00766E8D">
            <w:pPr>
              <w:spacing w:line="360" w:lineRule="auto"/>
              <w:jc w:val="center"/>
              <w:rPr>
                <w:rFonts w:eastAsia="Times"/>
                <w:lang w:val="en-US"/>
              </w:rPr>
            </w:pPr>
            <w:r w:rsidRPr="00DE4823">
              <w:rPr>
                <w:rFonts w:eastAsia="Times"/>
                <w:lang w:val="en-US"/>
              </w:rPr>
              <w:t>12</w:t>
            </w:r>
          </w:p>
        </w:tc>
        <w:tc>
          <w:tcPr>
            <w:tcW w:w="1391" w:type="dxa"/>
            <w:vAlign w:val="bottom"/>
          </w:tcPr>
          <w:p w:rsidR="00DE4823" w:rsidRPr="00DE4823" w:rsidRDefault="00DE4823" w:rsidP="00766E8D">
            <w:pPr>
              <w:spacing w:line="360" w:lineRule="auto"/>
              <w:jc w:val="center"/>
              <w:rPr>
                <w:rFonts w:eastAsia="Times"/>
                <w:lang w:val="en-US"/>
              </w:rPr>
            </w:pPr>
            <w:r w:rsidRPr="00DE4823">
              <w:rPr>
                <w:rFonts w:eastAsia="Times"/>
                <w:lang w:val="en-US"/>
              </w:rPr>
              <w:t>9.433681</w:t>
            </w:r>
          </w:p>
        </w:tc>
        <w:tc>
          <w:tcPr>
            <w:tcW w:w="1163" w:type="dxa"/>
            <w:vAlign w:val="bottom"/>
          </w:tcPr>
          <w:p w:rsidR="00DE4823" w:rsidRPr="00DE4823" w:rsidRDefault="00DE4823" w:rsidP="00766E8D">
            <w:pPr>
              <w:spacing w:line="360" w:lineRule="auto"/>
              <w:jc w:val="center"/>
              <w:rPr>
                <w:lang w:val="en-US"/>
              </w:rPr>
            </w:pPr>
            <w:r w:rsidRPr="00DE4823">
              <w:rPr>
                <w:lang w:val="en-US"/>
              </w:rPr>
              <w:t>90.56632</w:t>
            </w:r>
          </w:p>
        </w:tc>
      </w:tr>
    </w:tbl>
    <w:p w:rsidR="00DE4823" w:rsidRPr="00DE4823" w:rsidRDefault="00DE4823" w:rsidP="00DE4823">
      <w:pPr>
        <w:jc w:val="both"/>
        <w:rPr>
          <w:b/>
          <w:highlight w:val="yellow"/>
          <w:lang w:val="en-US"/>
        </w:rPr>
      </w:pPr>
    </w:p>
    <w:p w:rsidR="00DE4823" w:rsidRDefault="00DE4823" w:rsidP="00DE4823">
      <w:pPr>
        <w:autoSpaceDE w:val="0"/>
        <w:autoSpaceDN w:val="0"/>
        <w:adjustRightInd w:val="0"/>
        <w:jc w:val="both"/>
        <w:rPr>
          <w:lang w:val="en-US"/>
        </w:rPr>
      </w:pPr>
      <w:r w:rsidRPr="00DE4823">
        <w:rPr>
          <w:lang w:val="en-US"/>
        </w:rPr>
        <w:t xml:space="preserve">Variance decomposition of interest rate is shown in table 7. According to table </w:t>
      </w:r>
      <w:smartTag w:uri="urn:schemas-microsoft-com:office:smarttags" w:element="metricconverter">
        <w:smartTagPr>
          <w:attr w:name="ProductID" w:val="7, in"/>
        </w:smartTagPr>
        <w:r w:rsidRPr="00DE4823">
          <w:rPr>
            <w:lang w:val="en-US"/>
          </w:rPr>
          <w:t>7, in</w:t>
        </w:r>
      </w:smartTag>
      <w:r w:rsidRPr="00DE4823">
        <w:rPr>
          <w:lang w:val="en-US"/>
        </w:rPr>
        <w:t xml:space="preserve"> short term 3.452 % of the forecasting error variance of interest rate is explained by SMCR and 96.547 % of forecasting error variance is explained by itself. In midterm 7.815 % of forecasting error variance of interest rate is explained by SMCR and 92.184 is explained by itself. At the last, in the long term, 9.433 % of forecasting error variance of interest rate is explained by SMCR and 90.566 is explained by itself. </w:t>
      </w:r>
    </w:p>
    <w:p w:rsidR="00DE4823" w:rsidRPr="00DE4823" w:rsidRDefault="00DE4823" w:rsidP="00DE4823">
      <w:pPr>
        <w:autoSpaceDE w:val="0"/>
        <w:autoSpaceDN w:val="0"/>
        <w:adjustRightInd w:val="0"/>
        <w:jc w:val="both"/>
        <w:rPr>
          <w:lang w:val="en-US"/>
        </w:rPr>
      </w:pPr>
    </w:p>
    <w:p w:rsidR="00DE4823" w:rsidRPr="00DE4823" w:rsidRDefault="00DE4823" w:rsidP="00DE4823">
      <w:pPr>
        <w:autoSpaceDE w:val="0"/>
        <w:autoSpaceDN w:val="0"/>
        <w:adjustRightInd w:val="0"/>
        <w:jc w:val="both"/>
        <w:rPr>
          <w:lang w:val="en-US"/>
        </w:rPr>
      </w:pPr>
      <w:r w:rsidRPr="00DE4823">
        <w:rPr>
          <w:lang w:val="en-US"/>
        </w:rPr>
        <w:t xml:space="preserve">As a conclusion; results of the variance decompositions of SMCR show that there is no short term, midterm and long term significant relationship between SMCR and interest rate. But variance decomposition of interest rate result is consistent with the results of the </w:t>
      </w:r>
      <w:proofErr w:type="spellStart"/>
      <w:r w:rsidRPr="00DE4823">
        <w:rPr>
          <w:lang w:val="en-US"/>
        </w:rPr>
        <w:t>cointegration</w:t>
      </w:r>
      <w:proofErr w:type="spellEnd"/>
      <w:r w:rsidRPr="00DE4823">
        <w:rPr>
          <w:lang w:val="en-US"/>
        </w:rPr>
        <w:t xml:space="preserve"> analysis. If the time becomes longer, the relationships become more visible.</w:t>
      </w:r>
    </w:p>
    <w:p w:rsidR="00DE4823" w:rsidRPr="00DE4823" w:rsidRDefault="00DE4823" w:rsidP="00DE4823">
      <w:pPr>
        <w:jc w:val="both"/>
        <w:rPr>
          <w:highlight w:val="cyan"/>
          <w:lang w:val="en-US"/>
        </w:rPr>
      </w:pPr>
    </w:p>
    <w:p w:rsidR="00DE4823" w:rsidRPr="00DE4823" w:rsidRDefault="00DE4823" w:rsidP="00DE4823">
      <w:pPr>
        <w:rPr>
          <w:b/>
          <w:lang w:val="en-US"/>
        </w:rPr>
      </w:pPr>
      <w:r w:rsidRPr="00DE4823">
        <w:rPr>
          <w:b/>
          <w:bCs/>
          <w:lang w:val="en-US"/>
        </w:rPr>
        <w:t>5. Summary and Concluding Remarks</w:t>
      </w:r>
    </w:p>
    <w:p w:rsidR="00DE4823" w:rsidRPr="00DE4823" w:rsidRDefault="00DE4823" w:rsidP="00DE4823">
      <w:pPr>
        <w:rPr>
          <w:lang w:val="en-US"/>
        </w:rPr>
      </w:pPr>
    </w:p>
    <w:p w:rsidR="00DE4823" w:rsidRPr="00DE4823" w:rsidRDefault="00DE4823" w:rsidP="00DE4823">
      <w:pPr>
        <w:jc w:val="both"/>
        <w:rPr>
          <w:lang w:val="en-US"/>
        </w:rPr>
      </w:pPr>
      <w:r w:rsidRPr="00DE4823">
        <w:rPr>
          <w:lang w:val="en-US"/>
        </w:rPr>
        <w:t xml:space="preserve">This study examined the relationship of interest rates on the SMCR in ISE over the period 1998-2012 with VAR model. Time series of the data are found non-stationary so that the long term relationships between the two variables are tested with </w:t>
      </w:r>
      <w:proofErr w:type="spellStart"/>
      <w:r w:rsidRPr="00DE4823">
        <w:rPr>
          <w:lang w:val="en-US"/>
        </w:rPr>
        <w:t>cointegration</w:t>
      </w:r>
      <w:proofErr w:type="spellEnd"/>
      <w:r w:rsidRPr="00DE4823">
        <w:rPr>
          <w:lang w:val="en-US"/>
        </w:rPr>
        <w:t xml:space="preserve"> analysis. </w:t>
      </w:r>
    </w:p>
    <w:p w:rsidR="00DE4823" w:rsidRPr="00DE4823" w:rsidRDefault="00DE4823" w:rsidP="00DE4823">
      <w:pPr>
        <w:autoSpaceDE w:val="0"/>
        <w:autoSpaceDN w:val="0"/>
        <w:adjustRightInd w:val="0"/>
        <w:jc w:val="both"/>
        <w:rPr>
          <w:lang w:val="en-US"/>
        </w:rPr>
      </w:pPr>
      <w:r w:rsidRPr="00DE4823">
        <w:rPr>
          <w:lang w:val="en-US"/>
        </w:rPr>
        <w:t xml:space="preserve">According the results of the model, there is a long term relationship between the SMCR and interest rate but contrarily there is no granger causality relationship. The results showed that, crisis in the stock market are precluded with the control of interest rate in the long term. </w:t>
      </w:r>
    </w:p>
    <w:p w:rsidR="00DE4823" w:rsidRDefault="00DE4823" w:rsidP="00DE4823">
      <w:pPr>
        <w:jc w:val="both"/>
        <w:rPr>
          <w:lang w:val="en-US"/>
        </w:rPr>
      </w:pPr>
      <w:r w:rsidRPr="00DE4823">
        <w:rPr>
          <w:lang w:val="en-US"/>
        </w:rPr>
        <w:lastRenderedPageBreak/>
        <w:t>The findings of the Variance Decomposition tests indicate that 2.127 % of forecasting error variance of the SMCR can be explained by interest rate, 97.87 % is explained by itself; likewise 90.56 % of interest rate is determined by itself and 9.43 % is explained by the SMCR.</w:t>
      </w:r>
    </w:p>
    <w:p w:rsidR="00DE4823" w:rsidRPr="00DE4823" w:rsidRDefault="00DE4823" w:rsidP="00DE4823">
      <w:pPr>
        <w:jc w:val="both"/>
        <w:rPr>
          <w:lang w:val="en-US"/>
        </w:rPr>
      </w:pPr>
    </w:p>
    <w:p w:rsidR="00DE4823" w:rsidRPr="00DE4823" w:rsidRDefault="00DE4823" w:rsidP="00DE4823">
      <w:pPr>
        <w:jc w:val="both"/>
        <w:rPr>
          <w:lang w:val="en-US"/>
        </w:rPr>
      </w:pPr>
      <w:r w:rsidRPr="00DE4823">
        <w:rPr>
          <w:lang w:val="en-US"/>
        </w:rPr>
        <w:t xml:space="preserve">The </w:t>
      </w:r>
      <w:proofErr w:type="spellStart"/>
      <w:r w:rsidRPr="00DE4823">
        <w:rPr>
          <w:lang w:val="en-US"/>
        </w:rPr>
        <w:t>cointegration</w:t>
      </w:r>
      <w:proofErr w:type="spellEnd"/>
      <w:r w:rsidRPr="00DE4823">
        <w:rPr>
          <w:lang w:val="en-US"/>
        </w:rPr>
        <w:t xml:space="preserve"> relationship between the interest rates and SMCR is inconsistent with the inferences of the efficient market hypothesis. Mainly, stock market can be estimated under the efficient market hypothesis. If the economic policies implemented by the policy makers do not influence the stock market as planned, they have to revise these economy policies. If the policy makers try to cure the economic problems like high inflation or unemployment, they have to consider the extensive effects of these policies because adverse effects can be observed in stock markets. As a result, capital formation may decrease and economy may disrupt.</w:t>
      </w:r>
    </w:p>
    <w:p w:rsidR="00DE4823" w:rsidRPr="00DE4823" w:rsidRDefault="00DE4823" w:rsidP="00DE4823">
      <w:pPr>
        <w:jc w:val="both"/>
        <w:rPr>
          <w:lang w:val="en-US"/>
        </w:rPr>
      </w:pPr>
    </w:p>
    <w:p w:rsidR="00DE4823" w:rsidRPr="00DE4823" w:rsidRDefault="00DE4823" w:rsidP="00DE4823">
      <w:pPr>
        <w:jc w:val="center"/>
        <w:rPr>
          <w:b/>
          <w:lang w:val="en-US"/>
        </w:rPr>
      </w:pPr>
      <w:r w:rsidRPr="00DE4823">
        <w:rPr>
          <w:b/>
          <w:lang w:val="en-US"/>
        </w:rPr>
        <w:t>REFERENCES</w:t>
      </w:r>
    </w:p>
    <w:p w:rsidR="00DE4823" w:rsidRPr="00DE4823" w:rsidRDefault="00DE4823" w:rsidP="00DE4823">
      <w:pPr>
        <w:jc w:val="both"/>
        <w:rPr>
          <w:lang w:val="en-US"/>
        </w:rPr>
      </w:pPr>
    </w:p>
    <w:p w:rsidR="00DE4823" w:rsidRPr="00DE4823" w:rsidRDefault="00DE4823" w:rsidP="00DE4823">
      <w:pPr>
        <w:ind w:left="709" w:hanging="709"/>
        <w:jc w:val="both"/>
        <w:rPr>
          <w:lang w:val="en-US"/>
        </w:rPr>
      </w:pPr>
      <w:proofErr w:type="spellStart"/>
      <w:r w:rsidRPr="00DE4823">
        <w:rPr>
          <w:lang w:val="en-US"/>
        </w:rPr>
        <w:t>Arango</w:t>
      </w:r>
      <w:proofErr w:type="spellEnd"/>
      <w:r w:rsidRPr="00DE4823">
        <w:rPr>
          <w:lang w:val="en-US"/>
        </w:rPr>
        <w:t>, L., Gonzalez, A</w:t>
      </w:r>
      <w:proofErr w:type="gramStart"/>
      <w:r w:rsidRPr="00DE4823">
        <w:rPr>
          <w:lang w:val="en-US"/>
        </w:rPr>
        <w:t>.&amp;</w:t>
      </w:r>
      <w:proofErr w:type="gramEnd"/>
      <w:r w:rsidRPr="00DE4823">
        <w:rPr>
          <w:lang w:val="en-US"/>
        </w:rPr>
        <w:t xml:space="preserve"> Posada, C. (2002). Returns and interest rate: A nonlinear relationship in the Bogota stock market. </w:t>
      </w:r>
      <w:r w:rsidRPr="00DE4823">
        <w:rPr>
          <w:i/>
          <w:lang w:val="en-US"/>
        </w:rPr>
        <w:t>Applied Financial Economics</w:t>
      </w:r>
      <w:r w:rsidRPr="00DE4823">
        <w:rPr>
          <w:lang w:val="en-US"/>
        </w:rPr>
        <w:t>, 12(11), 835–842.</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proofErr w:type="gramStart"/>
      <w:r w:rsidRPr="00DE4823">
        <w:rPr>
          <w:lang w:val="en-US"/>
        </w:rPr>
        <w:t>Aydemir</w:t>
      </w:r>
      <w:proofErr w:type="spellEnd"/>
      <w:r w:rsidRPr="00DE4823">
        <w:rPr>
          <w:lang w:val="en-US"/>
        </w:rPr>
        <w:t xml:space="preserve">, O. &amp; </w:t>
      </w:r>
      <w:proofErr w:type="spellStart"/>
      <w:r w:rsidRPr="00DE4823">
        <w:rPr>
          <w:lang w:val="en-US"/>
        </w:rPr>
        <w:t>Demirhan</w:t>
      </w:r>
      <w:proofErr w:type="spellEnd"/>
      <w:r w:rsidRPr="00DE4823">
        <w:rPr>
          <w:lang w:val="en-US"/>
        </w:rPr>
        <w:t>, E., (2009).</w:t>
      </w:r>
      <w:proofErr w:type="gramEnd"/>
      <w:r w:rsidRPr="00DE4823">
        <w:rPr>
          <w:lang w:val="en-US"/>
        </w:rPr>
        <w:t xml:space="preserve"> </w:t>
      </w:r>
      <w:proofErr w:type="gramStart"/>
      <w:r w:rsidRPr="00DE4823">
        <w:rPr>
          <w:lang w:val="en-US"/>
        </w:rPr>
        <w:t>The relationship between stock Prices and exchange rates evidence from Turkey.</w:t>
      </w:r>
      <w:proofErr w:type="gramEnd"/>
      <w:r w:rsidRPr="00DE4823">
        <w:rPr>
          <w:lang w:val="en-US"/>
        </w:rPr>
        <w:t xml:space="preserve"> </w:t>
      </w:r>
      <w:r w:rsidRPr="00DE4823">
        <w:rPr>
          <w:i/>
          <w:lang w:val="en-US"/>
        </w:rPr>
        <w:t>International Research Journal of Finance and Economics,</w:t>
      </w:r>
      <w:r w:rsidRPr="00DE4823">
        <w:rPr>
          <w:lang w:val="en-US"/>
        </w:rPr>
        <w:t xml:space="preserve"> 23, 208-215.  </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r w:rsidRPr="00DE4823">
        <w:rPr>
          <w:lang w:val="en-US"/>
        </w:rPr>
        <w:t>Büyükşalvarcı</w:t>
      </w:r>
      <w:proofErr w:type="spellEnd"/>
      <w:r w:rsidRPr="00DE4823">
        <w:rPr>
          <w:lang w:val="en-US"/>
        </w:rPr>
        <w:t xml:space="preserve">, A. (2010).The effects of macroeconomics variables on stock returns: Evidence from Turkey. </w:t>
      </w:r>
      <w:proofErr w:type="gramStart"/>
      <w:r w:rsidRPr="00DE4823">
        <w:rPr>
          <w:i/>
          <w:iCs/>
          <w:lang w:val="en-US"/>
        </w:rPr>
        <w:t>European Journal on Social Science.</w:t>
      </w:r>
      <w:proofErr w:type="gramEnd"/>
      <w:r w:rsidRPr="00DE4823">
        <w:rPr>
          <w:lang w:val="en-US"/>
        </w:rPr>
        <w:t xml:space="preserve"> </w:t>
      </w:r>
      <w:r w:rsidRPr="00DE4823">
        <w:rPr>
          <w:iCs/>
          <w:lang w:val="en-US"/>
        </w:rPr>
        <w:t>14(3), 404–416.</w:t>
      </w:r>
      <w:r w:rsidRPr="00DE4823">
        <w:rPr>
          <w:lang w:val="en-US"/>
        </w:rPr>
        <w:t xml:space="preserve"> </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gramStart"/>
      <w:r w:rsidRPr="00DE4823">
        <w:rPr>
          <w:lang w:val="en-US"/>
        </w:rPr>
        <w:t xml:space="preserve">Engle, R.F. &amp; Granger, </w:t>
      </w:r>
      <w:proofErr w:type="spellStart"/>
      <w:r w:rsidRPr="00DE4823">
        <w:rPr>
          <w:lang w:val="en-US"/>
        </w:rPr>
        <w:t>Cwj</w:t>
      </w:r>
      <w:proofErr w:type="spellEnd"/>
      <w:r w:rsidRPr="00DE4823">
        <w:rPr>
          <w:lang w:val="en-US"/>
        </w:rPr>
        <w:t>. (1987).</w:t>
      </w:r>
      <w:proofErr w:type="gramEnd"/>
      <w:r w:rsidRPr="00DE4823">
        <w:rPr>
          <w:lang w:val="en-US"/>
        </w:rPr>
        <w:t xml:space="preserve"> </w:t>
      </w:r>
      <w:proofErr w:type="spellStart"/>
      <w:r w:rsidRPr="00DE4823">
        <w:rPr>
          <w:lang w:val="en-US"/>
        </w:rPr>
        <w:t>Cointegration</w:t>
      </w:r>
      <w:proofErr w:type="spellEnd"/>
      <w:r w:rsidRPr="00DE4823">
        <w:rPr>
          <w:lang w:val="en-US"/>
        </w:rPr>
        <w:t xml:space="preserve"> and error correction: Representation, estimation and testing. </w:t>
      </w:r>
      <w:proofErr w:type="spellStart"/>
      <w:r w:rsidRPr="00DE4823">
        <w:rPr>
          <w:i/>
          <w:iCs/>
          <w:lang w:val="en-US"/>
        </w:rPr>
        <w:t>Econometrica</w:t>
      </w:r>
      <w:proofErr w:type="spellEnd"/>
      <w:r w:rsidRPr="00DE4823">
        <w:rPr>
          <w:i/>
          <w:iCs/>
          <w:lang w:val="en-US"/>
        </w:rPr>
        <w:t xml:space="preserve">, </w:t>
      </w:r>
      <w:r w:rsidRPr="00DE4823">
        <w:rPr>
          <w:lang w:val="en-US"/>
        </w:rPr>
        <w:t>55, 251–276.</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r w:rsidRPr="00DE4823">
        <w:rPr>
          <w:lang w:val="en-US"/>
        </w:rPr>
        <w:t>Fama</w:t>
      </w:r>
      <w:proofErr w:type="spellEnd"/>
      <w:r w:rsidRPr="00DE4823">
        <w:rPr>
          <w:lang w:val="en-US"/>
        </w:rPr>
        <w:t>, E. F</w:t>
      </w:r>
      <w:proofErr w:type="gramStart"/>
      <w:r w:rsidRPr="00DE4823">
        <w:rPr>
          <w:lang w:val="en-US"/>
        </w:rPr>
        <w:t>.(</w:t>
      </w:r>
      <w:proofErr w:type="gramEnd"/>
      <w:r w:rsidRPr="00DE4823">
        <w:rPr>
          <w:lang w:val="en-US"/>
        </w:rPr>
        <w:t xml:space="preserve">1981). Stock Return, real activity, inflation, and money. </w:t>
      </w:r>
      <w:proofErr w:type="gramStart"/>
      <w:r w:rsidRPr="00DE4823">
        <w:rPr>
          <w:i/>
          <w:lang w:val="en-US"/>
        </w:rPr>
        <w:t>American Economic Review</w:t>
      </w:r>
      <w:r w:rsidRPr="00DE4823">
        <w:rPr>
          <w:lang w:val="en-US"/>
        </w:rPr>
        <w:t>, 71(4), 545–65.</w:t>
      </w:r>
      <w:proofErr w:type="gramEnd"/>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r w:rsidRPr="00DE4823">
        <w:rPr>
          <w:lang w:val="en-US"/>
        </w:rPr>
        <w:t xml:space="preserve">French KR., </w:t>
      </w:r>
      <w:proofErr w:type="spellStart"/>
      <w:r w:rsidRPr="00DE4823">
        <w:rPr>
          <w:lang w:val="en-US"/>
        </w:rPr>
        <w:t>Schwert</w:t>
      </w:r>
      <w:proofErr w:type="spellEnd"/>
      <w:r w:rsidRPr="00DE4823">
        <w:rPr>
          <w:lang w:val="en-US"/>
        </w:rPr>
        <w:t xml:space="preserve"> GW</w:t>
      </w:r>
      <w:proofErr w:type="gramStart"/>
      <w:r w:rsidRPr="00DE4823">
        <w:rPr>
          <w:lang w:val="en-US"/>
        </w:rPr>
        <w:t>.&amp;</w:t>
      </w:r>
      <w:proofErr w:type="gramEnd"/>
      <w:r w:rsidRPr="00DE4823">
        <w:rPr>
          <w:lang w:val="en-US"/>
        </w:rPr>
        <w:t xml:space="preserve"> </w:t>
      </w:r>
      <w:proofErr w:type="spellStart"/>
      <w:r w:rsidRPr="00DE4823">
        <w:rPr>
          <w:lang w:val="en-US"/>
        </w:rPr>
        <w:t>Stambaugh</w:t>
      </w:r>
      <w:proofErr w:type="spellEnd"/>
      <w:r w:rsidRPr="00DE4823">
        <w:rPr>
          <w:lang w:val="en-US"/>
        </w:rPr>
        <w:t xml:space="preserve"> RE (1987). Expected </w:t>
      </w:r>
      <w:proofErr w:type="gramStart"/>
      <w:r w:rsidRPr="00DE4823">
        <w:rPr>
          <w:lang w:val="en-US"/>
        </w:rPr>
        <w:t>stock  returns</w:t>
      </w:r>
      <w:proofErr w:type="gramEnd"/>
      <w:r w:rsidRPr="00DE4823">
        <w:rPr>
          <w:lang w:val="en-US"/>
        </w:rPr>
        <w:t xml:space="preserve"> and  volatility. </w:t>
      </w:r>
      <w:proofErr w:type="gramStart"/>
      <w:r w:rsidRPr="00DE4823">
        <w:rPr>
          <w:i/>
          <w:lang w:val="en-US"/>
        </w:rPr>
        <w:t>Journal of Finance Economics</w:t>
      </w:r>
      <w:r w:rsidRPr="00DE4823">
        <w:rPr>
          <w:lang w:val="en-US"/>
        </w:rPr>
        <w:t>.</w:t>
      </w:r>
      <w:proofErr w:type="gramEnd"/>
      <w:r w:rsidRPr="00DE4823">
        <w:rPr>
          <w:lang w:val="en-US"/>
        </w:rPr>
        <w:t xml:space="preserve"> 19, 3–29.</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r w:rsidRPr="00DE4823">
        <w:rPr>
          <w:lang w:val="en-US"/>
        </w:rPr>
        <w:t>Gan</w:t>
      </w:r>
      <w:proofErr w:type="gramStart"/>
      <w:r w:rsidRPr="00DE4823">
        <w:rPr>
          <w:lang w:val="en-US"/>
        </w:rPr>
        <w:t>,C</w:t>
      </w:r>
      <w:proofErr w:type="spellEnd"/>
      <w:proofErr w:type="gramEnd"/>
      <w:r w:rsidRPr="00DE4823">
        <w:rPr>
          <w:lang w:val="en-US"/>
        </w:rPr>
        <w:t xml:space="preserve">., Lee, M., Yong, H.H.A., &amp; Zhang, J. (2006). Macroeconomic variables and stock market interactions: New Zealand evidence. </w:t>
      </w:r>
      <w:r w:rsidRPr="00DE4823">
        <w:rPr>
          <w:i/>
          <w:lang w:val="en-US"/>
        </w:rPr>
        <w:t>Investment Management and Financial Innovations</w:t>
      </w:r>
      <w:proofErr w:type="gramStart"/>
      <w:r w:rsidRPr="00DE4823">
        <w:rPr>
          <w:i/>
          <w:lang w:val="en-US"/>
        </w:rPr>
        <w:t>,</w:t>
      </w:r>
      <w:r w:rsidRPr="00DE4823">
        <w:rPr>
          <w:lang w:val="en-US"/>
        </w:rPr>
        <w:t>3</w:t>
      </w:r>
      <w:proofErr w:type="gramEnd"/>
      <w:r w:rsidRPr="00DE4823">
        <w:rPr>
          <w:lang w:val="en-US"/>
        </w:rPr>
        <w:t xml:space="preserve">(4), 89–101. </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r w:rsidRPr="00DE4823">
        <w:rPr>
          <w:lang w:val="en-US"/>
        </w:rPr>
        <w:t>Hondroyiannis</w:t>
      </w:r>
      <w:proofErr w:type="spellEnd"/>
      <w:r w:rsidRPr="00DE4823">
        <w:rPr>
          <w:lang w:val="en-US"/>
        </w:rPr>
        <w:t>, G</w:t>
      </w:r>
      <w:proofErr w:type="gramStart"/>
      <w:r w:rsidRPr="00DE4823">
        <w:rPr>
          <w:lang w:val="en-US"/>
        </w:rPr>
        <w:t>.&amp;</w:t>
      </w:r>
      <w:proofErr w:type="gramEnd"/>
      <w:r w:rsidRPr="00DE4823">
        <w:rPr>
          <w:lang w:val="en-US"/>
        </w:rPr>
        <w:t xml:space="preserve"> </w:t>
      </w:r>
      <w:proofErr w:type="spellStart"/>
      <w:r w:rsidRPr="00DE4823">
        <w:rPr>
          <w:lang w:val="en-US"/>
        </w:rPr>
        <w:t>Papapetrou</w:t>
      </w:r>
      <w:proofErr w:type="spellEnd"/>
      <w:r w:rsidRPr="00DE4823">
        <w:rPr>
          <w:lang w:val="en-US"/>
        </w:rPr>
        <w:t xml:space="preserve">, E. (2001). </w:t>
      </w:r>
      <w:proofErr w:type="gramStart"/>
      <w:r w:rsidRPr="00DE4823">
        <w:rPr>
          <w:lang w:val="en-US"/>
        </w:rPr>
        <w:t>Stock market performance and macroeconomic experience in Greece.</w:t>
      </w:r>
      <w:proofErr w:type="gramEnd"/>
      <w:r w:rsidRPr="00DE4823">
        <w:rPr>
          <w:lang w:val="en-US"/>
        </w:rPr>
        <w:t xml:space="preserve"> </w:t>
      </w:r>
      <w:r w:rsidRPr="00DE4823">
        <w:rPr>
          <w:i/>
          <w:lang w:val="en-US"/>
        </w:rPr>
        <w:t>Greek Economic Review</w:t>
      </w:r>
      <w:r w:rsidRPr="00DE4823">
        <w:rPr>
          <w:lang w:val="en-US"/>
        </w:rPr>
        <w:t>, 21 (2), 65–84.</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i/>
          <w:iCs/>
          <w:lang w:val="en-US"/>
        </w:rPr>
      </w:pPr>
      <w:r w:rsidRPr="00DE4823">
        <w:rPr>
          <w:lang w:val="en-US"/>
        </w:rPr>
        <w:t>Johansen, S</w:t>
      </w:r>
      <w:proofErr w:type="gramStart"/>
      <w:r w:rsidRPr="00DE4823">
        <w:rPr>
          <w:lang w:val="en-US"/>
        </w:rPr>
        <w:t>.(</w:t>
      </w:r>
      <w:proofErr w:type="gramEnd"/>
      <w:r w:rsidRPr="00DE4823">
        <w:rPr>
          <w:lang w:val="en-US"/>
        </w:rPr>
        <w:t xml:space="preserve">1988). </w:t>
      </w:r>
      <w:proofErr w:type="gramStart"/>
      <w:r w:rsidRPr="00DE4823">
        <w:rPr>
          <w:lang w:val="en-US"/>
        </w:rPr>
        <w:t xml:space="preserve">Statistical analysis of </w:t>
      </w:r>
      <w:proofErr w:type="spellStart"/>
      <w:r w:rsidRPr="00DE4823">
        <w:rPr>
          <w:lang w:val="en-US"/>
        </w:rPr>
        <w:t>cointegration</w:t>
      </w:r>
      <w:proofErr w:type="spellEnd"/>
      <w:r w:rsidRPr="00DE4823">
        <w:rPr>
          <w:lang w:val="en-US"/>
        </w:rPr>
        <w:t xml:space="preserve"> vectors.</w:t>
      </w:r>
      <w:proofErr w:type="gramEnd"/>
      <w:r w:rsidRPr="00DE4823">
        <w:rPr>
          <w:lang w:val="en-US"/>
        </w:rPr>
        <w:t xml:space="preserve"> </w:t>
      </w:r>
      <w:r w:rsidRPr="00DE4823">
        <w:rPr>
          <w:i/>
          <w:iCs/>
          <w:lang w:val="en-US"/>
        </w:rPr>
        <w:t>Journal of Economic</w:t>
      </w:r>
    </w:p>
    <w:p w:rsidR="00DE4823" w:rsidRPr="00DE4823" w:rsidRDefault="00DE4823" w:rsidP="00DE4823">
      <w:pPr>
        <w:ind w:left="709" w:hanging="709"/>
        <w:jc w:val="both"/>
        <w:rPr>
          <w:lang w:val="en-US"/>
        </w:rPr>
      </w:pPr>
      <w:r w:rsidRPr="00DE4823">
        <w:rPr>
          <w:i/>
          <w:iCs/>
          <w:lang w:val="en-US"/>
        </w:rPr>
        <w:t xml:space="preserve">Dynamics and Control, </w:t>
      </w:r>
      <w:r w:rsidRPr="00DE4823">
        <w:rPr>
          <w:lang w:val="en-US"/>
        </w:rPr>
        <w:t>12, 231–254.</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r w:rsidRPr="00DE4823">
        <w:rPr>
          <w:lang w:val="en-US"/>
        </w:rPr>
        <w:t>Kurihara</w:t>
      </w:r>
      <w:proofErr w:type="spellEnd"/>
      <w:r w:rsidRPr="00DE4823">
        <w:rPr>
          <w:lang w:val="en-US"/>
        </w:rPr>
        <w:t xml:space="preserve">, Y. (2006), </w:t>
      </w:r>
      <w:proofErr w:type="gramStart"/>
      <w:r w:rsidRPr="00DE4823">
        <w:rPr>
          <w:lang w:val="en-US"/>
        </w:rPr>
        <w:t>The</w:t>
      </w:r>
      <w:proofErr w:type="gramEnd"/>
      <w:r w:rsidRPr="00DE4823">
        <w:rPr>
          <w:lang w:val="en-US"/>
        </w:rPr>
        <w:t xml:space="preserve"> relationship between exchange rate and stock prices during the quantitative easing policy in Japan, </w:t>
      </w:r>
      <w:r w:rsidRPr="00DE4823">
        <w:rPr>
          <w:i/>
          <w:lang w:val="en-US"/>
        </w:rPr>
        <w:t>International Journal of Business</w:t>
      </w:r>
      <w:r w:rsidRPr="00DE4823">
        <w:rPr>
          <w:lang w:val="en-US"/>
        </w:rPr>
        <w:t>, 11(4), 375–386.</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r w:rsidRPr="00DE4823">
        <w:rPr>
          <w:lang w:val="en-US"/>
        </w:rPr>
        <w:lastRenderedPageBreak/>
        <w:t>Lütkepohl</w:t>
      </w:r>
      <w:proofErr w:type="spellEnd"/>
      <w:r w:rsidRPr="00DE4823">
        <w:rPr>
          <w:lang w:val="en-US"/>
        </w:rPr>
        <w:t xml:space="preserve">, H. (2007). </w:t>
      </w:r>
      <w:proofErr w:type="gramStart"/>
      <w:r w:rsidRPr="00DE4823">
        <w:rPr>
          <w:lang w:val="en-US"/>
        </w:rPr>
        <w:t>Econometric Analysis with Vector Autoregressive Models</w:t>
      </w:r>
      <w:r w:rsidRPr="00DE4823">
        <w:rPr>
          <w:i/>
          <w:iCs/>
          <w:lang w:val="en-US"/>
        </w:rPr>
        <w:t>, European University Institute Working Paper ECO</w:t>
      </w:r>
      <w:r w:rsidRPr="00DE4823">
        <w:rPr>
          <w:lang w:val="en-US"/>
        </w:rPr>
        <w:t>, 43.</w:t>
      </w:r>
      <w:proofErr w:type="gramEnd"/>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r w:rsidRPr="00DE4823">
        <w:rPr>
          <w:lang w:val="en-US"/>
        </w:rPr>
        <w:t>Mahmudul</w:t>
      </w:r>
      <w:proofErr w:type="spellEnd"/>
      <w:r w:rsidRPr="00DE4823">
        <w:rPr>
          <w:lang w:val="en-US"/>
        </w:rPr>
        <w:t>, A</w:t>
      </w:r>
      <w:proofErr w:type="gramStart"/>
      <w:r w:rsidRPr="00DE4823">
        <w:rPr>
          <w:lang w:val="en-US"/>
        </w:rPr>
        <w:t>.&amp;</w:t>
      </w:r>
      <w:proofErr w:type="gramEnd"/>
      <w:r w:rsidRPr="00DE4823">
        <w:rPr>
          <w:lang w:val="en-US"/>
        </w:rPr>
        <w:t xml:space="preserve"> </w:t>
      </w:r>
      <w:proofErr w:type="spellStart"/>
      <w:r w:rsidRPr="00DE4823">
        <w:rPr>
          <w:lang w:val="en-US"/>
        </w:rPr>
        <w:t>Gazi</w:t>
      </w:r>
      <w:proofErr w:type="spellEnd"/>
      <w:r w:rsidRPr="00DE4823">
        <w:rPr>
          <w:lang w:val="en-US"/>
        </w:rPr>
        <w:t xml:space="preserve"> Salah, U. (2009). The relationship between interest rate and stock price: Empirical evidence from developed and developing countries. </w:t>
      </w:r>
      <w:r w:rsidRPr="00DE4823">
        <w:rPr>
          <w:i/>
          <w:lang w:val="en-US"/>
        </w:rPr>
        <w:t xml:space="preserve">International Journal </w:t>
      </w:r>
      <w:proofErr w:type="gramStart"/>
      <w:r w:rsidRPr="00DE4823">
        <w:rPr>
          <w:i/>
          <w:lang w:val="en-US"/>
        </w:rPr>
        <w:t>Of</w:t>
      </w:r>
      <w:proofErr w:type="gramEnd"/>
      <w:r w:rsidRPr="00DE4823">
        <w:rPr>
          <w:i/>
          <w:lang w:val="en-US"/>
        </w:rPr>
        <w:t xml:space="preserve"> Business And Management</w:t>
      </w:r>
      <w:r w:rsidRPr="00DE4823">
        <w:rPr>
          <w:lang w:val="en-US"/>
        </w:rPr>
        <w:t>. 4(3), 43–51.</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r w:rsidRPr="00DE4823">
        <w:rPr>
          <w:lang w:val="en-US"/>
        </w:rPr>
        <w:t>Maysami</w:t>
      </w:r>
      <w:proofErr w:type="spellEnd"/>
      <w:r w:rsidRPr="00DE4823">
        <w:rPr>
          <w:lang w:val="en-US"/>
        </w:rPr>
        <w:t>, R.C</w:t>
      </w:r>
      <w:proofErr w:type="gramStart"/>
      <w:r w:rsidRPr="00DE4823">
        <w:rPr>
          <w:lang w:val="en-US"/>
        </w:rPr>
        <w:t>.&amp;</w:t>
      </w:r>
      <w:proofErr w:type="gramEnd"/>
      <w:r w:rsidRPr="00DE4823">
        <w:rPr>
          <w:lang w:val="en-US"/>
        </w:rPr>
        <w:t xml:space="preserve"> </w:t>
      </w:r>
      <w:proofErr w:type="spellStart"/>
      <w:r w:rsidRPr="00DE4823">
        <w:rPr>
          <w:lang w:val="en-US"/>
        </w:rPr>
        <w:t>Koh</w:t>
      </w:r>
      <w:proofErr w:type="spellEnd"/>
      <w:r w:rsidRPr="00DE4823">
        <w:rPr>
          <w:lang w:val="en-US"/>
        </w:rPr>
        <w:t xml:space="preserve">, T.S.(2000). </w:t>
      </w:r>
      <w:proofErr w:type="gramStart"/>
      <w:r w:rsidRPr="00DE4823">
        <w:rPr>
          <w:lang w:val="en-US"/>
        </w:rPr>
        <w:t>A vector error correction model of the Singapore stock market.</w:t>
      </w:r>
      <w:proofErr w:type="gramEnd"/>
      <w:r w:rsidRPr="00DE4823">
        <w:rPr>
          <w:lang w:val="en-US"/>
        </w:rPr>
        <w:t xml:space="preserve"> </w:t>
      </w:r>
      <w:r w:rsidRPr="00DE4823">
        <w:rPr>
          <w:i/>
          <w:lang w:val="en-US"/>
        </w:rPr>
        <w:t>International Review of Economics and Finance</w:t>
      </w:r>
      <w:r w:rsidRPr="00DE4823">
        <w:rPr>
          <w:lang w:val="en-US"/>
        </w:rPr>
        <w:t>, 9, 79–96.</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r w:rsidRPr="00DE4823">
        <w:rPr>
          <w:lang w:val="en-US"/>
        </w:rPr>
        <w:t>Ologunde</w:t>
      </w:r>
      <w:proofErr w:type="spellEnd"/>
      <w:r w:rsidRPr="00DE4823">
        <w:rPr>
          <w:lang w:val="en-US"/>
        </w:rPr>
        <w:t xml:space="preserve">, A.O., </w:t>
      </w:r>
      <w:proofErr w:type="spellStart"/>
      <w:r w:rsidRPr="00DE4823">
        <w:rPr>
          <w:lang w:val="en-US"/>
        </w:rPr>
        <w:t>Elumilade</w:t>
      </w:r>
      <w:proofErr w:type="spellEnd"/>
      <w:r w:rsidRPr="00DE4823">
        <w:rPr>
          <w:lang w:val="en-US"/>
        </w:rPr>
        <w:t>, D.O</w:t>
      </w:r>
      <w:proofErr w:type="gramStart"/>
      <w:r w:rsidRPr="00DE4823">
        <w:rPr>
          <w:lang w:val="en-US"/>
        </w:rPr>
        <w:t>.&amp;</w:t>
      </w:r>
      <w:proofErr w:type="gramEnd"/>
      <w:r w:rsidRPr="00DE4823">
        <w:rPr>
          <w:lang w:val="en-US"/>
        </w:rPr>
        <w:t xml:space="preserve"> </w:t>
      </w:r>
      <w:proofErr w:type="spellStart"/>
      <w:r w:rsidRPr="00DE4823">
        <w:rPr>
          <w:lang w:val="en-US"/>
        </w:rPr>
        <w:t>Asaolu</w:t>
      </w:r>
      <w:proofErr w:type="spellEnd"/>
      <w:r w:rsidRPr="00DE4823">
        <w:rPr>
          <w:lang w:val="en-US"/>
        </w:rPr>
        <w:t xml:space="preserve">, T.O. (2006). </w:t>
      </w:r>
      <w:r w:rsidRPr="00DE4823">
        <w:rPr>
          <w:bCs/>
          <w:lang w:val="en-US"/>
        </w:rPr>
        <w:t>Stock market capitalization and interest rate in Nigeria: A Time Series Analysis.</w:t>
      </w:r>
      <w:r w:rsidRPr="00DE4823">
        <w:rPr>
          <w:lang w:val="en-US"/>
        </w:rPr>
        <w:t xml:space="preserve"> </w:t>
      </w:r>
      <w:r w:rsidRPr="00DE4823">
        <w:rPr>
          <w:bCs/>
          <w:i/>
          <w:lang w:val="en-US"/>
        </w:rPr>
        <w:t>International Research Journal of Finance and Economics,</w:t>
      </w:r>
      <w:r w:rsidRPr="00DE4823">
        <w:rPr>
          <w:lang w:val="en-US"/>
        </w:rPr>
        <w:t xml:space="preserve"> 4, 154–167. </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proofErr w:type="gramStart"/>
      <w:r w:rsidRPr="00DE4823">
        <w:rPr>
          <w:lang w:val="en-US"/>
        </w:rPr>
        <w:t>Özata</w:t>
      </w:r>
      <w:proofErr w:type="spellEnd"/>
      <w:r w:rsidRPr="00DE4823">
        <w:rPr>
          <w:lang w:val="en-US"/>
        </w:rPr>
        <w:t xml:space="preserve">, E. &amp; </w:t>
      </w:r>
      <w:proofErr w:type="spellStart"/>
      <w:r w:rsidRPr="00DE4823">
        <w:rPr>
          <w:lang w:val="en-US"/>
        </w:rPr>
        <w:t>Esen</w:t>
      </w:r>
      <w:proofErr w:type="spellEnd"/>
      <w:r w:rsidRPr="00DE4823">
        <w:rPr>
          <w:lang w:val="en-US"/>
        </w:rPr>
        <w:t>, E. (2010).</w:t>
      </w:r>
      <w:proofErr w:type="gramEnd"/>
      <w:r w:rsidRPr="00DE4823">
        <w:rPr>
          <w:lang w:val="en-US"/>
        </w:rPr>
        <w:t xml:space="preserve"> Reel </w:t>
      </w:r>
      <w:proofErr w:type="spellStart"/>
      <w:r w:rsidRPr="00DE4823">
        <w:rPr>
          <w:lang w:val="en-US"/>
        </w:rPr>
        <w:t>ücretler</w:t>
      </w:r>
      <w:proofErr w:type="spellEnd"/>
      <w:r w:rsidRPr="00DE4823">
        <w:rPr>
          <w:lang w:val="en-US"/>
        </w:rPr>
        <w:t xml:space="preserve"> </w:t>
      </w:r>
      <w:proofErr w:type="spellStart"/>
      <w:r w:rsidRPr="00DE4823">
        <w:rPr>
          <w:lang w:val="en-US"/>
        </w:rPr>
        <w:t>ile</w:t>
      </w:r>
      <w:proofErr w:type="spellEnd"/>
      <w:r w:rsidRPr="00DE4823">
        <w:rPr>
          <w:lang w:val="en-US"/>
        </w:rPr>
        <w:t xml:space="preserve"> </w:t>
      </w:r>
      <w:proofErr w:type="spellStart"/>
      <w:r w:rsidRPr="00DE4823">
        <w:rPr>
          <w:lang w:val="en-US"/>
        </w:rPr>
        <w:t>istihdam</w:t>
      </w:r>
      <w:proofErr w:type="spellEnd"/>
      <w:r w:rsidRPr="00DE4823">
        <w:rPr>
          <w:lang w:val="en-US"/>
        </w:rPr>
        <w:t xml:space="preserve"> </w:t>
      </w:r>
      <w:proofErr w:type="spellStart"/>
      <w:r w:rsidRPr="00DE4823">
        <w:rPr>
          <w:lang w:val="en-US"/>
        </w:rPr>
        <w:t>arasındaki</w:t>
      </w:r>
      <w:proofErr w:type="spellEnd"/>
      <w:r w:rsidRPr="00DE4823">
        <w:rPr>
          <w:lang w:val="en-US"/>
        </w:rPr>
        <w:t xml:space="preserve"> </w:t>
      </w:r>
      <w:proofErr w:type="spellStart"/>
      <w:r w:rsidRPr="00DE4823">
        <w:rPr>
          <w:lang w:val="en-US"/>
        </w:rPr>
        <w:t>ilişkinin</w:t>
      </w:r>
      <w:proofErr w:type="spellEnd"/>
      <w:r w:rsidRPr="00DE4823">
        <w:rPr>
          <w:lang w:val="en-US"/>
        </w:rPr>
        <w:t xml:space="preserve"> </w:t>
      </w:r>
      <w:proofErr w:type="spellStart"/>
      <w:r w:rsidRPr="00DE4823">
        <w:rPr>
          <w:lang w:val="en-US"/>
        </w:rPr>
        <w:t>ekonometrik</w:t>
      </w:r>
      <w:proofErr w:type="spellEnd"/>
      <w:r w:rsidRPr="00DE4823">
        <w:rPr>
          <w:lang w:val="en-US"/>
        </w:rPr>
        <w:t xml:space="preserve"> </w:t>
      </w:r>
      <w:proofErr w:type="spellStart"/>
      <w:r w:rsidRPr="00DE4823">
        <w:rPr>
          <w:lang w:val="en-US"/>
        </w:rPr>
        <w:t>analizi</w:t>
      </w:r>
      <w:proofErr w:type="spellEnd"/>
      <w:r w:rsidRPr="00DE4823">
        <w:rPr>
          <w:lang w:val="en-US"/>
        </w:rPr>
        <w:t xml:space="preserve">. </w:t>
      </w:r>
      <w:r w:rsidRPr="00DE4823">
        <w:rPr>
          <w:i/>
          <w:iCs/>
          <w:lang w:val="en-US"/>
        </w:rPr>
        <w:t xml:space="preserve">Journal </w:t>
      </w:r>
      <w:proofErr w:type="gramStart"/>
      <w:r w:rsidRPr="00DE4823">
        <w:rPr>
          <w:i/>
          <w:iCs/>
          <w:lang w:val="en-US"/>
        </w:rPr>
        <w:t>Of</w:t>
      </w:r>
      <w:proofErr w:type="gramEnd"/>
      <w:r w:rsidRPr="00DE4823">
        <w:rPr>
          <w:i/>
          <w:iCs/>
          <w:lang w:val="en-US"/>
        </w:rPr>
        <w:t xml:space="preserve"> </w:t>
      </w:r>
      <w:proofErr w:type="spellStart"/>
      <w:r w:rsidRPr="00DE4823">
        <w:rPr>
          <w:i/>
          <w:iCs/>
          <w:lang w:val="en-US"/>
        </w:rPr>
        <w:t>Anadolu</w:t>
      </w:r>
      <w:proofErr w:type="spellEnd"/>
      <w:r w:rsidRPr="00DE4823">
        <w:rPr>
          <w:i/>
          <w:iCs/>
          <w:lang w:val="en-US"/>
        </w:rPr>
        <w:t xml:space="preserve"> University Social Sciences. </w:t>
      </w:r>
      <w:r w:rsidRPr="00DE4823">
        <w:rPr>
          <w:lang w:val="en-US"/>
        </w:rPr>
        <w:t>10, 55–70.</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spellStart"/>
      <w:r w:rsidRPr="00DE4823">
        <w:rPr>
          <w:lang w:val="en-US"/>
        </w:rPr>
        <w:t>Pallegedara</w:t>
      </w:r>
      <w:proofErr w:type="spellEnd"/>
      <w:r w:rsidRPr="00DE4823">
        <w:rPr>
          <w:lang w:val="en-US"/>
        </w:rPr>
        <w:t xml:space="preserve">, A. (2012). Dynamic relationships between stock market performance and short term interest rate empirical evidence from Sri Lanka. </w:t>
      </w:r>
      <w:proofErr w:type="gramStart"/>
      <w:r w:rsidRPr="00DE4823">
        <w:rPr>
          <w:i/>
          <w:lang w:val="en-US"/>
        </w:rPr>
        <w:t>University Library of Munich, MPRA Paper 40773,</w:t>
      </w:r>
      <w:r w:rsidRPr="00DE4823">
        <w:rPr>
          <w:lang w:val="en-US"/>
        </w:rPr>
        <w:t xml:space="preserve"> Germany.</w:t>
      </w:r>
      <w:proofErr w:type="gramEnd"/>
    </w:p>
    <w:p w:rsidR="00DE4823" w:rsidRPr="00DE4823" w:rsidRDefault="00DE4823" w:rsidP="00DE4823">
      <w:pPr>
        <w:ind w:left="709" w:hanging="709"/>
        <w:jc w:val="both"/>
        <w:rPr>
          <w:lang w:val="en-US"/>
        </w:rPr>
      </w:pPr>
    </w:p>
    <w:p w:rsidR="00DE4823" w:rsidRPr="00DE4823" w:rsidRDefault="00DE4823" w:rsidP="00DE4823">
      <w:pPr>
        <w:ind w:left="709" w:hanging="709"/>
        <w:jc w:val="both"/>
        <w:rPr>
          <w:i/>
          <w:iCs/>
          <w:lang w:val="en-US"/>
        </w:rPr>
      </w:pPr>
      <w:proofErr w:type="spellStart"/>
      <w:r w:rsidRPr="00DE4823">
        <w:rPr>
          <w:lang w:val="en-US"/>
        </w:rPr>
        <w:t>Sevüktekin</w:t>
      </w:r>
      <w:proofErr w:type="spellEnd"/>
      <w:r w:rsidRPr="00DE4823">
        <w:rPr>
          <w:lang w:val="en-US"/>
        </w:rPr>
        <w:t>, M</w:t>
      </w:r>
      <w:proofErr w:type="gramStart"/>
      <w:r w:rsidRPr="00DE4823">
        <w:rPr>
          <w:lang w:val="en-US"/>
        </w:rPr>
        <w:t>.&amp;</w:t>
      </w:r>
      <w:proofErr w:type="gramEnd"/>
      <w:r w:rsidRPr="00DE4823">
        <w:rPr>
          <w:lang w:val="en-US"/>
        </w:rPr>
        <w:t xml:space="preserve"> </w:t>
      </w:r>
      <w:proofErr w:type="spellStart"/>
      <w:r w:rsidRPr="00DE4823">
        <w:rPr>
          <w:lang w:val="en-US"/>
        </w:rPr>
        <w:t>Nargelecekenler</w:t>
      </w:r>
      <w:proofErr w:type="spellEnd"/>
      <w:r w:rsidRPr="00DE4823">
        <w:rPr>
          <w:lang w:val="en-US"/>
        </w:rPr>
        <w:t xml:space="preserve">, M. (2010). </w:t>
      </w:r>
      <w:proofErr w:type="spellStart"/>
      <w:r w:rsidRPr="00DE4823">
        <w:rPr>
          <w:i/>
          <w:iCs/>
          <w:lang w:val="en-US"/>
        </w:rPr>
        <w:t>Ekonometrik</w:t>
      </w:r>
      <w:proofErr w:type="spellEnd"/>
      <w:r w:rsidRPr="00DE4823">
        <w:rPr>
          <w:i/>
          <w:iCs/>
          <w:lang w:val="en-US"/>
        </w:rPr>
        <w:t xml:space="preserve"> </w:t>
      </w:r>
      <w:proofErr w:type="spellStart"/>
      <w:r w:rsidRPr="00DE4823">
        <w:rPr>
          <w:i/>
          <w:iCs/>
          <w:lang w:val="en-US"/>
        </w:rPr>
        <w:t>zaman</w:t>
      </w:r>
      <w:proofErr w:type="spellEnd"/>
      <w:r w:rsidRPr="00DE4823">
        <w:rPr>
          <w:i/>
          <w:iCs/>
          <w:lang w:val="en-US"/>
        </w:rPr>
        <w:t xml:space="preserve"> </w:t>
      </w:r>
      <w:proofErr w:type="spellStart"/>
      <w:r w:rsidRPr="00DE4823">
        <w:rPr>
          <w:i/>
          <w:iCs/>
          <w:lang w:val="en-US"/>
        </w:rPr>
        <w:t>serileri</w:t>
      </w:r>
      <w:proofErr w:type="spellEnd"/>
      <w:r w:rsidRPr="00DE4823">
        <w:rPr>
          <w:i/>
          <w:iCs/>
          <w:lang w:val="en-US"/>
        </w:rPr>
        <w:t xml:space="preserve"> </w:t>
      </w:r>
      <w:proofErr w:type="spellStart"/>
      <w:r w:rsidRPr="00DE4823">
        <w:rPr>
          <w:i/>
          <w:iCs/>
          <w:lang w:val="en-US"/>
        </w:rPr>
        <w:t>analizi</w:t>
      </w:r>
      <w:proofErr w:type="spellEnd"/>
      <w:r w:rsidRPr="00DE4823">
        <w:rPr>
          <w:i/>
          <w:iCs/>
          <w:lang w:val="en-US"/>
        </w:rPr>
        <w:t xml:space="preserve">: </w:t>
      </w:r>
      <w:proofErr w:type="spellStart"/>
      <w:r w:rsidRPr="00DE4823">
        <w:rPr>
          <w:i/>
          <w:iCs/>
          <w:lang w:val="en-US"/>
        </w:rPr>
        <w:t>Eviews</w:t>
      </w:r>
      <w:proofErr w:type="spellEnd"/>
      <w:r w:rsidRPr="00DE4823">
        <w:rPr>
          <w:i/>
          <w:iCs/>
          <w:lang w:val="en-US"/>
        </w:rPr>
        <w:t xml:space="preserve"> </w:t>
      </w:r>
      <w:proofErr w:type="spellStart"/>
      <w:r w:rsidRPr="00DE4823">
        <w:rPr>
          <w:i/>
          <w:iCs/>
          <w:lang w:val="en-US"/>
        </w:rPr>
        <w:t>uygulamalı</w:t>
      </w:r>
      <w:proofErr w:type="spellEnd"/>
      <w:r w:rsidRPr="00DE4823">
        <w:rPr>
          <w:lang w:val="en-US"/>
        </w:rPr>
        <w:t>. Ankara, Nobel Pres.</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proofErr w:type="gramStart"/>
      <w:r w:rsidRPr="00DE4823">
        <w:rPr>
          <w:lang w:val="en-US"/>
        </w:rPr>
        <w:t>Simpson, J.L. &amp; Evans, J.P. (2003).</w:t>
      </w:r>
      <w:proofErr w:type="gramEnd"/>
      <w:r w:rsidRPr="00DE4823">
        <w:rPr>
          <w:lang w:val="en-US"/>
        </w:rPr>
        <w:t xml:space="preserve"> </w:t>
      </w:r>
      <w:proofErr w:type="gramStart"/>
      <w:r w:rsidRPr="00DE4823">
        <w:rPr>
          <w:lang w:val="en-US"/>
        </w:rPr>
        <w:t>Banking stock returns and their relationship to interest rates and exchange rates: Australian Evidence.</w:t>
      </w:r>
      <w:proofErr w:type="gramEnd"/>
      <w:r w:rsidRPr="00DE4823">
        <w:rPr>
          <w:lang w:val="en-US"/>
        </w:rPr>
        <w:t xml:space="preserve"> </w:t>
      </w:r>
      <w:r w:rsidRPr="00DE4823">
        <w:rPr>
          <w:i/>
          <w:lang w:val="en-US"/>
        </w:rPr>
        <w:t>University of Wollongong in Dubai Working Paper</w:t>
      </w:r>
      <w:r w:rsidRPr="00DE4823">
        <w:rPr>
          <w:lang w:val="en-US"/>
        </w:rPr>
        <w:t>, 5, 1–35.</w:t>
      </w:r>
    </w:p>
    <w:p w:rsidR="00DE4823" w:rsidRPr="00DE4823" w:rsidRDefault="00DE4823" w:rsidP="00DE4823">
      <w:pPr>
        <w:ind w:left="709" w:hanging="709"/>
        <w:jc w:val="both"/>
        <w:rPr>
          <w:lang w:val="en-US"/>
        </w:rPr>
      </w:pPr>
    </w:p>
    <w:p w:rsidR="00DE4823" w:rsidRPr="00DE4823" w:rsidRDefault="00DE4823" w:rsidP="00DE4823">
      <w:pPr>
        <w:ind w:left="709" w:hanging="709"/>
        <w:jc w:val="both"/>
        <w:rPr>
          <w:lang w:val="en-US"/>
        </w:rPr>
      </w:pPr>
      <w:r w:rsidRPr="00DE4823">
        <w:rPr>
          <w:lang w:val="en-US"/>
        </w:rPr>
        <w:t xml:space="preserve">Zhou, C., (1996). </w:t>
      </w:r>
      <w:proofErr w:type="gramStart"/>
      <w:r w:rsidRPr="00DE4823">
        <w:rPr>
          <w:lang w:val="en-US"/>
        </w:rPr>
        <w:t>Stock market fluctuations and the term structure.</w:t>
      </w:r>
      <w:proofErr w:type="gramEnd"/>
      <w:r w:rsidRPr="00DE4823">
        <w:rPr>
          <w:lang w:val="en-US"/>
        </w:rPr>
        <w:t xml:space="preserve"> </w:t>
      </w:r>
      <w:proofErr w:type="gramStart"/>
      <w:r w:rsidRPr="00DE4823">
        <w:rPr>
          <w:i/>
          <w:lang w:val="en-US"/>
        </w:rPr>
        <w:t>Board of Governors of the Federal Reserve System, Finance and Economics Discussion Series</w:t>
      </w:r>
      <w:r w:rsidRPr="00DE4823">
        <w:rPr>
          <w:lang w:val="en-US"/>
        </w:rPr>
        <w:t>, 96/03.</w:t>
      </w:r>
      <w:proofErr w:type="gramEnd"/>
    </w:p>
    <w:p w:rsidR="00DE4823" w:rsidRPr="0021101F" w:rsidRDefault="00DE4823" w:rsidP="00DE4823">
      <w:pPr>
        <w:ind w:left="709" w:hanging="709"/>
        <w:rPr>
          <w:lang w:val="en-US"/>
        </w:rPr>
      </w:pPr>
    </w:p>
    <w:p w:rsidR="00DE4823" w:rsidRPr="0021101F" w:rsidRDefault="00DE4823" w:rsidP="00DE4823">
      <w:pPr>
        <w:ind w:left="709" w:hanging="709"/>
        <w:rPr>
          <w:lang w:val="en-US"/>
        </w:rPr>
      </w:pPr>
    </w:p>
    <w:p w:rsidR="00DE4823" w:rsidRPr="0021101F" w:rsidRDefault="00DE4823" w:rsidP="00DE4823">
      <w:pPr>
        <w:ind w:left="709" w:hanging="709"/>
        <w:rPr>
          <w:lang w:val="en-US"/>
        </w:rPr>
      </w:pPr>
    </w:p>
    <w:p w:rsidR="00DE4823" w:rsidRPr="0021101F" w:rsidRDefault="00DE4823" w:rsidP="00DE4823">
      <w:pPr>
        <w:ind w:left="709" w:hanging="709"/>
        <w:rPr>
          <w:lang w:val="en-US"/>
        </w:rPr>
      </w:pPr>
    </w:p>
    <w:p w:rsidR="00DE4823" w:rsidRPr="0021101F" w:rsidRDefault="00DE4823" w:rsidP="00DE4823">
      <w:pPr>
        <w:ind w:left="709" w:hanging="709"/>
        <w:rPr>
          <w:lang w:val="en-US"/>
        </w:rPr>
      </w:pPr>
    </w:p>
    <w:p w:rsidR="00DE4823" w:rsidRPr="0021101F" w:rsidRDefault="00DE4823" w:rsidP="00DE4823">
      <w:pPr>
        <w:ind w:left="709" w:hanging="709"/>
        <w:rPr>
          <w:lang w:val="en-US"/>
        </w:rPr>
      </w:pPr>
    </w:p>
    <w:p w:rsidR="00DE4823" w:rsidRPr="0021101F" w:rsidRDefault="00DE4823" w:rsidP="00DE4823">
      <w:pPr>
        <w:ind w:left="709" w:hanging="709"/>
        <w:rPr>
          <w:lang w:val="en-US"/>
        </w:rPr>
      </w:pPr>
    </w:p>
    <w:p w:rsidR="005C4FF0" w:rsidRPr="00AC42E5" w:rsidRDefault="005C4FF0" w:rsidP="00DE4823">
      <w:pPr>
        <w:ind w:left="709" w:hanging="709"/>
        <w:jc w:val="both"/>
        <w:rPr>
          <w:noProof/>
          <w:lang w:val="en-US"/>
        </w:rPr>
      </w:pPr>
    </w:p>
    <w:sectPr w:rsidR="005C4FF0" w:rsidRPr="00AC42E5" w:rsidSect="00577C78">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701" w:header="454" w:footer="454" w:gutter="0"/>
      <w:pgNumType w:start="1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52" w:rsidRDefault="00006152" w:rsidP="00446838">
      <w:r>
        <w:separator/>
      </w:r>
    </w:p>
  </w:endnote>
  <w:endnote w:type="continuationSeparator" w:id="0">
    <w:p w:rsidR="00006152" w:rsidRDefault="00006152"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Rockwellcan-Light">
    <w:altName w:val="Arial Unicode MS"/>
    <w:panose1 w:val="00000000000000000000"/>
    <w:charset w:val="80"/>
    <w:family w:val="roman"/>
    <w:notTrueType/>
    <w:pitch w:val="default"/>
    <w:sig w:usb0="00000001" w:usb1="08070000" w:usb2="00000010" w:usb3="00000000" w:csb0="00020000" w:csb1="00000000"/>
  </w:font>
  <w:font w:name="Times">
    <w:altName w:val="Times New Roman"/>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78" w:rsidRDefault="00577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bookmarkStart w:id="3" w:name="_GoBack" w:displacedByCustomXml="prev"/>
      <w:bookmarkEnd w:id="3" w:displacedByCustomXml="prev"/>
      <w:p w:rsidR="00AA63F6" w:rsidRDefault="005A6825">
        <w:pPr>
          <w:pStyle w:val="Footer"/>
          <w:jc w:val="center"/>
        </w:pPr>
        <w:r>
          <w:rPr>
            <w:noProof/>
            <w:lang w:val="en-US" w:eastAsia="en-US"/>
          </w:rPr>
          <mc:AlternateContent>
            <mc:Choice Requires="wps">
              <w:drawing>
                <wp:inline distT="0" distB="0" distL="0" distR="0" wp14:anchorId="57691BB1" wp14:editId="765827F2">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577C78">
          <w:rPr>
            <w:noProof/>
          </w:rPr>
          <w:t>136</w:t>
        </w:r>
        <w:r>
          <w:rPr>
            <w:noProof/>
          </w:rPr>
          <w:fldChar w:fldCharType="end"/>
        </w:r>
      </w:p>
    </w:sdtContent>
  </w:sdt>
  <w:p w:rsidR="00AA63F6" w:rsidRDefault="00AA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78" w:rsidRDefault="00577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52" w:rsidRDefault="00006152" w:rsidP="00446838">
      <w:r>
        <w:separator/>
      </w:r>
    </w:p>
  </w:footnote>
  <w:footnote w:type="continuationSeparator" w:id="0">
    <w:p w:rsidR="00006152" w:rsidRDefault="00006152"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78" w:rsidRDefault="00577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78" w:rsidRDefault="00577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06152"/>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67DB5"/>
    <w:rsid w:val="0037128C"/>
    <w:rsid w:val="003813E7"/>
    <w:rsid w:val="003F0735"/>
    <w:rsid w:val="00446838"/>
    <w:rsid w:val="004930FD"/>
    <w:rsid w:val="00496CAE"/>
    <w:rsid w:val="004E46FC"/>
    <w:rsid w:val="004F6D75"/>
    <w:rsid w:val="00512C5B"/>
    <w:rsid w:val="00521068"/>
    <w:rsid w:val="00524012"/>
    <w:rsid w:val="00564CCF"/>
    <w:rsid w:val="00577C78"/>
    <w:rsid w:val="005A6825"/>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75E58"/>
    <w:rsid w:val="00D76E5E"/>
    <w:rsid w:val="00DA014E"/>
    <w:rsid w:val="00DC0765"/>
    <w:rsid w:val="00DC4BDD"/>
    <w:rsid w:val="00DE4823"/>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eGrid">
    <w:name w:val="Table Grid"/>
    <w:basedOn w:val="TableNormal"/>
    <w:rsid w:val="00DE482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1">
    <w:name w:val="Table List 1"/>
    <w:basedOn w:val="TableNormal"/>
    <w:rsid w:val="00DE4823"/>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eGrid">
    <w:name w:val="Table Grid"/>
    <w:basedOn w:val="TableNormal"/>
    <w:rsid w:val="00DE482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1">
    <w:name w:val="Table List 1"/>
    <w:basedOn w:val="TableNormal"/>
    <w:rsid w:val="00DE4823"/>
    <w:pPr>
      <w:spacing w:after="0" w:line="240" w:lineRule="auto"/>
    </w:pPr>
    <w:rPr>
      <w:rFonts w:ascii="Times New Roman" w:eastAsia="Times New Roman"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ataybasarir@gmail.com" TargetMode="Externa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cengiztoraman2004@yahoo.com" TargetMode="External"/><Relationship Id="rId12" Type="http://schemas.openxmlformats.org/officeDocument/2006/relationships/image" Target="media/image4.wmf"/><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w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3486</Words>
  <Characters>19874</Characters>
  <Application>Microsoft Office Word</Application>
  <DocSecurity>0</DocSecurity>
  <Lines>165</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2013-06-24T22:38:00Z</dcterms:created>
  <dcterms:modified xsi:type="dcterms:W3CDTF">2013-06-27T00:38:00Z</dcterms:modified>
</cp:coreProperties>
</file>