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IZDAVAC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Centar za društvena istraživanja Internacionalnog Burc univerziteta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Glavni urednik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Prof. dr. Abedin Bikic (Pravni fakultet Sarajevo)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Urednik specijalnog izdanja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Dr. Iza Razija Meševic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Kourednik specijalnog izdanja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Robert Kordic</w:t>
      </w:r>
      <w:bookmarkStart w:id="0" w:name="_GoBack"/>
      <w:bookmarkEnd w:id="0"/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Me_unarodni ure_ivacki odbor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Prof. dr. Teoman Duman (Internacionalni Burc univerzitet), Prof. dr. Jusuf Büyükay (Fatih univerzitet),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Doc. dr. Engin Karabulut (Fatih univerzitet), Doc. dr. Vesna Baltazarevic (Megatrend univerzitet)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Ure_ivacki odbor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Prof. dr. Hajrija Sijercic-Colic (Pravni fakultet Sarajevo), Prof. dr. Suzana Bubic (Pravni fakultet „Džemal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Bijedic“ u Mostaru), Prof. dr. Enes Hašic (Pravni fakultet Zenica), Prof. dr. Nevzet Veladžic (Pravni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fakultet Bihac), Doc. dr. Zlatan Meškic (Pravni fakultet Zenica), Doc. dr. Maja Colakovic (Pravni fakultet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„Džemal Bijedic“ u Mostaru), Doc. dr. Hamid Mutapcic (Pravni fakultet Tuzla), Doc. dr. Zlatan Begic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(Pravni fakultet Tuzla), Doc. dr. Šukrija Bakšic (Pravni fakultet Zenica), Doc. dr. Haris Halilovic (Fakultet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za kriminalistiku i sigurnosne studije Sarajevo), Mr. sci. Almedina Šabic (Pravni fakultet Sarajevo), Mr. sci.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Esad Oruc (Internacionalni Burc univerzitet)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Izvršni urednici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Elvir Colak, MA (Internacionalni Burc univerzitet), Senahid Kahteran (Internacionalni Burc univerzitet),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Mensur Zoletic (Internacionalni Burc univerzitet)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Lektori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Ni_ara Pašanovic, MA.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Elvira Colo, BA.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Tehnicko ure_enje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Internacionalni Burc univerzitet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Alen Camdžic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Štampa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Arka PRESS d.o.o.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Tiraž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300 primjeraka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E-mail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drustveniogledi@ibu.edu.ba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Internet stranica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ssrc.ibu.edu.ba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Broj godišnjih izdanja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2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Broj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2/2014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ISSN 2303-5706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DOI: 10.14706/DO14221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"Društveni ogledi - Casopis za pravnu teoriju i praksu” je dostupan u punom tekstu u Online biblioteci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 xml:space="preserve">Centralne i Istocne Evrope - CEEOL (www.ceeol.com) i na web stranici </w:t>
      </w:r>
      <w:r>
        <w:rPr>
          <w:rFonts w:ascii="AGaramondPro-Bold" w:hAnsi="AGaramondPro-Bold" w:cs="AGaramondPro-Bold"/>
          <w:b/>
          <w:bCs/>
          <w:sz w:val="18"/>
          <w:szCs w:val="18"/>
        </w:rPr>
        <w:t>www.ssrc.ibu.edu.ba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PUBLISHER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Social Sciences Research Center of International Burch University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Editor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Prof. Dr. Abedin Bikic (Faculty of Law in Sarajevo)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Editor of the special issue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Dr. Iza Razija Meševic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Co-editor of the special issue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Rober Kordic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International Editorial Board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Prof. Dr. Teoman Duman (International Burch University), Prof. Dr. Jusuf Büyükay (Fatih University),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Doc. Dr. Engin Karabulut (Fatih University), Doc. Dr. Vesna Baltazarevic (Megatrend University)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Editorial Board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Prof. Dr. Hajrija Sijercic-Colic (Faculty of Law in Sarajevo), Prof. Dr. Suzana Bubic (Faculty of Law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lastRenderedPageBreak/>
        <w:t>„Džemal Bijedic“ in Mostar), Prof. Dr. Enes Hašic (Faculty of Law in Zenica), Prof. Dr. Nevzet Veladžic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(Faculty of Law in Bihac), Doc. Dr. Zlatan Meškic (Faculty of Law in Zenica), Doc. Dr. Maja Colakovic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(Faculty of Law „Džemal Bijedic“ in Mostar), Doc. Dr. Hamid Mutapcic (Faculty of Law in Tuzla), Doc.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Dr. Zlatan Begic (Faculty of Law in Tuzla), Doc. Dr. Šukrija Bakšic (Faculty of Law in Zenica), Doc. Dr.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Haris Halilovic (Faculty for Criminal Justice, Criminology and Security Studies), Mr. Sc. Almedina Šabic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(Faculty of Law in Sarajevo), Mr. Sc. Esad Oruc (International Burch University)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Editorial Assistants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Elvir Colak, MA (International Burch University), Senahid Kahteran (International Burch University),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Mensur Zoletic (International Burch University)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Lectors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Ni_ara Pašanovic, MA.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Elvira Colo, BA.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DTP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International Burch University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Alen Camdžic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Print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Arka PRESS d.o.o.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Circulation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300 copies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E-mail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drustveniogledi@ibu.edu.ba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Web page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ssrc.ibu.edu.ba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Frequency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Biannually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Current Volume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2/2014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ISSN 2303-5706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18"/>
          <w:szCs w:val="18"/>
        </w:rPr>
      </w:pPr>
      <w:r>
        <w:rPr>
          <w:rFonts w:ascii="AGaramondPro-Bold" w:hAnsi="AGaramondPro-Bold" w:cs="AGaramondPro-Bold"/>
          <w:b/>
          <w:bCs/>
          <w:sz w:val="18"/>
          <w:szCs w:val="18"/>
        </w:rPr>
        <w:t>DOI: 10.14706/DO14221</w:t>
      </w:r>
    </w:p>
    <w:p w:rsidR="00F6399F" w:rsidRDefault="00F6399F" w:rsidP="00F639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“Social Perspectives - Journal for Legal _eory and Practice“ is available in full text at the Central and</w:t>
      </w:r>
    </w:p>
    <w:p w:rsidR="0028510E" w:rsidRDefault="00F6399F" w:rsidP="00F6399F">
      <w:r>
        <w:rPr>
          <w:rFonts w:ascii="AGaramondPro-Regular" w:hAnsi="AGaramondPro-Regular" w:cs="AGaramondPro-Regular"/>
          <w:sz w:val="18"/>
          <w:szCs w:val="18"/>
        </w:rPr>
        <w:t xml:space="preserve">Eastern European Online Library - CEEOL (www.ceeol.com) and on the web page </w:t>
      </w:r>
      <w:r>
        <w:rPr>
          <w:rFonts w:ascii="AGaramondPro-Bold" w:hAnsi="AGaramondPro-Bold" w:cs="AGaramondPro-Bold"/>
          <w:b/>
          <w:bCs/>
          <w:sz w:val="18"/>
          <w:szCs w:val="18"/>
        </w:rPr>
        <w:t>www.ssrc.ibu.edu.ba</w:t>
      </w:r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5C"/>
    <w:rsid w:val="0005505C"/>
    <w:rsid w:val="0028510E"/>
    <w:rsid w:val="00E15832"/>
    <w:rsid w:val="00F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2016-03-10T10:21:00Z</dcterms:created>
  <dcterms:modified xsi:type="dcterms:W3CDTF">2016-03-10T10:21:00Z</dcterms:modified>
</cp:coreProperties>
</file>