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329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Assist. Prof. Dr. Adem Sahin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Fatih University - Faculty of Law, Department of Commercial Law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ÄNDERUNGEN UND NEUERUNGEN IM BEREICH DES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TÜRKISCHEN AKTIENGESELLSCHAFTSRECHTS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EINFÜHRUNG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Der Abschnitt des THGB über die Aktiengesellschaft wurde unter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Berücksichtigung der EU-Richtlinien über die Gesellschaften neu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geschrieben.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Die Neuerungen kann man in zwei Kategorien unterteilen: Zum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einen handelt es sich um Änderungen grundsätzlicher Prinzipien des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Aktienrechts, zum anderen betrifft es nur einzelne Vorschriften. Im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Folgenden werden nur die Neuerungen die Prinzipien des Aktienrechts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behandelt. Die Neuerungen hinsichtlich einzelner Vorschriften werden in den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entsprechenden Abschnitten berücksichtigt.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Überblick über das neue türkische Handelsgesetzbuch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 Laufe der Zeit entsprach das türkische Handelsgesetz vom 1957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ebenfalls nicht mehr den Bedürfnissen der Zeit. Aus diesem Grund begannen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neuerliche Reformarbeiten hinsichtlich des türkischen Handelsgesetzbuch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(THGB). Die Vorbereitung der Gesetzesänderung dauerte mehr als zehn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Jahre. Zunächst wurde im Jahr 1999 vom Bundesministerium für Justiz eine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Expertenkommission zur Vorbereitung eines Entwurfs des THGB gebildet.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Diese Kommission bestand aus Akademikern der Universität, Vertretern der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obersten Gerichte, der Berufsverbände sowie juristischer Personen des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öffentlichen Rechts und wurde von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Prof. Ünal Tekinalp </w:t>
      </w:r>
      <w:r>
        <w:rPr>
          <w:rFonts w:ascii="TimesNewRoman" w:hAnsi="TimesNewRoman" w:cs="TimesNewRoman"/>
          <w:sz w:val="24"/>
          <w:szCs w:val="24"/>
        </w:rPr>
        <w:t>geleitet. Als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Ergebnis der fast fünfjährigen Studie wurde einen THGB-Entwurf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am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17.10.2005 verabschiedet und dem türkischen Parlament vorgelegt. Am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11.1.2008 leitete der Justizausschuss des türkischen Parlaments diesen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Entwurf in der am 26.12.2007 (THGB-E) angenommenen Fassung an die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Memiş, T., Bozbel, S., Yeni 6102 Sayılı Türk Ticaret Kanunu, s.41; Allgemeine Begründung des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Regierungsentwurfs des THGB, Anm.117.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Der Regierungsentwurf mit Begründung ist auf der Webseite des türkischen Parlaments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(http://www2.tbmm.gov.tr/d22/1/1-1138.pdf) abrufbar.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Adem Sahin: ÄNDERUNGEN UND NEUERUNGEN IM BEREICH DES TÜRKISCHEN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AKTIENGESELLSCHAFTSRECHTS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330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Hauptversammlung weiter. Dieser Entwurf wurde am 13.1.2011 im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Parlament schließlich verabschiedet. Das neue THGB tritt mit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1.7.2012 in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Kraft </w:t>
      </w:r>
      <w:r>
        <w:rPr>
          <w:rFonts w:ascii="TimesNewRoman" w:hAnsi="TimesNewRoman" w:cs="TimesNewRoman"/>
          <w:sz w:val="24"/>
          <w:szCs w:val="24"/>
        </w:rPr>
        <w:t>(im Folgenden „neues THGB“ genannt).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Das THGB besteht aus sechs Hauptbüchern mit 1.535 Artikeln. Das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neue THGB beinhaltet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Einführungsbestimmungen (§§ 1 bis 10 neue THGB);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im ersten Buch </w:t>
      </w:r>
      <w:r>
        <w:rPr>
          <w:rFonts w:ascii="TimesNewRoman" w:hAnsi="TimesNewRoman" w:cs="TimesNewRoman"/>
          <w:sz w:val="24"/>
          <w:szCs w:val="24"/>
        </w:rPr>
        <w:t>(§§ 11 bis 123 neue THGB): allgemeine Vorschriften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(z.B Kaufmänner, Handelsregister, Firmenrecht, unlauterer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Wettbewerb, kaufmännische Buchführungspflicht, Kontokorrent und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Handelsvertretung);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im zweiten Buch </w:t>
      </w:r>
      <w:r>
        <w:rPr>
          <w:rFonts w:ascii="TimesNewRoman" w:hAnsi="TimesNewRoman" w:cs="TimesNewRoman"/>
          <w:sz w:val="24"/>
          <w:szCs w:val="24"/>
        </w:rPr>
        <w:t>(§§ 124 bis 644 neue THGB): allgemeine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Vorschriften für die Gesellschaften, spezielle Vorschriften für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einzelne Gesellschaften, z.B Aktiengesellschaft, GesmbH;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4.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im dritten Buch </w:t>
      </w:r>
      <w:r>
        <w:rPr>
          <w:rFonts w:ascii="TimesNewRoman" w:hAnsi="TimesNewRoman" w:cs="TimesNewRoman"/>
          <w:sz w:val="24"/>
          <w:szCs w:val="24"/>
        </w:rPr>
        <w:t>(§§ 645 bis 849 neue THGB): Vorschriften über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Wertpapiere;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im vierten Buch </w:t>
      </w:r>
      <w:r>
        <w:rPr>
          <w:rFonts w:ascii="TimesNewRoman" w:hAnsi="TimesNewRoman" w:cs="TimesNewRoman"/>
          <w:sz w:val="24"/>
          <w:szCs w:val="24"/>
        </w:rPr>
        <w:t>(§§ 850 bis 930 neue THGB): Vorschriften über das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Beförderungsrecht;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im fünften Buch </w:t>
      </w:r>
      <w:r>
        <w:rPr>
          <w:rFonts w:ascii="TimesNewRoman" w:hAnsi="TimesNewRoman" w:cs="TimesNewRoman"/>
          <w:sz w:val="24"/>
          <w:szCs w:val="24"/>
        </w:rPr>
        <w:t>(§§ 931 bis 1378 neue THGB): Vorschriften über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das Seehandelsrecht;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im sechsten Buch </w:t>
      </w:r>
      <w:r>
        <w:rPr>
          <w:rFonts w:ascii="TimesNewRoman" w:hAnsi="TimesNewRoman" w:cs="TimesNewRoman"/>
          <w:sz w:val="24"/>
          <w:szCs w:val="24"/>
        </w:rPr>
        <w:t>(§§ 1379 bis 1498 neue THGB): Vorschriften über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das Versicherungsrecht;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Abschlussbestimmungen (§§ 1499 bis 1535 neue THGB).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Änderungen und Neuerungen im türkischen AktG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Abschaffung des Ultra-Vires-Prinizips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Das Ultra-Vires-Prinzip wird mit dem neuen THGB unter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Berücksichtigung der 1. Gesellschaftsrechtsangleichungs-EU-Richtlinie von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1968 abgeschafft, da diese Beschränkung mit dem modernen nationalen und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internationalen Handel unvereinbar ist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 w:val="24"/>
          <w:szCs w:val="24"/>
        </w:rPr>
        <w:t>. Nunmehr wird die Grenze der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Rechtsfähigkeit der Gesellschaften durch den Gegenstand der Gesellschaften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nicht beschränkt(TGHB § 125).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Sie dürfen unbeschränkt alle Rechte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erwerben und Verbindlichkeiten eingehen. Mit dieser Bestimmung wird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Tekinalp, Ünal</w:t>
      </w:r>
      <w:r>
        <w:rPr>
          <w:rFonts w:ascii="TimesNewRoman" w:hAnsi="TimesNewRoman" w:cs="TimesNewRoman"/>
          <w:sz w:val="18"/>
          <w:szCs w:val="18"/>
        </w:rPr>
        <w:t>, Kompatibilität des türkischen und europäischen Wirtschaftsrechts, 27.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TEKIN--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331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bezweckt, dritte Personen zu schützen.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 Verschmelzung, Spaltung und Umwandlung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Die Verschmelzung, Spaltung und Umwandlung von Gesellschaften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wurden ausführlich und in Einklang mit der EU-Richtlinie geregelt. Mit den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Neuerungen werden nicht nur sichere, transparente und einfache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Strukturänderungen geschaffen, sondern auch Schutzbestimmungen für Dritte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 Gläubiger normiert(THGB 134 usw). Außerdem wird die Übernahme der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Arbeitnehmer ausführlich geregelt.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2.3. Konzern (Unternehmensgruppen)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 türkischen Handelsrecht wird zum ersten Mal der Betriff des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Konzerns geregelt, und zwar unter dem Titel der „Gesellschaftsgruppe“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(Sirketler Toplulugu) (§§ 195 und 209 neues THGB). Demnach sind die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Verhältnisse zwischen der Muttergesellschaft und den Tochtergesellschaften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auf der Grundlage von Transparenz und Rechenschaftspflicht verbunden. Das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deutsche Konzernrecht und die Meinungen des Forum Europa waren hierbei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die Vorbilder.</w:t>
      </w:r>
      <w:r>
        <w:rPr>
          <w:rFonts w:ascii="TimesNewRoman" w:hAnsi="TimesNewRoman" w:cs="TimesNewRoman"/>
          <w:sz w:val="16"/>
          <w:szCs w:val="16"/>
        </w:rPr>
        <w:t>7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2.4. Einmann-AG und Einmann-Verwaltung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Das bislang geltende THGB kennt keine Einmann-AG und keinen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Einmann-Verwaltungsrat. Nach geltendem THGB sind mindestens fünf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Gründer, die Aktionäre der Gesellschaft werden wollen, zur Gründung einer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 erforderlich. Unter Berücksichtigung der 12. EU-Richtlinie (89/667)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ermöglicht es das neue THGB nun in § 338, eine Einmann-AG zu gründen.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Nach dem geltenden THGB besteht der Verwaltungsrat aus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mindestens drei Mitgliedern. Der Gesetzgeber verzichtet nun auf diese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Allgemeine Begründung des Regierungsentwurfs des THGB, Anm.112; Poroy/Tekinalp/Camoglu,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Ortakliklar ve Kooperatif Hukuku (Kapitalgesellschaft- und Genossenschaftsrecht) (2005)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Anm. 121;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Ceker, Mustafa, Ticaret Hukuku, 5.Baski, 2013, s. 250; Bilgili Fatih, Sirketler Hukuku, Mart 2012, s.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43; Pulasli, Hasan, Yeni Sirketler Hukuku Genel Esaslar, Ankara 2012, s. 64.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Pulasli, Hasan, Yeni Sirketler Hukuku Genel Esaslar, Ankara 2012, s. 83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Giray, Rabia E., Şirketler Hukuku, (Ed. Karahan, Sami), Konya 2012, s.123 ff.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Adem Sahin: ÄNDERUNGEN UND NEUERUNGEN IM BEREICH DES TÜRKISCHEN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AKTIENGESELLSCHAFTSRECHTS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332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Bestimmung und ermöglicht es der AG gemäß § 359 neue THGB, einen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Verwaltungsrat zu gründen, der aus nur einem Mitglied besteht.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2.5. Die Neurungen hinsichtlich des Verwaltungsrat als Organe der AG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Hinsichtlich der Organe der AG wurden erhebliche Neuerungen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vorgenommen.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Besonders für den Verwaltungsrat der AG wurden zahlreiche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strukturelle und funktionelle Änderungen unter Berücksichtigung der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Grundsätze der Corporate Governance und der Professionalisierung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geschaffen. Das neue THGB sieht eine dispositive Organisationsordnung der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aktienrechtlichen Exekutive vor.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Nach dem neuen THGB kann der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Verwaltungsrat durch die Ermächtigung der Satzung die Geschäftsführung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ganz oder zum Teil an seine Mitglieder oder Dritte delegieren. Außerdem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werden die unübertragbaren und unentziehbaren Aufgaben des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Verwaltungsrats festgelegt. Diesbezüglich finden sich viele Änderungen im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neuen THGB.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Die Kontrollestelle ist nach geltendem THGB das dritte obligatorische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 der AG. Jedoch wird die Organeigenschaft der Kontrollestelle durch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das neue THGB abgeschafft. Die Aufgaben der Kontrollstelle (die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Überprüfung der Finanzen der AG und des Konzerns) müssen nunmehr von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unabhängigen Absschlussprüfern durchgeführt werden (§ 397 ff neue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THGB).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Pulasli, Hasan, Yeni Sirketler Hukuku Genel Esaslar, Ankara 2012, s. 447 ff.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Kervankiran</w:t>
      </w:r>
      <w:r>
        <w:rPr>
          <w:rFonts w:ascii="TimesNewRoman" w:hAnsi="TimesNewRoman" w:cs="TimesNewRoman"/>
          <w:sz w:val="18"/>
          <w:szCs w:val="18"/>
        </w:rPr>
        <w:t>, Haftungsbeschränkungen im türkischen Gesellschaftsrecht, s.324.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Köksal, Aytac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TTK Tasarisinin 397 ile 406 Maddeleri Arasinda Düzenlenen Denetcinin Anonim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Ortakligin Bir Organi Olup Olmadigi Sorunu, Prof. Dr. Fırat Öztan’a Armağan, Cilt 1. ( 2010), s.1387–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1409.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333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ABKÜRZUNGSVERZEICHNIS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Abs Absatz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 Aktiengesellschaft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AktG Aktiengesetz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Anm Anmerkung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 Aufsichtsrat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 Artikel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bzw beziehungsweise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 Europäische Union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f, ff und der/die folgende(n)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gem gemäß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GmbH Gesellschaft mit beschränkter Haftung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HGB Handelsgesetzbuch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Seite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THGB Türkisches Handelsgesetzbuch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THGB-E Türkisches Handelsgesetzbuch – Entwurf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usw und so weiter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 zum Beispiel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LITERATURVERZEICHNIS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Bilgili, Fatih : </w:t>
      </w:r>
      <w:r>
        <w:rPr>
          <w:rFonts w:ascii="TimesNewRoman" w:hAnsi="TimesNewRoman" w:cs="TimesNewRoman"/>
          <w:sz w:val="24"/>
          <w:szCs w:val="24"/>
        </w:rPr>
        <w:t>Sirketler Hukuku, Mart 2012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Ceker, Mustafa </w:t>
      </w:r>
      <w:r>
        <w:rPr>
          <w:rFonts w:ascii="TimesNewRoman" w:hAnsi="TimesNewRoman" w:cs="TimesNewRoman"/>
          <w:sz w:val="24"/>
          <w:szCs w:val="24"/>
        </w:rPr>
        <w:t>:Ticaret Hukuku, 5.Baski, 2013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Hirsch, Ernst E </w:t>
      </w:r>
      <w:r>
        <w:rPr>
          <w:rFonts w:ascii="TimesNewRoman" w:hAnsi="TimesNewRoman" w:cs="TimesNewRoman"/>
          <w:sz w:val="24"/>
          <w:szCs w:val="24"/>
        </w:rPr>
        <w:t>:Das türkische Aktien- und GmbH-Recht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(1993)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Giray, Rabia Eda </w:t>
      </w:r>
      <w:r>
        <w:rPr>
          <w:rFonts w:ascii="TimesNewRoman" w:hAnsi="TimesNewRoman" w:cs="TimesNewRoman"/>
          <w:sz w:val="24"/>
          <w:szCs w:val="24"/>
        </w:rPr>
        <w:t>:Şirketler Hukuku (Ed. Karahan, Sami) 2012.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Kervankiran, Emrah </w:t>
      </w:r>
      <w:r>
        <w:rPr>
          <w:rFonts w:ascii="TimesNewRoman" w:hAnsi="TimesNewRoman" w:cs="TimesNewRoman"/>
          <w:sz w:val="24"/>
          <w:szCs w:val="24"/>
        </w:rPr>
        <w:t>:Haftungsbeschränkung im türkischen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Gesellschaftsrecht – Ein Rechtsvergleich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(2007) (Diss)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Köksal, Aytac :</w:t>
      </w:r>
      <w:r>
        <w:rPr>
          <w:rFonts w:ascii="TimesNewRoman" w:hAnsi="TimesNewRoman" w:cs="TimesNewRoman"/>
          <w:sz w:val="24"/>
          <w:szCs w:val="24"/>
        </w:rPr>
        <w:t>TTK Tasarisinin 397 ile 406 Maddeleri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Arasinda Düzenlenen Denetcinin Anonim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Ortakligin Bir Organi Olup Olmadigi Sorunu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(Das Problem, ist der Abschlußprüfer ein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 der AG oder nicht nach neue THGB-E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Adem Sahin: ÄNDERUNGEN UND NEUERUNGEN IM BEREICH DES TÜRKISCHEN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AKTIENGESELLSCHAFTSRECHTS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334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(§§ 397–406 THGB). Prof. Dr. Fırat Öztan’a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Armağan, Cilt 1. ( 2010), 1387–1409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Memiş, T., Bozbel, S. </w:t>
      </w:r>
      <w:r>
        <w:rPr>
          <w:rFonts w:ascii="TimesNewRoman" w:hAnsi="TimesNewRoman" w:cs="TimesNewRoman"/>
          <w:sz w:val="24"/>
          <w:szCs w:val="24"/>
        </w:rPr>
        <w:t>:Yeni 6102 Sayılı Türk Ticaret Kanunu, Cilt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I.,2013.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Poroy/Tekinalp/Camoglu :</w:t>
      </w:r>
      <w:r>
        <w:rPr>
          <w:rFonts w:ascii="TimesNewRoman" w:hAnsi="TimesNewRoman" w:cs="TimesNewRoman"/>
          <w:sz w:val="24"/>
          <w:szCs w:val="24"/>
        </w:rPr>
        <w:t>Ortakliklar ve Kooperatif Hukuku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(Kapitalgesellschaft- und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Genossenschaftsrecht) (2005)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Pulasli, Hasan :</w:t>
      </w:r>
      <w:r>
        <w:rPr>
          <w:rFonts w:ascii="TimesNewRoman" w:hAnsi="TimesNewRoman" w:cs="TimesNewRoman"/>
          <w:sz w:val="24"/>
          <w:szCs w:val="24"/>
        </w:rPr>
        <w:t>Yeni Sirketler Hukuku Genel Esaslar, Ankara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2012.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Tekinalp, Ünal : </w:t>
      </w:r>
      <w:r>
        <w:rPr>
          <w:rFonts w:ascii="TimesNewRoman" w:hAnsi="TimesNewRoman" w:cs="TimesNewRoman"/>
          <w:sz w:val="24"/>
          <w:szCs w:val="24"/>
        </w:rPr>
        <w:t>Kompalität des türkischen und europäschen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Wirtschaftsrechts (2009).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Webseiten</w:t>
      </w:r>
    </w:p>
    <w:p w:rsidR="008D3E8A" w:rsidRDefault="008D3E8A" w:rsidP="008D3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Allgemeine Begründung des Regierungsentwurfs des THGB</w:t>
      </w:r>
    </w:p>
    <w:p w:rsidR="0028510E" w:rsidRDefault="008D3E8A" w:rsidP="008D3E8A">
      <w:r>
        <w:rPr>
          <w:rFonts w:ascii="TimesNewRoman" w:hAnsi="TimesNewRoman" w:cs="TimesNewRoman"/>
          <w:sz w:val="24"/>
          <w:szCs w:val="24"/>
        </w:rPr>
        <w:t>(http://www2.tbmm.gov.tr/d22/1/1-1138.pdf)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13"/>
    <w:rsid w:val="00250513"/>
    <w:rsid w:val="0028510E"/>
    <w:rsid w:val="008D3E8A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2016-03-22T10:12:00Z</dcterms:created>
  <dcterms:modified xsi:type="dcterms:W3CDTF">2016-03-22T10:12:00Z</dcterms:modified>
</cp:coreProperties>
</file>