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65" w:rsidRPr="00106B8C" w:rsidRDefault="001B3496" w:rsidP="00DC0765">
      <w:pPr>
        <w:pStyle w:val="KonuBal"/>
        <w:jc w:val="center"/>
        <w:outlineLvl w:val="0"/>
        <w:rPr>
          <w:rFonts w:ascii="Times New Roman" w:hAnsi="Times New Roman" w:cs="Times New Roman"/>
          <w:color w:val="auto"/>
          <w:sz w:val="36"/>
          <w:szCs w:val="28"/>
          <w:lang w:val="en-US"/>
        </w:rPr>
      </w:pPr>
      <w:bookmarkStart w:id="0" w:name="_Toc354517283"/>
      <w:r w:rsidRPr="00106B8C">
        <w:rPr>
          <w:rFonts w:ascii="Times New Roman" w:hAnsi="Times New Roman" w:cs="Times New Roman"/>
          <w:color w:val="auto"/>
          <w:sz w:val="28"/>
          <w:szCs w:val="22"/>
          <w:lang w:val="en-US"/>
        </w:rPr>
        <w:t>A Different Banking Methods and the Developing in the Turkish Finance Market-Turkish Participation Banking for 2007-2012</w:t>
      </w:r>
      <w:bookmarkEnd w:id="0"/>
    </w:p>
    <w:p w:rsidR="001B3496" w:rsidRPr="00106B8C" w:rsidRDefault="001B3496" w:rsidP="00DC0765">
      <w:pPr>
        <w:pStyle w:val="AralkYok"/>
        <w:spacing w:line="240" w:lineRule="auto"/>
        <w:jc w:val="center"/>
        <w:outlineLvl w:val="1"/>
        <w:rPr>
          <w:rFonts w:ascii="Times New Roman" w:hAnsi="Times New Roman"/>
          <w:b/>
        </w:rPr>
      </w:pPr>
    </w:p>
    <w:p w:rsidR="00DC0765" w:rsidRPr="00106B8C" w:rsidRDefault="001B3496" w:rsidP="00DC0765">
      <w:pPr>
        <w:pStyle w:val="AralkYok"/>
        <w:spacing w:line="240" w:lineRule="auto"/>
        <w:jc w:val="center"/>
        <w:outlineLvl w:val="1"/>
        <w:rPr>
          <w:rFonts w:ascii="Times New Roman" w:hAnsi="Times New Roman"/>
          <w:b/>
          <w:color w:val="000000" w:themeColor="text1"/>
        </w:rPr>
      </w:pPr>
      <w:bookmarkStart w:id="1" w:name="_GoBack"/>
      <w:proofErr w:type="spellStart"/>
      <w:r w:rsidRPr="00106B8C">
        <w:rPr>
          <w:rFonts w:ascii="Times New Roman" w:hAnsi="Times New Roman"/>
          <w:b/>
        </w:rPr>
        <w:t>Ferhat</w:t>
      </w:r>
      <w:proofErr w:type="spellEnd"/>
      <w:r w:rsidRPr="00106B8C">
        <w:rPr>
          <w:rFonts w:ascii="Times New Roman" w:hAnsi="Times New Roman"/>
          <w:b/>
        </w:rPr>
        <w:t xml:space="preserve"> </w:t>
      </w:r>
      <w:proofErr w:type="spellStart"/>
      <w:r w:rsidRPr="00106B8C">
        <w:rPr>
          <w:rFonts w:ascii="Times New Roman" w:hAnsi="Times New Roman"/>
          <w:b/>
        </w:rPr>
        <w:t>Sayım</w:t>
      </w:r>
      <w:proofErr w:type="spellEnd"/>
    </w:p>
    <w:bookmarkEnd w:id="1"/>
    <w:p w:rsidR="00DC0765" w:rsidRPr="00106B8C" w:rsidRDefault="00DC0765" w:rsidP="00DC0765">
      <w:pPr>
        <w:jc w:val="center"/>
        <w:rPr>
          <w:i/>
          <w:color w:val="000000" w:themeColor="text1"/>
          <w:sz w:val="22"/>
          <w:szCs w:val="22"/>
          <w:lang w:val="en-US"/>
        </w:rPr>
      </w:pPr>
      <w:proofErr w:type="spellStart"/>
      <w:r w:rsidRPr="00106B8C">
        <w:rPr>
          <w:i/>
          <w:color w:val="000000" w:themeColor="text1"/>
          <w:sz w:val="22"/>
          <w:szCs w:val="22"/>
          <w:shd w:val="clear" w:color="auto" w:fill="FFFFFF"/>
          <w:lang w:val="en-US"/>
        </w:rPr>
        <w:t>Yalova</w:t>
      </w:r>
      <w:proofErr w:type="spellEnd"/>
      <w:r w:rsidRPr="00106B8C">
        <w:rPr>
          <w:i/>
          <w:color w:val="000000" w:themeColor="text1"/>
          <w:sz w:val="22"/>
          <w:szCs w:val="22"/>
          <w:shd w:val="clear" w:color="auto" w:fill="FFFFFF"/>
          <w:lang w:val="en-US"/>
        </w:rPr>
        <w:t> University</w:t>
      </w:r>
      <w:r w:rsidRPr="00106B8C">
        <w:rPr>
          <w:i/>
          <w:color w:val="000000" w:themeColor="text1"/>
          <w:sz w:val="22"/>
          <w:szCs w:val="22"/>
          <w:lang w:val="en-US"/>
        </w:rPr>
        <w:t xml:space="preserve">, </w:t>
      </w:r>
      <w:proofErr w:type="spellStart"/>
      <w:r w:rsidRPr="00106B8C">
        <w:rPr>
          <w:i/>
          <w:color w:val="000000" w:themeColor="text1"/>
          <w:sz w:val="22"/>
          <w:szCs w:val="22"/>
          <w:shd w:val="clear" w:color="auto" w:fill="FFFFFF"/>
          <w:lang w:val="en-US"/>
        </w:rPr>
        <w:t>Yalova</w:t>
      </w:r>
      <w:proofErr w:type="spellEnd"/>
      <w:r w:rsidRPr="00106B8C">
        <w:rPr>
          <w:i/>
          <w:color w:val="000000" w:themeColor="text1"/>
          <w:sz w:val="22"/>
          <w:szCs w:val="22"/>
          <w:shd w:val="clear" w:color="auto" w:fill="FFFFFF"/>
          <w:lang w:val="en-US"/>
        </w:rPr>
        <w:t>, Turkey</w:t>
      </w:r>
      <w:r w:rsidRPr="00106B8C">
        <w:rPr>
          <w:i/>
          <w:color w:val="000000" w:themeColor="text1"/>
          <w:sz w:val="22"/>
          <w:szCs w:val="22"/>
          <w:lang w:val="en-US"/>
        </w:rPr>
        <w:t xml:space="preserve"> </w:t>
      </w:r>
    </w:p>
    <w:p w:rsidR="00DC0765" w:rsidRPr="00106B8C" w:rsidRDefault="00397D88" w:rsidP="00DC0765">
      <w:pPr>
        <w:jc w:val="center"/>
        <w:rPr>
          <w:color w:val="000000" w:themeColor="text1"/>
          <w:sz w:val="22"/>
          <w:szCs w:val="22"/>
          <w:lang w:val="en-US"/>
        </w:rPr>
      </w:pPr>
      <w:hyperlink r:id="rId9" w:history="1">
        <w:r w:rsidR="001B3496" w:rsidRPr="00106B8C">
          <w:rPr>
            <w:rStyle w:val="Kpr"/>
            <w:sz w:val="22"/>
            <w:szCs w:val="22"/>
            <w:shd w:val="clear" w:color="auto" w:fill="FFFFFF"/>
            <w:lang w:val="en-US" w:eastAsia="en-US" w:bidi="en-US"/>
          </w:rPr>
          <w:t>f_sayim@hotmail.com</w:t>
        </w:r>
      </w:hyperlink>
    </w:p>
    <w:p w:rsidR="00DC0765" w:rsidRPr="00106B8C" w:rsidRDefault="00DC0765" w:rsidP="00DC0765">
      <w:pPr>
        <w:jc w:val="center"/>
        <w:rPr>
          <w:color w:val="000000" w:themeColor="text1"/>
          <w:sz w:val="22"/>
          <w:szCs w:val="22"/>
          <w:lang w:val="en-US"/>
        </w:rPr>
      </w:pPr>
    </w:p>
    <w:p w:rsidR="00285B9A" w:rsidRPr="00106B8C" w:rsidRDefault="00285B9A" w:rsidP="000C0831">
      <w:pPr>
        <w:jc w:val="both"/>
        <w:rPr>
          <w:b/>
          <w:noProof/>
          <w:sz w:val="22"/>
          <w:szCs w:val="22"/>
          <w:lang w:val="en-US"/>
        </w:rPr>
      </w:pPr>
    </w:p>
    <w:p w:rsidR="00B976C6" w:rsidRPr="00106B8C" w:rsidRDefault="0027743E" w:rsidP="00B976C6">
      <w:pPr>
        <w:ind w:left="680" w:right="680"/>
        <w:jc w:val="center"/>
        <w:rPr>
          <w:b/>
          <w:noProof/>
          <w:sz w:val="22"/>
          <w:szCs w:val="22"/>
          <w:lang w:val="en-US"/>
        </w:rPr>
      </w:pPr>
      <w:r w:rsidRPr="00106B8C">
        <w:rPr>
          <w:b/>
          <w:noProof/>
          <w:sz w:val="22"/>
          <w:szCs w:val="22"/>
          <w:lang w:val="en-US"/>
        </w:rPr>
        <w:t>Abstract</w:t>
      </w:r>
    </w:p>
    <w:p w:rsidR="001B3496" w:rsidRPr="00106B8C" w:rsidRDefault="001B3496" w:rsidP="001B3496">
      <w:pPr>
        <w:ind w:right="680"/>
        <w:jc w:val="both"/>
        <w:rPr>
          <w:noProof/>
          <w:sz w:val="22"/>
          <w:szCs w:val="22"/>
          <w:lang w:val="en-US"/>
        </w:rPr>
      </w:pPr>
    </w:p>
    <w:p w:rsidR="001B3496" w:rsidRPr="00106B8C" w:rsidRDefault="001B3496" w:rsidP="001B3496">
      <w:pPr>
        <w:ind w:left="680" w:right="680"/>
        <w:jc w:val="both"/>
        <w:rPr>
          <w:noProof/>
          <w:sz w:val="22"/>
          <w:szCs w:val="22"/>
          <w:lang w:val="en-US"/>
        </w:rPr>
      </w:pPr>
      <w:r w:rsidRPr="00106B8C">
        <w:rPr>
          <w:sz w:val="22"/>
          <w:szCs w:val="22"/>
          <w:lang w:val="en-US"/>
        </w:rPr>
        <w:t xml:space="preserve">Financial systems and institutions has become the most important reason in the fragility of world economic system. The formation and development process of the financial structure also constitutes the infrastructure of the world economic system. The course of the financial system and development has led to debate with the financial crisis in 2008-2011. One of the discussion topics in order to eliminate problems caused by the conventional banking system is alternative financing systems. In Turkey, the corporations based on profit share system which are named participation based banking spotlight, if the alternative banking systems are considered. These banks which determine different principles in the risk distribution of the portfolio acquired are analyzed more nowadays. Participation based banks are placed in almost every regulation related to banking terms and get their legal infrastructure more stable in the banking legislation of Turkey. </w:t>
      </w:r>
    </w:p>
    <w:p w:rsidR="001B3496" w:rsidRPr="00106B8C" w:rsidRDefault="001B3496" w:rsidP="001B3496">
      <w:pPr>
        <w:ind w:left="680" w:right="680"/>
        <w:jc w:val="both"/>
        <w:rPr>
          <w:noProof/>
          <w:sz w:val="22"/>
          <w:szCs w:val="22"/>
          <w:lang w:val="en-US"/>
        </w:rPr>
      </w:pPr>
    </w:p>
    <w:p w:rsidR="001B3496" w:rsidRPr="00106B8C" w:rsidRDefault="001B3496" w:rsidP="001B3496">
      <w:pPr>
        <w:ind w:left="680" w:right="680"/>
        <w:jc w:val="both"/>
        <w:rPr>
          <w:noProof/>
          <w:sz w:val="22"/>
          <w:szCs w:val="22"/>
          <w:lang w:val="en-US"/>
        </w:rPr>
      </w:pPr>
      <w:r w:rsidRPr="00106B8C">
        <w:rPr>
          <w:sz w:val="22"/>
          <w:szCs w:val="22"/>
          <w:lang w:val="en-US"/>
        </w:rPr>
        <w:t xml:space="preserve">This study is a 2007-2012 part of research series. We try to find out the place and the importance of participation based banking with the various sub-headings especially in Turkey. We examine the comparative review 2007-2012 data of participation banks which Collected Turkish Currency and Foreign Currency Funds, Bank Loan Funds, Total Assets, Equity and Net Profit figures for the four participation banks in Turkey. </w:t>
      </w:r>
      <w:bookmarkStart w:id="2" w:name="OLE_LINK37"/>
      <w:r w:rsidRPr="00106B8C">
        <w:rPr>
          <w:sz w:val="22"/>
          <w:szCs w:val="22"/>
          <w:lang w:val="en-US"/>
        </w:rPr>
        <w:t xml:space="preserve">We are comparing the total figures with deposit banks </w:t>
      </w:r>
      <w:bookmarkEnd w:id="2"/>
      <w:r w:rsidRPr="00106B8C">
        <w:rPr>
          <w:sz w:val="22"/>
          <w:szCs w:val="22"/>
          <w:lang w:val="en-US"/>
        </w:rPr>
        <w:t>for the same period.</w:t>
      </w:r>
    </w:p>
    <w:p w:rsidR="001B3496" w:rsidRPr="00106B8C" w:rsidRDefault="001B3496" w:rsidP="001B3496">
      <w:pPr>
        <w:ind w:left="680" w:right="680"/>
        <w:jc w:val="both"/>
        <w:rPr>
          <w:noProof/>
          <w:sz w:val="22"/>
          <w:szCs w:val="22"/>
          <w:lang w:val="en-US"/>
        </w:rPr>
      </w:pPr>
    </w:p>
    <w:p w:rsidR="001B3496" w:rsidRPr="00106B8C" w:rsidRDefault="001B3496" w:rsidP="001B3496">
      <w:pPr>
        <w:ind w:left="680" w:right="680"/>
        <w:jc w:val="both"/>
        <w:rPr>
          <w:noProof/>
          <w:sz w:val="22"/>
          <w:szCs w:val="22"/>
          <w:lang w:val="en-US"/>
        </w:rPr>
      </w:pPr>
      <w:proofErr w:type="gramStart"/>
      <w:r w:rsidRPr="00106B8C">
        <w:rPr>
          <w:sz w:val="22"/>
          <w:szCs w:val="22"/>
          <w:lang w:val="en-US"/>
        </w:rPr>
        <w:t>One of our primary goals in this essay, to study in the framework of the alternatives of the financial institutions and options.</w:t>
      </w:r>
      <w:proofErr w:type="gramEnd"/>
      <w:r w:rsidRPr="00106B8C">
        <w:rPr>
          <w:sz w:val="22"/>
          <w:szCs w:val="22"/>
          <w:lang w:val="en-US"/>
        </w:rPr>
        <w:t xml:space="preserve"> These options could be asserted as a vibrant and viable well established choice as a non-western model- different from the classical western interest based dominant banking system in the globe. Moreover, that participation banking systems’ grow and increase with its resourceful bulk of transactions and shares within the financial market. In addition, we intended to delineate the basic functioning structures, rules, norms, principles, procedures, operations of that alternate banking system in the financial market.</w:t>
      </w:r>
    </w:p>
    <w:p w:rsidR="001B3496" w:rsidRPr="00106B8C" w:rsidRDefault="001B3496" w:rsidP="001B3496">
      <w:pPr>
        <w:ind w:left="680" w:right="680"/>
        <w:jc w:val="both"/>
        <w:rPr>
          <w:noProof/>
          <w:sz w:val="22"/>
          <w:szCs w:val="22"/>
          <w:lang w:val="en-US"/>
        </w:rPr>
      </w:pPr>
    </w:p>
    <w:p w:rsidR="001B3496" w:rsidRPr="00106B8C" w:rsidRDefault="001B3496" w:rsidP="001B3496">
      <w:pPr>
        <w:ind w:left="680" w:right="680"/>
        <w:jc w:val="both"/>
        <w:rPr>
          <w:noProof/>
          <w:sz w:val="22"/>
          <w:szCs w:val="22"/>
          <w:lang w:val="en-US"/>
        </w:rPr>
      </w:pPr>
      <w:r w:rsidRPr="00106B8C">
        <w:rPr>
          <w:sz w:val="22"/>
          <w:szCs w:val="22"/>
          <w:lang w:val="en-US"/>
        </w:rPr>
        <w:t>After that, we have applied as a descriptive, explanatory, discursive and comparative analytic methodology to expound the matter in detail. Having gathered literature reviews then we have concentrated on Turkey as a model state in that banking system practice; at which, what kind of instruments and tools used by referring basic indicators, data and information related to the growth, flourish and share of that sector within the total banking and financial system in Turkey.</w:t>
      </w:r>
    </w:p>
    <w:p w:rsidR="001B3496" w:rsidRPr="00106B8C" w:rsidRDefault="001B3496" w:rsidP="001B3496">
      <w:pPr>
        <w:ind w:left="680" w:right="680"/>
        <w:jc w:val="both"/>
        <w:rPr>
          <w:noProof/>
          <w:sz w:val="22"/>
          <w:szCs w:val="22"/>
          <w:lang w:val="en-US"/>
        </w:rPr>
      </w:pPr>
    </w:p>
    <w:p w:rsidR="001B3496" w:rsidRPr="00106B8C" w:rsidRDefault="001B3496" w:rsidP="001B3496">
      <w:pPr>
        <w:ind w:left="680" w:right="680"/>
        <w:jc w:val="both"/>
        <w:rPr>
          <w:noProof/>
          <w:sz w:val="22"/>
          <w:szCs w:val="22"/>
          <w:lang w:val="en-US"/>
        </w:rPr>
      </w:pPr>
      <w:r w:rsidRPr="00106B8C">
        <w:rPr>
          <w:sz w:val="22"/>
          <w:szCs w:val="22"/>
          <w:lang w:val="en-US"/>
        </w:rPr>
        <w:t>Furthermore, that participation banking system positions, researched in the country.  Thus, it is explicated more concerns on by investigating its credits, deposits, financing formulation systems and commitments with the banks, customers and investors of the alternate banking system in the country’s financial order. At last, we have attempted to clarify and summarize the concepts, definitions, expositions, demonstrations, rules, assets, liabilities, equities etc</w:t>
      </w:r>
      <w:proofErr w:type="gramStart"/>
      <w:r w:rsidRPr="00106B8C">
        <w:rPr>
          <w:sz w:val="22"/>
          <w:szCs w:val="22"/>
          <w:lang w:val="en-US"/>
        </w:rPr>
        <w:t>..</w:t>
      </w:r>
      <w:proofErr w:type="gramEnd"/>
      <w:r w:rsidRPr="00106B8C">
        <w:rPr>
          <w:sz w:val="22"/>
          <w:szCs w:val="22"/>
          <w:lang w:val="en-US"/>
        </w:rPr>
        <w:t xml:space="preserve"> by giving special cultural </w:t>
      </w:r>
      <w:r w:rsidRPr="00106B8C">
        <w:rPr>
          <w:sz w:val="22"/>
          <w:szCs w:val="22"/>
          <w:lang w:val="en-US"/>
        </w:rPr>
        <w:lastRenderedPageBreak/>
        <w:t>internalizations about the organizational and operational activities of the participation banks both similarities and discrepancies, too; so as to draw the attentions of the new researchers and studies in that situation.</w:t>
      </w:r>
    </w:p>
    <w:p w:rsidR="001B3496" w:rsidRPr="00106B8C" w:rsidRDefault="001B3496" w:rsidP="001B3496">
      <w:pPr>
        <w:ind w:left="680" w:right="680"/>
        <w:jc w:val="both"/>
        <w:rPr>
          <w:noProof/>
          <w:sz w:val="22"/>
          <w:szCs w:val="22"/>
          <w:lang w:val="en-US"/>
        </w:rPr>
      </w:pPr>
    </w:p>
    <w:p w:rsidR="001B3496" w:rsidRPr="00106B8C" w:rsidRDefault="001B3496" w:rsidP="001B3496">
      <w:pPr>
        <w:ind w:left="680" w:right="680"/>
        <w:jc w:val="both"/>
        <w:rPr>
          <w:noProof/>
          <w:sz w:val="22"/>
          <w:szCs w:val="22"/>
          <w:lang w:val="en-US"/>
        </w:rPr>
      </w:pPr>
      <w:r w:rsidRPr="00106B8C">
        <w:rPr>
          <w:b/>
          <w:sz w:val="22"/>
          <w:szCs w:val="22"/>
          <w:lang w:val="en-US"/>
        </w:rPr>
        <w:t>Keywords:</w:t>
      </w:r>
      <w:bookmarkStart w:id="3" w:name="OLE_LINK7"/>
      <w:bookmarkStart w:id="4" w:name="OLE_LINK8"/>
      <w:bookmarkStart w:id="5" w:name="OLE_LINK42"/>
      <w:bookmarkStart w:id="6" w:name="OLE_LINK43"/>
      <w:r w:rsidRPr="00106B8C">
        <w:rPr>
          <w:sz w:val="22"/>
          <w:szCs w:val="22"/>
          <w:lang w:val="en-US"/>
        </w:rPr>
        <w:t xml:space="preserve"> Bank</w:t>
      </w:r>
      <w:bookmarkEnd w:id="3"/>
      <w:bookmarkEnd w:id="4"/>
      <w:r w:rsidRPr="00106B8C">
        <w:rPr>
          <w:sz w:val="22"/>
          <w:szCs w:val="22"/>
          <w:lang w:val="en-US"/>
        </w:rPr>
        <w:t>, Finance Market, Finance Sector, Participation Bank, Islamic Bank, Interest Free Banking, Alternative Banking System</w:t>
      </w:r>
      <w:bookmarkEnd w:id="5"/>
      <w:bookmarkEnd w:id="6"/>
    </w:p>
    <w:p w:rsidR="00285B9A" w:rsidRPr="00106B8C" w:rsidRDefault="00285B9A" w:rsidP="000C0831">
      <w:pPr>
        <w:ind w:left="567" w:right="567"/>
        <w:jc w:val="both"/>
        <w:rPr>
          <w:noProof/>
          <w:color w:val="000000"/>
          <w:lang w:val="en-US"/>
        </w:rPr>
      </w:pPr>
      <w:r w:rsidRPr="00106B8C">
        <w:rPr>
          <w:noProof/>
          <w:color w:val="000000"/>
          <w:lang w:val="en-US"/>
        </w:rPr>
        <w:t xml:space="preserve"> </w:t>
      </w:r>
    </w:p>
    <w:p w:rsidR="001B3496" w:rsidRPr="00106B8C" w:rsidRDefault="001B3496" w:rsidP="000C0831">
      <w:pPr>
        <w:jc w:val="both"/>
        <w:rPr>
          <w:b/>
          <w:noProof/>
          <w:lang w:val="en-US"/>
        </w:rPr>
      </w:pPr>
    </w:p>
    <w:p w:rsidR="001B3496" w:rsidRPr="00106B8C" w:rsidRDefault="001B3496" w:rsidP="000C0831">
      <w:pPr>
        <w:jc w:val="both"/>
        <w:rPr>
          <w:b/>
          <w:noProof/>
          <w:lang w:val="en-US"/>
        </w:rPr>
      </w:pPr>
    </w:p>
    <w:p w:rsidR="00285B9A" w:rsidRPr="00106B8C" w:rsidRDefault="00285B9A" w:rsidP="000C0831">
      <w:pPr>
        <w:jc w:val="both"/>
        <w:rPr>
          <w:b/>
          <w:noProof/>
          <w:lang w:val="en-US"/>
        </w:rPr>
      </w:pPr>
      <w:r w:rsidRPr="00106B8C">
        <w:rPr>
          <w:b/>
          <w:noProof/>
          <w:lang w:val="en-US"/>
        </w:rPr>
        <w:t>Introduction</w:t>
      </w:r>
    </w:p>
    <w:p w:rsidR="00285B9A" w:rsidRPr="00106B8C" w:rsidRDefault="00285B9A" w:rsidP="000C0831">
      <w:pPr>
        <w:jc w:val="both"/>
        <w:rPr>
          <w:noProof/>
          <w:lang w:val="en-US"/>
        </w:rPr>
      </w:pPr>
    </w:p>
    <w:p w:rsidR="001B3496" w:rsidRPr="00106B8C" w:rsidRDefault="001B3496" w:rsidP="001B3496">
      <w:pPr>
        <w:pStyle w:val="AralkYok"/>
        <w:jc w:val="both"/>
        <w:rPr>
          <w:rFonts w:ascii="Times New Roman" w:hAnsi="Times New Roman"/>
          <w:sz w:val="24"/>
        </w:rPr>
      </w:pPr>
      <w:r w:rsidRPr="00106B8C">
        <w:rPr>
          <w:rFonts w:ascii="Times New Roman" w:hAnsi="Times New Roman"/>
          <w:sz w:val="24"/>
        </w:rPr>
        <w:t>With their former name Private Finance Institutions, or with the new one, Participation Banks have no authority to collect deposits but receive fund through special current accounts or profit and loss participation accounts, and utilize fund through methods such as production support, community of profit and loss, financial leasing, buying and selling documents against payment. Even if these institutions are having been allowed in Turkey since 1984, they have been limited in terms of both quantity and scale (Central Bank of Republic of Turkey, 2005).</w:t>
      </w:r>
    </w:p>
    <w:p w:rsidR="001B3496" w:rsidRPr="00106B8C" w:rsidRDefault="001B3496" w:rsidP="001B3496">
      <w:pPr>
        <w:pStyle w:val="AralkYok"/>
        <w:jc w:val="both"/>
        <w:rPr>
          <w:rFonts w:ascii="Times New Roman" w:hAnsi="Times New Roman"/>
          <w:sz w:val="24"/>
        </w:rPr>
      </w:pPr>
    </w:p>
    <w:p w:rsidR="001B3496" w:rsidRPr="00106B8C" w:rsidRDefault="001B3496" w:rsidP="001B3496">
      <w:pPr>
        <w:pStyle w:val="AralkYok"/>
        <w:jc w:val="both"/>
        <w:rPr>
          <w:rFonts w:ascii="Times New Roman" w:hAnsi="Times New Roman"/>
          <w:sz w:val="24"/>
        </w:rPr>
      </w:pPr>
      <w:r w:rsidRPr="00106B8C">
        <w:rPr>
          <w:rFonts w:ascii="Times New Roman" w:hAnsi="Times New Roman"/>
          <w:sz w:val="24"/>
        </w:rPr>
        <w:t xml:space="preserve">The constitution of the legal base for interest free banking in our country is dated as the end of the year 1983. With the decree dated 16.12.1983 and numbered 83/7506, the foundation of Private Finance Institutions is laid. </w:t>
      </w:r>
    </w:p>
    <w:p w:rsidR="001B3496" w:rsidRPr="00106B8C" w:rsidRDefault="001B3496" w:rsidP="001B3496">
      <w:pPr>
        <w:pStyle w:val="AralkYok"/>
        <w:jc w:val="both"/>
        <w:rPr>
          <w:rFonts w:ascii="Times New Roman" w:hAnsi="Times New Roman"/>
          <w:sz w:val="24"/>
        </w:rPr>
      </w:pPr>
      <w:r w:rsidRPr="00106B8C">
        <w:rPr>
          <w:rFonts w:ascii="Times New Roman" w:hAnsi="Times New Roman"/>
          <w:sz w:val="24"/>
        </w:rPr>
        <w:t>Participation Banks are banks operating in financial sector, financing real economy and offering banking service. Participation banks collect funds from saving owners, use them in industrial and trade sectors according to the interest free financing principles and shares the profit or loss with saving owners. The word “participation” in their name expresses that this type of banking is based on the principle of participation to profit and loss (The Participation Banks Association of Turkey-FAQ, 2010).</w:t>
      </w:r>
    </w:p>
    <w:p w:rsidR="001B3496" w:rsidRPr="00106B8C" w:rsidRDefault="001B3496" w:rsidP="001B3496">
      <w:pPr>
        <w:pStyle w:val="AralkYok"/>
        <w:jc w:val="both"/>
        <w:rPr>
          <w:rFonts w:ascii="Times New Roman" w:hAnsi="Times New Roman"/>
          <w:sz w:val="24"/>
        </w:rPr>
      </w:pPr>
      <w:r w:rsidRPr="00106B8C">
        <w:rPr>
          <w:rFonts w:ascii="Times New Roman" w:hAnsi="Times New Roman"/>
          <w:sz w:val="24"/>
        </w:rPr>
        <w:t xml:space="preserve">Participation banks serve as a means of transformation of saving to capital. Proportional to their advantage of working with a greater number of branches, they also give standard banking services such as investment consulting, safe deposit box, money transfer service, giving check book, mediating cash proceeds </w:t>
      </w:r>
      <w:proofErr w:type="spellStart"/>
      <w:r w:rsidRPr="00106B8C">
        <w:rPr>
          <w:rFonts w:ascii="Times New Roman" w:hAnsi="Times New Roman"/>
          <w:sz w:val="24"/>
        </w:rPr>
        <w:t>etc</w:t>
      </w:r>
      <w:proofErr w:type="spellEnd"/>
      <w:r w:rsidRPr="00106B8C">
        <w:rPr>
          <w:rFonts w:ascii="Times New Roman" w:hAnsi="Times New Roman"/>
          <w:sz w:val="24"/>
        </w:rPr>
        <w:t xml:space="preserve"> (</w:t>
      </w:r>
      <w:proofErr w:type="spellStart"/>
      <w:r w:rsidRPr="00106B8C">
        <w:rPr>
          <w:rFonts w:ascii="Times New Roman" w:hAnsi="Times New Roman"/>
          <w:sz w:val="24"/>
        </w:rPr>
        <w:t>Battal</w:t>
      </w:r>
      <w:proofErr w:type="spellEnd"/>
      <w:r w:rsidRPr="00106B8C">
        <w:rPr>
          <w:rFonts w:ascii="Times New Roman" w:hAnsi="Times New Roman"/>
          <w:sz w:val="24"/>
        </w:rPr>
        <w:t>, 2007, p. 57). Today, variety of such services given by participation banks is equal or similar to the standards of other banks.</w:t>
      </w:r>
    </w:p>
    <w:p w:rsidR="001B3496" w:rsidRPr="00106B8C" w:rsidRDefault="001B3496" w:rsidP="001B3496">
      <w:pPr>
        <w:pStyle w:val="AralkYok"/>
        <w:jc w:val="both"/>
        <w:rPr>
          <w:rFonts w:ascii="Times New Roman" w:hAnsi="Times New Roman"/>
          <w:sz w:val="24"/>
        </w:rPr>
      </w:pPr>
      <w:r w:rsidRPr="00106B8C">
        <w:rPr>
          <w:rFonts w:ascii="Times New Roman" w:hAnsi="Times New Roman"/>
          <w:sz w:val="24"/>
        </w:rPr>
        <w:t xml:space="preserve">Now, in this article, we are going to elaborate as the unit of analysis, the Participation Banks, new financial instruments. In the middle of the first quarter of 21th century, there has been occurred a World Financial Crises. In fact, </w:t>
      </w:r>
      <w:proofErr w:type="gramStart"/>
      <w:r w:rsidRPr="00106B8C">
        <w:rPr>
          <w:rFonts w:ascii="Times New Roman" w:hAnsi="Times New Roman"/>
          <w:sz w:val="24"/>
        </w:rPr>
        <w:t>that crises</w:t>
      </w:r>
      <w:proofErr w:type="gramEnd"/>
      <w:r w:rsidRPr="00106B8C">
        <w:rPr>
          <w:rFonts w:ascii="Times New Roman" w:hAnsi="Times New Roman"/>
          <w:sz w:val="24"/>
        </w:rPr>
        <w:t xml:space="preserve"> mainly influenced the capitals of the financial center in the West. For those countries which heavily affected by this financial crises, forced them look for new financial instruments and systems. For that reason, it leaded to the quest for alternative models, opportunities or proposals.</w:t>
      </w:r>
    </w:p>
    <w:p w:rsidR="001B3496" w:rsidRPr="00106B8C" w:rsidRDefault="001B3496" w:rsidP="001B3496">
      <w:pPr>
        <w:pStyle w:val="AralkYok"/>
        <w:jc w:val="both"/>
        <w:rPr>
          <w:rFonts w:ascii="Times New Roman" w:hAnsi="Times New Roman"/>
          <w:sz w:val="24"/>
        </w:rPr>
      </w:pPr>
      <w:r w:rsidRPr="00106B8C">
        <w:rPr>
          <w:rFonts w:ascii="Times New Roman" w:hAnsi="Times New Roman"/>
          <w:sz w:val="24"/>
        </w:rPr>
        <w:t xml:space="preserve">The fiscal and financial crises, especially in the European Union Member States, it may be due to of the rigidity of Maastricht Euro criteria, is deepening and deteriorates further. So we think that it proves the need for searching new sort of financial innovations, techniques and tools. It is also our modest propositions that might be recorded some theoretical and practical contributions and amendments to overcome these current troublesome critical financial problematic.  </w:t>
      </w:r>
    </w:p>
    <w:p w:rsidR="001B3496" w:rsidRPr="00106B8C" w:rsidRDefault="001B3496" w:rsidP="001B3496">
      <w:pPr>
        <w:pStyle w:val="AralkYok"/>
        <w:jc w:val="both"/>
        <w:rPr>
          <w:rFonts w:ascii="Times New Roman" w:hAnsi="Times New Roman"/>
          <w:sz w:val="24"/>
        </w:rPr>
      </w:pPr>
      <w:proofErr w:type="gramStart"/>
      <w:r w:rsidRPr="00106B8C">
        <w:rPr>
          <w:rFonts w:ascii="Times New Roman" w:hAnsi="Times New Roman"/>
          <w:sz w:val="24"/>
        </w:rPr>
        <w:t>One of our primary goals in this essay, to study in the framework of the alternatives of the financial institutions and options.</w:t>
      </w:r>
      <w:proofErr w:type="gramEnd"/>
      <w:r w:rsidRPr="00106B8C">
        <w:rPr>
          <w:rFonts w:ascii="Times New Roman" w:hAnsi="Times New Roman"/>
          <w:sz w:val="24"/>
        </w:rPr>
        <w:t xml:space="preserve"> These options could be asserted as a vibrant and viable well established choice as a non-western model- different from the classical western interest based dominant banking system in the globe. </w:t>
      </w:r>
      <w:proofErr w:type="gramStart"/>
      <w:r w:rsidRPr="00106B8C">
        <w:rPr>
          <w:rFonts w:ascii="Times New Roman" w:hAnsi="Times New Roman"/>
          <w:sz w:val="24"/>
        </w:rPr>
        <w:t xml:space="preserve">Moreover, that participation banking systems’ growth, advancement and increase with its resourceful bulk of transactions and </w:t>
      </w:r>
      <w:r w:rsidRPr="00106B8C">
        <w:rPr>
          <w:rFonts w:ascii="Times New Roman" w:hAnsi="Times New Roman"/>
          <w:sz w:val="24"/>
        </w:rPr>
        <w:lastRenderedPageBreak/>
        <w:t>shares within the financial market.</w:t>
      </w:r>
      <w:proofErr w:type="gramEnd"/>
      <w:r w:rsidRPr="00106B8C">
        <w:rPr>
          <w:rFonts w:ascii="Times New Roman" w:hAnsi="Times New Roman"/>
          <w:sz w:val="24"/>
        </w:rPr>
        <w:t xml:space="preserve"> In addition, we intended to delineate the basic functioning structures, rules, norms, principles, procedures, operations of the Alternate banking system in the financial market.</w:t>
      </w:r>
    </w:p>
    <w:p w:rsidR="001B3496" w:rsidRPr="00106B8C" w:rsidRDefault="001B3496" w:rsidP="001B3496">
      <w:pPr>
        <w:pStyle w:val="AralkYok"/>
        <w:jc w:val="both"/>
        <w:rPr>
          <w:rFonts w:ascii="Times New Roman" w:hAnsi="Times New Roman"/>
          <w:sz w:val="24"/>
        </w:rPr>
      </w:pPr>
    </w:p>
    <w:p w:rsidR="001B3496" w:rsidRPr="00106B8C" w:rsidRDefault="001B3496" w:rsidP="001B3496">
      <w:pPr>
        <w:pStyle w:val="AralkYok"/>
        <w:jc w:val="both"/>
        <w:rPr>
          <w:rFonts w:ascii="Times New Roman" w:hAnsi="Times New Roman"/>
          <w:sz w:val="24"/>
        </w:rPr>
      </w:pPr>
      <w:r w:rsidRPr="00106B8C">
        <w:rPr>
          <w:rFonts w:ascii="Times New Roman" w:hAnsi="Times New Roman"/>
          <w:sz w:val="24"/>
        </w:rPr>
        <w:t>After that, we have applied as a descriptive, explanatory, discursive and comparative analytic methodology to expound the matter in detail. Having gathered literature reviews then we have concentrated on Turkey as a model state in that banking system practice; at which, what kind of instruments and tools used by referring basic indicators, data and information related to the growth, flourish and share of that sector within the total banking and financial system in Turkey.</w:t>
      </w:r>
    </w:p>
    <w:p w:rsidR="001B3496" w:rsidRPr="00106B8C" w:rsidRDefault="001B3496" w:rsidP="001B3496">
      <w:pPr>
        <w:pStyle w:val="AralkYok"/>
        <w:jc w:val="both"/>
        <w:rPr>
          <w:rFonts w:ascii="Times New Roman" w:hAnsi="Times New Roman"/>
          <w:sz w:val="24"/>
        </w:rPr>
      </w:pPr>
    </w:p>
    <w:p w:rsidR="001B3496" w:rsidRPr="00106B8C" w:rsidRDefault="001B3496" w:rsidP="001B3496">
      <w:pPr>
        <w:pStyle w:val="AralkYok"/>
        <w:jc w:val="both"/>
        <w:rPr>
          <w:rFonts w:ascii="Times New Roman" w:hAnsi="Times New Roman"/>
          <w:sz w:val="24"/>
        </w:rPr>
      </w:pPr>
      <w:r w:rsidRPr="00106B8C">
        <w:rPr>
          <w:rFonts w:ascii="Times New Roman" w:hAnsi="Times New Roman"/>
          <w:sz w:val="24"/>
        </w:rPr>
        <w:t>Furthermore, that participation banking system positions has been researched in the country. Thus, it has been explicated more concerns on how it can be investigated by mentioning its credits, deposits, financing formulation systems  and commitments with the banks, customers and investors of the alternate banking system in the country’s financial order. At last, we have attempted to clarify and summarize the concepts, definitions, expositions, demonstrations, rules, assets, liabilities, equities etc</w:t>
      </w:r>
      <w:proofErr w:type="gramStart"/>
      <w:r w:rsidRPr="00106B8C">
        <w:rPr>
          <w:rFonts w:ascii="Times New Roman" w:hAnsi="Times New Roman"/>
          <w:sz w:val="24"/>
        </w:rPr>
        <w:t>..</w:t>
      </w:r>
      <w:proofErr w:type="gramEnd"/>
      <w:r w:rsidRPr="00106B8C">
        <w:rPr>
          <w:rFonts w:ascii="Times New Roman" w:hAnsi="Times New Roman"/>
          <w:sz w:val="24"/>
        </w:rPr>
        <w:t xml:space="preserve"> by giving special cultural internalizations about the organizational and operational activities of the participation banks both similarities and discrepancies, too;  so as to draw the attentions of the new researchers and studies in that situation.</w:t>
      </w:r>
    </w:p>
    <w:p w:rsidR="001B3496" w:rsidRPr="00106B8C" w:rsidRDefault="001B3496" w:rsidP="001B3496">
      <w:pPr>
        <w:pStyle w:val="AralkYok"/>
        <w:jc w:val="both"/>
        <w:rPr>
          <w:rFonts w:ascii="Times New Roman" w:hAnsi="Times New Roman"/>
          <w:sz w:val="24"/>
        </w:rPr>
      </w:pPr>
    </w:p>
    <w:p w:rsidR="001B3496" w:rsidRPr="00106B8C" w:rsidRDefault="001B3496" w:rsidP="001B3496">
      <w:pPr>
        <w:pStyle w:val="Balk1"/>
        <w:numPr>
          <w:ilvl w:val="0"/>
          <w:numId w:val="29"/>
        </w:numPr>
        <w:tabs>
          <w:tab w:val="left" w:pos="270"/>
        </w:tabs>
        <w:ind w:hanging="540"/>
        <w:rPr>
          <w:sz w:val="24"/>
          <w:szCs w:val="24"/>
        </w:rPr>
      </w:pPr>
      <w:r w:rsidRPr="00106B8C">
        <w:rPr>
          <w:sz w:val="24"/>
          <w:szCs w:val="24"/>
        </w:rPr>
        <w:t>Participation Banking in the Literature</w:t>
      </w:r>
    </w:p>
    <w:p w:rsidR="001B3496" w:rsidRPr="00106B8C" w:rsidRDefault="001B3496" w:rsidP="001B3496">
      <w:pPr>
        <w:jc w:val="both"/>
        <w:rPr>
          <w:lang w:val="en-US" w:eastAsia="lt-LT"/>
        </w:rPr>
      </w:pP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 xml:space="preserve">Banking methods defined in this system called “Islamic Banking” in the international literature are methods such as various kinds of project partnership and others based on prohibition of interest (Moles &amp; </w:t>
      </w:r>
      <w:proofErr w:type="spellStart"/>
      <w:r w:rsidRPr="00106B8C">
        <w:rPr>
          <w:rFonts w:ascii="Times New Roman" w:hAnsi="Times New Roman"/>
          <w:sz w:val="24"/>
          <w:szCs w:val="24"/>
        </w:rPr>
        <w:t>Tery</w:t>
      </w:r>
      <w:proofErr w:type="spellEnd"/>
      <w:r w:rsidRPr="00106B8C">
        <w:rPr>
          <w:rFonts w:ascii="Times New Roman" w:hAnsi="Times New Roman"/>
          <w:sz w:val="24"/>
          <w:szCs w:val="24"/>
        </w:rPr>
        <w:t>, 1999, p. 304). Islamic banks in general referred to the three types of. (1)</w:t>
      </w:r>
      <w:r w:rsidRPr="00106B8C">
        <w:rPr>
          <w:rFonts w:ascii="Times New Roman" w:hAnsi="Times New Roman"/>
          <w:b/>
          <w:sz w:val="24"/>
          <w:szCs w:val="24"/>
        </w:rPr>
        <w:t xml:space="preserve"> </w:t>
      </w:r>
      <w:r w:rsidRPr="00106B8C">
        <w:rPr>
          <w:rFonts w:ascii="Times New Roman" w:hAnsi="Times New Roman"/>
          <w:sz w:val="24"/>
          <w:szCs w:val="24"/>
        </w:rPr>
        <w:t>Development banks, (2) Islamic banks in special purpose, (3) Islamic Commercial Banks. Participation banks may categorize in Islamic Commercial Banks groups (</w:t>
      </w:r>
      <w:proofErr w:type="spellStart"/>
      <w:r w:rsidRPr="00106B8C">
        <w:rPr>
          <w:rFonts w:ascii="Times New Roman" w:hAnsi="Times New Roman"/>
          <w:sz w:val="24"/>
          <w:szCs w:val="24"/>
        </w:rPr>
        <w:t>Canbaş</w:t>
      </w:r>
      <w:proofErr w:type="spellEnd"/>
      <w:r w:rsidRPr="00106B8C">
        <w:rPr>
          <w:rFonts w:ascii="Times New Roman" w:hAnsi="Times New Roman"/>
          <w:sz w:val="24"/>
          <w:szCs w:val="24"/>
        </w:rPr>
        <w:t xml:space="preserve"> &amp; </w:t>
      </w:r>
      <w:proofErr w:type="spellStart"/>
      <w:r w:rsidRPr="00106B8C">
        <w:rPr>
          <w:rFonts w:ascii="Times New Roman" w:hAnsi="Times New Roman"/>
          <w:sz w:val="24"/>
          <w:szCs w:val="24"/>
        </w:rPr>
        <w:t>Doğukanlı</w:t>
      </w:r>
      <w:proofErr w:type="spellEnd"/>
      <w:r w:rsidRPr="00106B8C">
        <w:rPr>
          <w:rFonts w:ascii="Times New Roman" w:hAnsi="Times New Roman"/>
          <w:sz w:val="24"/>
          <w:szCs w:val="24"/>
        </w:rPr>
        <w:t xml:space="preserve">, 2007, p. 237). Islamic bank works as a trading concern and financial intermediary to perform interest-free activities purely according to principles of </w:t>
      </w:r>
      <w:proofErr w:type="spellStart"/>
      <w:r w:rsidRPr="00106B8C">
        <w:rPr>
          <w:rFonts w:ascii="Times New Roman" w:hAnsi="Times New Roman"/>
          <w:sz w:val="24"/>
          <w:szCs w:val="24"/>
        </w:rPr>
        <w:t>Sharia’h</w:t>
      </w:r>
      <w:proofErr w:type="spellEnd"/>
      <w:r w:rsidRPr="00106B8C">
        <w:rPr>
          <w:rFonts w:ascii="Times New Roman" w:hAnsi="Times New Roman"/>
          <w:sz w:val="24"/>
          <w:szCs w:val="24"/>
        </w:rPr>
        <w:t xml:space="preserve">. It is a welfare organization that promotes business and trade activities by pooling the financial resources for the sake of profit and loss for mutual benefit (Ahmad, </w:t>
      </w:r>
      <w:proofErr w:type="spellStart"/>
      <w:r w:rsidRPr="00106B8C">
        <w:rPr>
          <w:rFonts w:ascii="Times New Roman" w:hAnsi="Times New Roman"/>
          <w:sz w:val="24"/>
          <w:szCs w:val="24"/>
        </w:rPr>
        <w:t>Humayoun</w:t>
      </w:r>
      <w:proofErr w:type="spellEnd"/>
      <w:r w:rsidRPr="00106B8C">
        <w:rPr>
          <w:rFonts w:ascii="Times New Roman" w:hAnsi="Times New Roman"/>
          <w:sz w:val="24"/>
          <w:szCs w:val="24"/>
        </w:rPr>
        <w:t>, &amp; Hassan, 2010, p. 8).</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 xml:space="preserve">Participation or Islamic banks are not institutions peculiar to Turkey.  All around the world, especially in Muslim countries, there are many financial bodies operating according to a similar system. Even if the system consisting of such kind of institutions operating on the basis of partnership of profit and loss is known as “interest free banking” or “Islamic banking” in the world, it is taken first as “special finance house”, and then as “participation banking” in the Turkish regulations. </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 xml:space="preserve">The first modern experiment with Islamic banking can be traced to the establishment of the </w:t>
      </w:r>
      <w:proofErr w:type="spellStart"/>
      <w:r w:rsidRPr="00106B8C">
        <w:rPr>
          <w:rFonts w:ascii="Times New Roman" w:hAnsi="Times New Roman"/>
          <w:sz w:val="24"/>
          <w:szCs w:val="24"/>
        </w:rPr>
        <w:t>Mit</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Ghamr</w:t>
      </w:r>
      <w:proofErr w:type="spellEnd"/>
      <w:r w:rsidRPr="00106B8C">
        <w:rPr>
          <w:rFonts w:ascii="Times New Roman" w:hAnsi="Times New Roman"/>
          <w:sz w:val="24"/>
          <w:szCs w:val="24"/>
        </w:rPr>
        <w:t xml:space="preserve"> Savings Bank in Egypt in 1963. During the past four decades, however, Islamic banking has grown rapidly in terms of size and the number of players. Islamic banking is currently practiced in more than 50 countries worldwide. In Iran, Pakistan, and Sudan, only Islamic banking is allowed. In other countries, such as Bangladesh, Egypt, Indonesia, Jordan and Malaysia, Islamic banking co-exists with conventional banking. Islamic banking, moreover, is not limited to Islamic countries (Chong &amp; Liu, 2009, s. 125-126).</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 xml:space="preserve">But, when we look at the books of financial institutions generally we can’t see these institutions among the financial institutions (Rose &amp; Marquis, 2009). (Burton, </w:t>
      </w:r>
      <w:proofErr w:type="spellStart"/>
      <w:r w:rsidRPr="00106B8C">
        <w:rPr>
          <w:rFonts w:ascii="Times New Roman" w:hAnsi="Times New Roman"/>
          <w:sz w:val="24"/>
          <w:szCs w:val="24"/>
        </w:rPr>
        <w:t>Nasiba</w:t>
      </w:r>
      <w:proofErr w:type="spellEnd"/>
      <w:r w:rsidRPr="00106B8C">
        <w:rPr>
          <w:rFonts w:ascii="Times New Roman" w:hAnsi="Times New Roman"/>
          <w:sz w:val="24"/>
          <w:szCs w:val="24"/>
        </w:rPr>
        <w:t>, &amp; Brown, 2009) (</w:t>
      </w:r>
      <w:proofErr w:type="spellStart"/>
      <w:r w:rsidRPr="00106B8C">
        <w:rPr>
          <w:rFonts w:ascii="Times New Roman" w:hAnsi="Times New Roman"/>
          <w:sz w:val="24"/>
          <w:szCs w:val="24"/>
        </w:rPr>
        <w:t>Mishkin</w:t>
      </w:r>
      <w:proofErr w:type="spellEnd"/>
      <w:r w:rsidRPr="00106B8C">
        <w:rPr>
          <w:rFonts w:ascii="Times New Roman" w:hAnsi="Times New Roman"/>
          <w:sz w:val="24"/>
          <w:szCs w:val="24"/>
        </w:rPr>
        <w:t xml:space="preserve"> &amp; Eakins, 2009) On the other hand Islamic banks’ ability to withstand the global downturn has fuelled an expansion of Islamic finance around the </w:t>
      </w:r>
      <w:r w:rsidRPr="00106B8C">
        <w:rPr>
          <w:rFonts w:ascii="Times New Roman" w:hAnsi="Times New Roman"/>
          <w:sz w:val="24"/>
          <w:szCs w:val="24"/>
        </w:rPr>
        <w:lastRenderedPageBreak/>
        <w:t xml:space="preserve">world. Islamic banks have learned that customer loyalty and brand loyalty must be earned (Omar &amp; Ali, 2010, p. 25). </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 xml:space="preserve">The Islamic banking and finance systems in West will continue to grow in areas like </w:t>
      </w:r>
      <w:proofErr w:type="spellStart"/>
      <w:r w:rsidRPr="00106B8C">
        <w:rPr>
          <w:rFonts w:ascii="Times New Roman" w:hAnsi="Times New Roman"/>
          <w:sz w:val="24"/>
          <w:szCs w:val="24"/>
        </w:rPr>
        <w:t>Sukuk</w:t>
      </w:r>
      <w:proofErr w:type="spellEnd"/>
      <w:r w:rsidRPr="00106B8C">
        <w:rPr>
          <w:rFonts w:ascii="Times New Roman" w:hAnsi="Times New Roman"/>
          <w:sz w:val="24"/>
          <w:szCs w:val="24"/>
        </w:rPr>
        <w:t xml:space="preserve">, Takaful, hedging funds, mutual funds, equity &amp; asset management, corporate finance, wealth and asset management. These high street banks are far more accessible and popular, and all offer similar services. The main reason for the struggle is that, the Islamic bank is introducing an entirely new banking model into a country that has been built around an existing banking system that has been around for a long time (Malik &amp; Malik, 2011, p. 184). </w:t>
      </w: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AralkYok"/>
        <w:jc w:val="both"/>
        <w:rPr>
          <w:rFonts w:ascii="Times New Roman" w:hAnsi="Times New Roman"/>
          <w:b/>
          <w:bCs/>
          <w:sz w:val="24"/>
          <w:szCs w:val="24"/>
        </w:rPr>
      </w:pPr>
      <w:r w:rsidRPr="00106B8C">
        <w:rPr>
          <w:rFonts w:ascii="Times New Roman" w:hAnsi="Times New Roman"/>
          <w:b/>
          <w:bCs/>
          <w:sz w:val="24"/>
          <w:szCs w:val="24"/>
        </w:rPr>
        <w:t>Related Legal Regulations in Turkey</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Generally six types of regulations seek to enhance the net social benefits of commercial banks services to the economy(1)safety and soundness regulation, (2)monetary policy regulation, (3)credit allocation regulation, (4)consumer protection regulation, (5)investor protection regulation and (6) entry and chartering regulation (Saunders &amp; Cornett, Financial Markets and Institutions, 2004, p. 379). We will deal with some of these regulations in this study for Turkey.</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 xml:space="preserve">Deposit banks, participation banks, development and investment banks, branches of foreign banks, financial holding firms in Turkey, The Banks Association of Turkey (BAT – </w:t>
      </w:r>
      <w:proofErr w:type="spellStart"/>
      <w:r w:rsidRPr="00106B8C">
        <w:rPr>
          <w:rFonts w:ascii="Times New Roman" w:hAnsi="Times New Roman"/>
          <w:sz w:val="24"/>
          <w:szCs w:val="24"/>
        </w:rPr>
        <w:t>Türkiye</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Bankalar</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Birliği</w:t>
      </w:r>
      <w:proofErr w:type="spellEnd"/>
      <w:r w:rsidRPr="00106B8C">
        <w:rPr>
          <w:rFonts w:ascii="Times New Roman" w:hAnsi="Times New Roman"/>
          <w:sz w:val="24"/>
          <w:szCs w:val="24"/>
        </w:rPr>
        <w:t xml:space="preserve">), The Participation Banks Association of Turkey (PBAT – </w:t>
      </w:r>
      <w:proofErr w:type="spellStart"/>
      <w:r w:rsidRPr="00106B8C">
        <w:rPr>
          <w:rFonts w:ascii="Times New Roman" w:hAnsi="Times New Roman"/>
          <w:sz w:val="24"/>
          <w:szCs w:val="24"/>
        </w:rPr>
        <w:t>Türkiye</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Katılım</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Bankaları</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Birliği</w:t>
      </w:r>
      <w:proofErr w:type="spellEnd"/>
      <w:r w:rsidRPr="00106B8C">
        <w:rPr>
          <w:rFonts w:ascii="Times New Roman" w:hAnsi="Times New Roman"/>
          <w:sz w:val="24"/>
          <w:szCs w:val="24"/>
        </w:rPr>
        <w:t xml:space="preserve">), Banking Regulation and Supervision Agency (BRSA – </w:t>
      </w:r>
      <w:proofErr w:type="spellStart"/>
      <w:r w:rsidRPr="00106B8C">
        <w:rPr>
          <w:rFonts w:ascii="Times New Roman" w:hAnsi="Times New Roman"/>
          <w:sz w:val="24"/>
          <w:szCs w:val="24"/>
        </w:rPr>
        <w:t>Bankacılık</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Düzenleme</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ve</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Denetleme</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Kurumu</w:t>
      </w:r>
      <w:proofErr w:type="spellEnd"/>
      <w:r w:rsidRPr="00106B8C">
        <w:rPr>
          <w:rFonts w:ascii="Times New Roman" w:hAnsi="Times New Roman"/>
          <w:sz w:val="24"/>
          <w:szCs w:val="24"/>
        </w:rPr>
        <w:t xml:space="preserve">-BDDK), Savings Insurance Deposit Fund (SIDF – </w:t>
      </w:r>
      <w:proofErr w:type="spellStart"/>
      <w:r w:rsidRPr="00106B8C">
        <w:rPr>
          <w:rFonts w:ascii="Times New Roman" w:hAnsi="Times New Roman"/>
          <w:sz w:val="24"/>
          <w:szCs w:val="24"/>
        </w:rPr>
        <w:t>Tasarruf</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Mevduatı</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Sigorta</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Fonu</w:t>
      </w:r>
      <w:proofErr w:type="spellEnd"/>
      <w:r w:rsidRPr="00106B8C">
        <w:rPr>
          <w:rFonts w:ascii="Times New Roman" w:hAnsi="Times New Roman"/>
          <w:sz w:val="24"/>
          <w:szCs w:val="24"/>
        </w:rPr>
        <w:t>-TMSF) and their activities are regulated by the mentioned Banking Act. With the condition that the provisions of the related law are also valid for the banks founded according to special acts, the provisions of the Banking Act are applied. In case of absence of related provisions in the special act, general provisions are applied (Banking Act no. 5411, article 2).</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Participation banks are supervised by Banking Regulation and Supervision Agency (BRSA). In 2004, the Uniform Chart of Account was formed for participation banks, and these institutions began bookkeeping as other banks, in accordance with the mentioned chart of account (Central Bank of Republic of Turkey, 2005).</w:t>
      </w: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Balk2"/>
        <w:numPr>
          <w:ilvl w:val="0"/>
          <w:numId w:val="0"/>
        </w:numPr>
        <w:rPr>
          <w:sz w:val="24"/>
          <w:szCs w:val="24"/>
        </w:rPr>
      </w:pPr>
      <w:r w:rsidRPr="00106B8C">
        <w:rPr>
          <w:sz w:val="24"/>
          <w:szCs w:val="24"/>
        </w:rPr>
        <w:t>Definitions Regarding Participation Banks in the Banking Act</w:t>
      </w:r>
    </w:p>
    <w:p w:rsidR="001B3496" w:rsidRPr="00106B8C" w:rsidRDefault="001B3496" w:rsidP="001B3496">
      <w:pPr>
        <w:pStyle w:val="Balk2"/>
        <w:numPr>
          <w:ilvl w:val="0"/>
          <w:numId w:val="0"/>
        </w:numPr>
        <w:rPr>
          <w:b w:val="0"/>
          <w:sz w:val="24"/>
          <w:szCs w:val="24"/>
        </w:rPr>
      </w:pPr>
      <w:r w:rsidRPr="00106B8C">
        <w:rPr>
          <w:b w:val="0"/>
          <w:sz w:val="24"/>
          <w:szCs w:val="24"/>
        </w:rPr>
        <w:t xml:space="preserve">In the 3rd article of the Banking Act no. 5411, there are important definitions showing differences and similarities between participation banks and other banks. According to these definitions, both deposit banks and participation banks </w:t>
      </w:r>
      <w:proofErr w:type="gramStart"/>
      <w:r w:rsidRPr="00106B8C">
        <w:rPr>
          <w:b w:val="0"/>
          <w:sz w:val="24"/>
          <w:szCs w:val="24"/>
        </w:rPr>
        <w:t>consist</w:t>
      </w:r>
      <w:proofErr w:type="gramEnd"/>
      <w:r w:rsidRPr="00106B8C">
        <w:rPr>
          <w:b w:val="0"/>
          <w:sz w:val="24"/>
          <w:szCs w:val="24"/>
        </w:rPr>
        <w:t xml:space="preserve"> two lower members of the higher definition of “Loan Institution”. There are also two banks associations defined in the Banking Act, one of which is the Participation Banks Association of Turkey, and other is the Banks Association of Turkey with a more widespread structuring.</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 xml:space="preserve">The definition of “bank” in the Banking Act includes 3 types of banks. These are: </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b/>
          <w:bCs/>
          <w:sz w:val="24"/>
          <w:szCs w:val="24"/>
        </w:rPr>
        <w:t>Deposit bank:</w:t>
      </w:r>
      <w:r w:rsidRPr="00106B8C">
        <w:rPr>
          <w:rFonts w:ascii="Times New Roman" w:hAnsi="Times New Roman"/>
          <w:sz w:val="24"/>
          <w:szCs w:val="24"/>
        </w:rPr>
        <w:t xml:space="preserve"> Institutions operating mainly by accepting deposit and utilizing loan in accordance with the Act in the name and account of itself, and branches in Turkey of such foreign institutions,</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b/>
          <w:bCs/>
          <w:sz w:val="24"/>
          <w:szCs w:val="24"/>
        </w:rPr>
        <w:t>Participation bank:</w:t>
      </w:r>
      <w:r w:rsidRPr="00106B8C">
        <w:rPr>
          <w:rFonts w:ascii="Times New Roman" w:hAnsi="Times New Roman"/>
          <w:sz w:val="24"/>
          <w:szCs w:val="24"/>
        </w:rPr>
        <w:t xml:space="preserve"> Institutions operating mainly by collecting funds through special current accounts and participation accounts and utilizing loan in accordance with the Act in the name and account of itself, and branches in Turkey of such foreign institutions, and</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b/>
          <w:bCs/>
          <w:sz w:val="24"/>
          <w:szCs w:val="24"/>
        </w:rPr>
        <w:t>Development and investment bank:</w:t>
      </w:r>
      <w:r w:rsidRPr="00106B8C">
        <w:rPr>
          <w:rFonts w:ascii="Times New Roman" w:hAnsi="Times New Roman"/>
          <w:sz w:val="24"/>
          <w:szCs w:val="24"/>
        </w:rPr>
        <w:t xml:space="preserve"> Institutions operating mainly by utilizing loan rather than accepting deposit or participation funds, in accordance with the Act in the name and account of itself, and branches in Turkey of such foreign institutions.</w:t>
      </w:r>
    </w:p>
    <w:p w:rsidR="001B3496" w:rsidRPr="00106B8C" w:rsidRDefault="001B3496" w:rsidP="001B3496">
      <w:pPr>
        <w:pStyle w:val="Balk2"/>
        <w:numPr>
          <w:ilvl w:val="0"/>
          <w:numId w:val="0"/>
        </w:numPr>
        <w:rPr>
          <w:sz w:val="24"/>
          <w:szCs w:val="24"/>
        </w:rPr>
      </w:pPr>
      <w:r w:rsidRPr="00106B8C">
        <w:rPr>
          <w:sz w:val="24"/>
          <w:szCs w:val="24"/>
        </w:rPr>
        <w:lastRenderedPageBreak/>
        <w:t>Permission for Foundation or Branch and Office Establishment (Subsidiary) in Turkey</w:t>
      </w:r>
    </w:p>
    <w:p w:rsidR="001B3496" w:rsidRPr="00106B8C" w:rsidRDefault="001B3496" w:rsidP="001B3496">
      <w:pPr>
        <w:pStyle w:val="Balk2"/>
        <w:numPr>
          <w:ilvl w:val="0"/>
          <w:numId w:val="0"/>
        </w:numPr>
        <w:rPr>
          <w:b w:val="0"/>
          <w:sz w:val="24"/>
          <w:szCs w:val="24"/>
        </w:rPr>
      </w:pPr>
      <w:r w:rsidRPr="00106B8C">
        <w:rPr>
          <w:b w:val="0"/>
          <w:sz w:val="24"/>
          <w:szCs w:val="24"/>
        </w:rPr>
        <w:t>According to the 6th article of the Act no. 5411, the foundation of a bank in Turkey or the first branch establishment in Turkey of a foreign bank, is allowed with the condition that it is in accordance with the conditions proposed in the Act, and with decision taken through positive votes of at least 5 members of BRSA. Allowance applications and principles regarding to this allowance is determined by the regulations published by BRSA.</w:t>
      </w:r>
    </w:p>
    <w:p w:rsidR="001B3496" w:rsidRPr="00106B8C" w:rsidRDefault="001B3496" w:rsidP="001B3496">
      <w:pPr>
        <w:rPr>
          <w:lang w:val="en-US" w:eastAsia="en-US"/>
        </w:rPr>
      </w:pPr>
    </w:p>
    <w:p w:rsidR="001B3496" w:rsidRPr="00106B8C" w:rsidRDefault="001B3496" w:rsidP="001B3496">
      <w:pPr>
        <w:pStyle w:val="Balk2"/>
        <w:numPr>
          <w:ilvl w:val="0"/>
          <w:numId w:val="0"/>
        </w:numPr>
        <w:rPr>
          <w:sz w:val="24"/>
          <w:szCs w:val="24"/>
        </w:rPr>
      </w:pPr>
      <w:r w:rsidRPr="00106B8C">
        <w:rPr>
          <w:sz w:val="24"/>
          <w:szCs w:val="24"/>
        </w:rPr>
        <w:t>Conditions of Foundation</w:t>
      </w:r>
    </w:p>
    <w:p w:rsidR="001B3496" w:rsidRPr="00106B8C" w:rsidRDefault="001B3496" w:rsidP="001B3496">
      <w:pPr>
        <w:pStyle w:val="Balk2"/>
        <w:numPr>
          <w:ilvl w:val="0"/>
          <w:numId w:val="0"/>
        </w:numPr>
        <w:rPr>
          <w:b w:val="0"/>
          <w:sz w:val="24"/>
          <w:szCs w:val="24"/>
        </w:rPr>
      </w:pPr>
      <w:r w:rsidRPr="00106B8C">
        <w:rPr>
          <w:b w:val="0"/>
          <w:sz w:val="24"/>
          <w:szCs w:val="24"/>
        </w:rPr>
        <w:t>According to the 7th article of the Act, the main conditions for the foundation of a bank in Turkey are as follows:</w:t>
      </w:r>
    </w:p>
    <w:p w:rsidR="001B3496" w:rsidRPr="00106B8C" w:rsidRDefault="001B3496" w:rsidP="001B3496">
      <w:pPr>
        <w:pStyle w:val="AralkYok"/>
        <w:ind w:left="284"/>
        <w:jc w:val="both"/>
        <w:rPr>
          <w:rFonts w:ascii="Times New Roman" w:hAnsi="Times New Roman"/>
          <w:sz w:val="24"/>
          <w:szCs w:val="24"/>
        </w:rPr>
      </w:pPr>
      <w:r w:rsidRPr="00106B8C">
        <w:rPr>
          <w:rFonts w:ascii="Times New Roman" w:hAnsi="Times New Roman"/>
          <w:sz w:val="24"/>
          <w:szCs w:val="24"/>
        </w:rPr>
        <w:t>a) It has to be founded as an incorporated company,</w:t>
      </w:r>
    </w:p>
    <w:p w:rsidR="001B3496" w:rsidRPr="00106B8C" w:rsidRDefault="001B3496" w:rsidP="001B3496">
      <w:pPr>
        <w:pStyle w:val="AralkYok"/>
        <w:ind w:left="284"/>
        <w:jc w:val="both"/>
        <w:rPr>
          <w:rFonts w:ascii="Times New Roman" w:hAnsi="Times New Roman"/>
          <w:sz w:val="24"/>
          <w:szCs w:val="24"/>
        </w:rPr>
      </w:pPr>
      <w:r w:rsidRPr="00106B8C">
        <w:rPr>
          <w:rFonts w:ascii="Times New Roman" w:hAnsi="Times New Roman"/>
          <w:sz w:val="24"/>
          <w:szCs w:val="24"/>
        </w:rPr>
        <w:t>b) Stocks have to be issued in against cash reserve and all has be written in the title,</w:t>
      </w:r>
    </w:p>
    <w:p w:rsidR="001B3496" w:rsidRPr="00106B8C" w:rsidRDefault="001B3496" w:rsidP="001B3496">
      <w:pPr>
        <w:pStyle w:val="AralkYok"/>
        <w:ind w:left="284"/>
        <w:jc w:val="both"/>
        <w:rPr>
          <w:rFonts w:ascii="Times New Roman" w:hAnsi="Times New Roman"/>
          <w:sz w:val="24"/>
          <w:szCs w:val="24"/>
        </w:rPr>
      </w:pPr>
      <w:r w:rsidRPr="00106B8C">
        <w:rPr>
          <w:rFonts w:ascii="Times New Roman" w:hAnsi="Times New Roman"/>
          <w:sz w:val="24"/>
          <w:szCs w:val="24"/>
        </w:rPr>
        <w:t>c) Founders has to have the qualities defined in the Act,</w:t>
      </w:r>
    </w:p>
    <w:p w:rsidR="001B3496" w:rsidRPr="00106B8C" w:rsidRDefault="001B3496" w:rsidP="001B3496">
      <w:pPr>
        <w:pStyle w:val="AralkYok"/>
        <w:ind w:left="284"/>
        <w:jc w:val="both"/>
        <w:rPr>
          <w:rFonts w:ascii="Times New Roman" w:hAnsi="Times New Roman"/>
          <w:sz w:val="24"/>
          <w:szCs w:val="24"/>
        </w:rPr>
      </w:pPr>
      <w:r w:rsidRPr="00106B8C">
        <w:rPr>
          <w:rFonts w:ascii="Times New Roman" w:hAnsi="Times New Roman"/>
          <w:sz w:val="24"/>
          <w:szCs w:val="24"/>
        </w:rPr>
        <w:t>d) Board members has to have the qualities defined in the Act and to have professional experience in order to be able to realize planned operations,</w:t>
      </w:r>
    </w:p>
    <w:p w:rsidR="001B3496" w:rsidRPr="00106B8C" w:rsidRDefault="001B3496" w:rsidP="001B3496">
      <w:pPr>
        <w:pStyle w:val="AralkYok"/>
        <w:ind w:left="284"/>
        <w:jc w:val="both"/>
        <w:rPr>
          <w:rFonts w:ascii="Times New Roman" w:hAnsi="Times New Roman"/>
          <w:sz w:val="24"/>
          <w:szCs w:val="24"/>
        </w:rPr>
      </w:pPr>
      <w:r w:rsidRPr="00106B8C">
        <w:rPr>
          <w:rFonts w:ascii="Times New Roman" w:hAnsi="Times New Roman"/>
          <w:sz w:val="24"/>
          <w:szCs w:val="24"/>
        </w:rPr>
        <w:t>e) Proposed subjects of operation have to be in accordance with planned structure of finance, management and organization,</w:t>
      </w:r>
    </w:p>
    <w:p w:rsidR="001B3496" w:rsidRPr="00106B8C" w:rsidRDefault="001B3496" w:rsidP="001B3496">
      <w:pPr>
        <w:pStyle w:val="AralkYok"/>
        <w:ind w:left="284"/>
        <w:jc w:val="both"/>
        <w:rPr>
          <w:rFonts w:ascii="Times New Roman" w:hAnsi="Times New Roman"/>
          <w:sz w:val="24"/>
          <w:szCs w:val="24"/>
        </w:rPr>
      </w:pPr>
      <w:r w:rsidRPr="00106B8C">
        <w:rPr>
          <w:rFonts w:ascii="Times New Roman" w:hAnsi="Times New Roman"/>
          <w:sz w:val="24"/>
          <w:szCs w:val="24"/>
        </w:rPr>
        <w:t>f) Its issued capital free of every kind of collusion and in cash has to be at least 30 million New Turkish Lira,</w:t>
      </w:r>
    </w:p>
    <w:p w:rsidR="001B3496" w:rsidRPr="00106B8C" w:rsidRDefault="001B3496" w:rsidP="001B3496">
      <w:pPr>
        <w:pStyle w:val="AralkYok"/>
        <w:ind w:left="284"/>
        <w:jc w:val="both"/>
        <w:rPr>
          <w:rFonts w:ascii="Times New Roman" w:hAnsi="Times New Roman"/>
          <w:sz w:val="24"/>
          <w:szCs w:val="24"/>
        </w:rPr>
      </w:pPr>
      <w:r w:rsidRPr="00106B8C">
        <w:rPr>
          <w:rFonts w:ascii="Times New Roman" w:hAnsi="Times New Roman"/>
          <w:sz w:val="24"/>
          <w:szCs w:val="24"/>
        </w:rPr>
        <w:t>g) Its founding charter has to be in accordance with provisions of the Act.</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In addition, it has not so complex structure of organization and partnership which would prevent supervision, and plans regarding proposed operation objects and structures regarding internal organization have to be designed in a realist manner.</w:t>
      </w: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Balk2"/>
        <w:numPr>
          <w:ilvl w:val="0"/>
          <w:numId w:val="0"/>
        </w:numPr>
        <w:rPr>
          <w:sz w:val="24"/>
          <w:szCs w:val="24"/>
        </w:rPr>
      </w:pPr>
      <w:r w:rsidRPr="00106B8C">
        <w:rPr>
          <w:sz w:val="24"/>
          <w:szCs w:val="24"/>
        </w:rPr>
        <w:t>Provisions Regarding Loans</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Participation banks are subject to strict provisions of the Banking Act regarding loan and loan limitations. At the end of the detailed definition of “loan” in the 48th article, in the second paragraph, fund utilization styles peculiar to participation banks are mentioned to be seen as loan in the implementation of the Act:</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 funding obtained by participation banks through payments of prices of movable and immovable possessions and services, or through methods such as profit and loss partnership investments; supply of immovable, equipment or commodity; or financial rent; funding of documents against payment, joint investments and so on are accepted as loan (…)</w:t>
      </w:r>
    </w:p>
    <w:p w:rsidR="001B3496" w:rsidRPr="00106B8C" w:rsidRDefault="001B3496" w:rsidP="001B3496">
      <w:pPr>
        <w:pStyle w:val="Balk3"/>
        <w:numPr>
          <w:ilvl w:val="0"/>
          <w:numId w:val="0"/>
        </w:numPr>
        <w:rPr>
          <w:sz w:val="24"/>
          <w:szCs w:val="24"/>
        </w:rPr>
      </w:pPr>
      <w:r w:rsidRPr="00106B8C">
        <w:rPr>
          <w:sz w:val="24"/>
          <w:szCs w:val="24"/>
        </w:rPr>
        <w:t>Loan Limitations</w:t>
      </w:r>
    </w:p>
    <w:p w:rsidR="001B3496" w:rsidRPr="00106B8C" w:rsidRDefault="001B3496" w:rsidP="001B3496">
      <w:pPr>
        <w:pStyle w:val="Balk3"/>
        <w:numPr>
          <w:ilvl w:val="0"/>
          <w:numId w:val="0"/>
        </w:numPr>
        <w:rPr>
          <w:b w:val="0"/>
          <w:sz w:val="24"/>
          <w:szCs w:val="24"/>
        </w:rPr>
      </w:pPr>
      <w:r w:rsidRPr="00106B8C">
        <w:rPr>
          <w:b w:val="0"/>
          <w:sz w:val="24"/>
          <w:szCs w:val="24"/>
        </w:rPr>
        <w:t xml:space="preserve">The quality of loans in the assets of the banks is very significant in terms of building banking system on a sound basis and operating with sound balance sheets. The motive behind the Banking Act and regulations made by BRSA is the prevention of these bank owners utilizes collected funds in too risky operation fields or in their own group companies with disregard of objective evaluation. In order to achieve this goal, the Banking Act puts some limitations on the distribution of loans and proposes severe penal sanctions in case of violation. These limitations are valid also for participation banks. These are shown below in general terms. </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 xml:space="preserve">Total loans utilized by a natural entity or a legal entity or by a risk group cannot exceed 25 % of equities. (There are some exceptional cases in which different rates are implicated.)… </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Loans given to an ordinary partnership are assumed to be given to partners proportional to their responsibilities.</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lastRenderedPageBreak/>
        <w:t xml:space="preserve">Loans utilized by all partners registered in the stock register holding 1 % or more of the </w:t>
      </w:r>
      <w:proofErr w:type="spellStart"/>
      <w:r w:rsidRPr="00106B8C">
        <w:rPr>
          <w:rFonts w:ascii="Times New Roman" w:hAnsi="Times New Roman"/>
          <w:sz w:val="24"/>
          <w:szCs w:val="24"/>
        </w:rPr>
        <w:t>bansk’s</w:t>
      </w:r>
      <w:proofErr w:type="spellEnd"/>
      <w:r w:rsidRPr="00106B8C">
        <w:rPr>
          <w:rFonts w:ascii="Times New Roman" w:hAnsi="Times New Roman"/>
          <w:sz w:val="24"/>
          <w:szCs w:val="24"/>
        </w:rPr>
        <w:t xml:space="preserve"> capital and entities consisting risk group with them cannot exceed 50 % of equities. </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 xml:space="preserve">Loans utilized by partnerships controlled jointly are assumed to be utilized by the risk group which includes every shareholder controlling the partnership jointly proportional to the rate of its share within the partnership capital to the total share controlled jointly. </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Loans utilized by a natural entity or a legal entity or by a risk group and equaling or exceeding 10 % of equities are assumed to be “great loan”. Total great loans cannot exceed 8-multiple of the equities. (…) When elements of the same risk group risk is included in the assurance of a risk group’s loans, topics such as how calculations will be made and how assurance elements with guarantee of country’s central government are mentioned in the Act (Banking Act no. 5411, article 54).</w:t>
      </w: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Balk3"/>
        <w:numPr>
          <w:ilvl w:val="0"/>
          <w:numId w:val="0"/>
        </w:numPr>
        <w:rPr>
          <w:sz w:val="24"/>
          <w:szCs w:val="24"/>
        </w:rPr>
      </w:pPr>
      <w:r w:rsidRPr="00106B8C">
        <w:rPr>
          <w:sz w:val="24"/>
          <w:szCs w:val="24"/>
        </w:rPr>
        <w:t>Operations without Loan Limitations</w:t>
      </w:r>
    </w:p>
    <w:p w:rsidR="001B3496" w:rsidRPr="00106B8C" w:rsidRDefault="001B3496" w:rsidP="001B3496">
      <w:pPr>
        <w:pStyle w:val="Balk3"/>
        <w:numPr>
          <w:ilvl w:val="0"/>
          <w:numId w:val="0"/>
        </w:numPr>
        <w:rPr>
          <w:b w:val="0"/>
          <w:sz w:val="24"/>
          <w:szCs w:val="24"/>
        </w:rPr>
      </w:pPr>
      <w:r w:rsidRPr="00106B8C">
        <w:rPr>
          <w:b w:val="0"/>
          <w:sz w:val="24"/>
          <w:szCs w:val="24"/>
        </w:rPr>
        <w:t>Furthermore, the 55th article mentions operations which are outside of loan limitations. Ones of these which are thought to be related to participation banks are listed below. BRSA can made additions to these operation types.</w:t>
      </w:r>
    </w:p>
    <w:p w:rsidR="001B3496" w:rsidRPr="00106B8C" w:rsidRDefault="001B3496" w:rsidP="001B3496">
      <w:pPr>
        <w:pStyle w:val="AralkYok"/>
        <w:numPr>
          <w:ilvl w:val="0"/>
          <w:numId w:val="33"/>
        </w:numPr>
        <w:jc w:val="both"/>
        <w:rPr>
          <w:rFonts w:ascii="Times New Roman" w:hAnsi="Times New Roman"/>
          <w:sz w:val="24"/>
          <w:szCs w:val="24"/>
        </w:rPr>
      </w:pPr>
      <w:r w:rsidRPr="00106B8C">
        <w:rPr>
          <w:rFonts w:ascii="Times New Roman" w:hAnsi="Times New Roman"/>
          <w:sz w:val="24"/>
          <w:szCs w:val="24"/>
        </w:rPr>
        <w:t>Operations paid in cash, values and accounts similar to cash, and precious metals.</w:t>
      </w:r>
    </w:p>
    <w:p w:rsidR="001B3496" w:rsidRPr="00106B8C" w:rsidRDefault="001B3496" w:rsidP="001B3496">
      <w:pPr>
        <w:pStyle w:val="AralkYok"/>
        <w:numPr>
          <w:ilvl w:val="0"/>
          <w:numId w:val="33"/>
        </w:numPr>
        <w:jc w:val="both"/>
        <w:rPr>
          <w:rFonts w:ascii="Times New Roman" w:hAnsi="Times New Roman"/>
          <w:sz w:val="24"/>
          <w:szCs w:val="24"/>
        </w:rPr>
      </w:pPr>
      <w:r w:rsidRPr="00106B8C">
        <w:rPr>
          <w:rFonts w:ascii="Times New Roman" w:hAnsi="Times New Roman"/>
          <w:sz w:val="24"/>
          <w:szCs w:val="24"/>
        </w:rPr>
        <w:t>In case of allocation of a new loan to the same entity or same risk group, with the condition of that loans given before in foreign currency or in unit of foreign currency are considered in current exchange rate as of the date when the following loan begins to be utilized, with the exception of use of check book or credit card, increases of loans stemming from change of exchange rate, and interest, profit share and other elements settled to overdue loans.</w:t>
      </w:r>
    </w:p>
    <w:p w:rsidR="001B3496" w:rsidRPr="00106B8C" w:rsidRDefault="001B3496" w:rsidP="001B3496">
      <w:pPr>
        <w:pStyle w:val="AralkYok"/>
        <w:numPr>
          <w:ilvl w:val="0"/>
          <w:numId w:val="33"/>
        </w:numPr>
        <w:jc w:val="both"/>
        <w:rPr>
          <w:rFonts w:ascii="Times New Roman" w:hAnsi="Times New Roman"/>
          <w:sz w:val="24"/>
          <w:szCs w:val="24"/>
        </w:rPr>
      </w:pPr>
      <w:r w:rsidRPr="00106B8C">
        <w:rPr>
          <w:rFonts w:ascii="Times New Roman" w:hAnsi="Times New Roman"/>
          <w:sz w:val="24"/>
          <w:szCs w:val="24"/>
        </w:rPr>
        <w:t>Partnership shares obtained free because of every kind of capital increases and value increases of partnership shares which does not require any fund going out.</w:t>
      </w:r>
    </w:p>
    <w:p w:rsidR="001B3496" w:rsidRPr="00106B8C" w:rsidRDefault="001B3496" w:rsidP="001B3496">
      <w:pPr>
        <w:pStyle w:val="AralkYok"/>
        <w:numPr>
          <w:ilvl w:val="0"/>
          <w:numId w:val="33"/>
        </w:numPr>
        <w:jc w:val="both"/>
        <w:rPr>
          <w:rFonts w:ascii="Times New Roman" w:hAnsi="Times New Roman"/>
          <w:sz w:val="24"/>
          <w:szCs w:val="24"/>
        </w:rPr>
      </w:pPr>
      <w:r w:rsidRPr="00106B8C">
        <w:rPr>
          <w:rFonts w:ascii="Times New Roman" w:hAnsi="Times New Roman"/>
          <w:sz w:val="24"/>
          <w:szCs w:val="24"/>
        </w:rPr>
        <w:t>Operations between banks according to the principles determined by the Council.</w:t>
      </w:r>
    </w:p>
    <w:p w:rsidR="001B3496" w:rsidRPr="00106B8C" w:rsidRDefault="001B3496" w:rsidP="001B3496">
      <w:pPr>
        <w:pStyle w:val="AralkYok"/>
        <w:numPr>
          <w:ilvl w:val="0"/>
          <w:numId w:val="33"/>
        </w:numPr>
        <w:jc w:val="both"/>
        <w:rPr>
          <w:rFonts w:ascii="Times New Roman" w:hAnsi="Times New Roman"/>
          <w:sz w:val="24"/>
          <w:szCs w:val="24"/>
        </w:rPr>
      </w:pPr>
      <w:r w:rsidRPr="00106B8C">
        <w:rPr>
          <w:rFonts w:ascii="Times New Roman" w:hAnsi="Times New Roman"/>
          <w:sz w:val="24"/>
          <w:szCs w:val="24"/>
        </w:rPr>
        <w:t>Partnership shares obtained in scope of undertaking of mediating public offer.</w:t>
      </w:r>
    </w:p>
    <w:p w:rsidR="001B3496" w:rsidRPr="00106B8C" w:rsidRDefault="001B3496" w:rsidP="001B3496">
      <w:pPr>
        <w:pStyle w:val="AralkYok"/>
        <w:numPr>
          <w:ilvl w:val="0"/>
          <w:numId w:val="33"/>
        </w:numPr>
        <w:jc w:val="both"/>
        <w:rPr>
          <w:rFonts w:ascii="Times New Roman" w:hAnsi="Times New Roman"/>
          <w:sz w:val="24"/>
          <w:szCs w:val="24"/>
        </w:rPr>
      </w:pPr>
      <w:r w:rsidRPr="00106B8C">
        <w:rPr>
          <w:rFonts w:ascii="Times New Roman" w:hAnsi="Times New Roman"/>
          <w:sz w:val="24"/>
          <w:szCs w:val="24"/>
        </w:rPr>
        <w:t>Operations considered as discount value in the account of equity.</w:t>
      </w:r>
    </w:p>
    <w:p w:rsidR="001B3496" w:rsidRPr="00106B8C" w:rsidRDefault="001B3496" w:rsidP="001B3496">
      <w:pPr>
        <w:pStyle w:val="AralkYok"/>
        <w:ind w:left="720"/>
        <w:jc w:val="both"/>
        <w:rPr>
          <w:rFonts w:ascii="Times New Roman" w:hAnsi="Times New Roman"/>
          <w:sz w:val="24"/>
          <w:szCs w:val="24"/>
        </w:rPr>
      </w:pPr>
    </w:p>
    <w:p w:rsidR="001B3496" w:rsidRPr="00106B8C" w:rsidRDefault="001B3496" w:rsidP="001B3496">
      <w:pPr>
        <w:pStyle w:val="Balk2"/>
        <w:numPr>
          <w:ilvl w:val="0"/>
          <w:numId w:val="0"/>
        </w:numPr>
        <w:rPr>
          <w:sz w:val="24"/>
          <w:szCs w:val="24"/>
        </w:rPr>
      </w:pPr>
      <w:bookmarkStart w:id="7" w:name="OLE_LINK81"/>
      <w:bookmarkStart w:id="8" w:name="OLE_LINK82"/>
      <w:r w:rsidRPr="00106B8C">
        <w:rPr>
          <w:sz w:val="24"/>
          <w:szCs w:val="24"/>
        </w:rPr>
        <w:t>Participation Banks Founded in Turkey</w:t>
      </w:r>
    </w:p>
    <w:bookmarkEnd w:id="7"/>
    <w:bookmarkEnd w:id="8"/>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Special finance houses adopted by Turkish society in short time showed a rapid improvement in terms of collected funds, volume of work and project capacities. These finance institutions are:</w:t>
      </w:r>
    </w:p>
    <w:p w:rsidR="001B3496" w:rsidRPr="00106B8C" w:rsidRDefault="001B3496" w:rsidP="001B3496">
      <w:pPr>
        <w:pStyle w:val="AralkYok"/>
        <w:jc w:val="both"/>
        <w:rPr>
          <w:rFonts w:ascii="Times New Roman" w:hAnsi="Times New Roman"/>
          <w:sz w:val="24"/>
          <w:szCs w:val="24"/>
        </w:rPr>
      </w:pPr>
      <w:proofErr w:type="spellStart"/>
      <w:r w:rsidRPr="00106B8C">
        <w:rPr>
          <w:rFonts w:ascii="Times New Roman" w:hAnsi="Times New Roman"/>
          <w:sz w:val="24"/>
          <w:szCs w:val="24"/>
        </w:rPr>
        <w:t>Albaraka</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Türk</w:t>
      </w:r>
      <w:proofErr w:type="spellEnd"/>
      <w:r w:rsidRPr="00106B8C">
        <w:rPr>
          <w:rFonts w:ascii="Times New Roman" w:hAnsi="Times New Roman"/>
          <w:sz w:val="24"/>
          <w:szCs w:val="24"/>
        </w:rPr>
        <w:t xml:space="preserve"> Special Finance Institution Inc.: The first finance institution of interest free banking in Turkey, </w:t>
      </w:r>
      <w:proofErr w:type="spellStart"/>
      <w:r w:rsidRPr="00106B8C">
        <w:rPr>
          <w:rFonts w:ascii="Times New Roman" w:hAnsi="Times New Roman"/>
          <w:sz w:val="24"/>
          <w:szCs w:val="24"/>
        </w:rPr>
        <w:t>Albaraka</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Türk</w:t>
      </w:r>
      <w:proofErr w:type="spellEnd"/>
      <w:r w:rsidRPr="00106B8C">
        <w:rPr>
          <w:rFonts w:ascii="Times New Roman" w:hAnsi="Times New Roman"/>
          <w:sz w:val="24"/>
          <w:szCs w:val="24"/>
        </w:rPr>
        <w:t xml:space="preserve"> Participation Bank, finished its foundation in 1984, and began its operations as of the beginning of 1985. Its name is still </w:t>
      </w:r>
      <w:proofErr w:type="spellStart"/>
      <w:r w:rsidRPr="00106B8C">
        <w:rPr>
          <w:rFonts w:ascii="Times New Roman" w:hAnsi="Times New Roman"/>
          <w:sz w:val="24"/>
          <w:szCs w:val="24"/>
        </w:rPr>
        <w:t>Albaraka</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Türk</w:t>
      </w:r>
      <w:proofErr w:type="spellEnd"/>
      <w:r w:rsidRPr="00106B8C">
        <w:rPr>
          <w:rFonts w:ascii="Times New Roman" w:hAnsi="Times New Roman"/>
          <w:sz w:val="24"/>
          <w:szCs w:val="24"/>
        </w:rPr>
        <w:t xml:space="preserve"> Participation Bank. (</w:t>
      </w:r>
      <w:proofErr w:type="spellStart"/>
      <w:r w:rsidRPr="00106B8C">
        <w:rPr>
          <w:rFonts w:ascii="Times New Roman" w:hAnsi="Times New Roman"/>
          <w:sz w:val="24"/>
          <w:szCs w:val="24"/>
        </w:rPr>
        <w:t>Albaraka</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Türk</w:t>
      </w:r>
      <w:proofErr w:type="spellEnd"/>
      <w:r w:rsidRPr="00106B8C">
        <w:rPr>
          <w:rFonts w:ascii="Times New Roman" w:hAnsi="Times New Roman"/>
          <w:sz w:val="24"/>
          <w:szCs w:val="24"/>
        </w:rPr>
        <w:t xml:space="preserve"> – About Us, 2010)</w:t>
      </w:r>
    </w:p>
    <w:p w:rsidR="001B3496" w:rsidRPr="00106B8C" w:rsidRDefault="001B3496" w:rsidP="001B3496">
      <w:pPr>
        <w:pStyle w:val="AralkYok"/>
        <w:jc w:val="both"/>
        <w:rPr>
          <w:rFonts w:ascii="Times New Roman" w:hAnsi="Times New Roman"/>
          <w:sz w:val="24"/>
          <w:szCs w:val="24"/>
        </w:rPr>
      </w:pPr>
      <w:proofErr w:type="spellStart"/>
      <w:r w:rsidRPr="00106B8C">
        <w:rPr>
          <w:rFonts w:ascii="Times New Roman" w:hAnsi="Times New Roman"/>
          <w:sz w:val="24"/>
          <w:szCs w:val="24"/>
        </w:rPr>
        <w:t>Kuveyt</w:t>
      </w:r>
      <w:proofErr w:type="spellEnd"/>
      <w:r w:rsidRPr="00106B8C">
        <w:rPr>
          <w:rFonts w:ascii="Times New Roman" w:hAnsi="Times New Roman"/>
          <w:sz w:val="24"/>
          <w:szCs w:val="24"/>
        </w:rPr>
        <w:t xml:space="preserve"> </w:t>
      </w:r>
      <w:proofErr w:type="spellStart"/>
      <w:proofErr w:type="gramStart"/>
      <w:r w:rsidRPr="00106B8C">
        <w:rPr>
          <w:rFonts w:ascii="Times New Roman" w:hAnsi="Times New Roman"/>
          <w:sz w:val="24"/>
          <w:szCs w:val="24"/>
        </w:rPr>
        <w:t>Türk</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Evkaf</w:t>
      </w:r>
      <w:proofErr w:type="spellEnd"/>
      <w:proofErr w:type="gramEnd"/>
      <w:r w:rsidRPr="00106B8C">
        <w:rPr>
          <w:rFonts w:ascii="Times New Roman" w:hAnsi="Times New Roman"/>
          <w:sz w:val="24"/>
          <w:szCs w:val="24"/>
        </w:rPr>
        <w:t xml:space="preserve"> Finance Institution Inc.: </w:t>
      </w:r>
      <w:proofErr w:type="spellStart"/>
      <w:r w:rsidRPr="00106B8C">
        <w:rPr>
          <w:rFonts w:ascii="Times New Roman" w:hAnsi="Times New Roman"/>
          <w:sz w:val="24"/>
          <w:szCs w:val="24"/>
        </w:rPr>
        <w:t>Kuveyt</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Türk</w:t>
      </w:r>
      <w:proofErr w:type="spellEnd"/>
      <w:r w:rsidRPr="00106B8C">
        <w:rPr>
          <w:rFonts w:ascii="Times New Roman" w:hAnsi="Times New Roman"/>
          <w:sz w:val="24"/>
          <w:szCs w:val="24"/>
        </w:rPr>
        <w:t xml:space="preserve">, founded in 1989 at the status of Special Finance Institution, changed its name in May 2006 as </w:t>
      </w:r>
      <w:proofErr w:type="spellStart"/>
      <w:r w:rsidRPr="00106B8C">
        <w:rPr>
          <w:rFonts w:ascii="Times New Roman" w:hAnsi="Times New Roman"/>
          <w:sz w:val="24"/>
          <w:szCs w:val="24"/>
        </w:rPr>
        <w:t>Kuveyt</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Türk</w:t>
      </w:r>
      <w:proofErr w:type="spellEnd"/>
      <w:r w:rsidRPr="00106B8C">
        <w:rPr>
          <w:rFonts w:ascii="Times New Roman" w:hAnsi="Times New Roman"/>
          <w:sz w:val="24"/>
          <w:szCs w:val="24"/>
        </w:rPr>
        <w:t xml:space="preserve"> Participation Bank </w:t>
      </w:r>
      <w:proofErr w:type="spellStart"/>
      <w:r w:rsidRPr="00106B8C">
        <w:rPr>
          <w:rFonts w:ascii="Times New Roman" w:hAnsi="Times New Roman"/>
          <w:sz w:val="24"/>
          <w:szCs w:val="24"/>
        </w:rPr>
        <w:t>Inc</w:t>
      </w:r>
      <w:proofErr w:type="spellEnd"/>
      <w:r w:rsidRPr="00106B8C">
        <w:rPr>
          <w:rFonts w:ascii="Times New Roman" w:hAnsi="Times New Roman"/>
          <w:sz w:val="24"/>
          <w:szCs w:val="24"/>
        </w:rPr>
        <w:t xml:space="preserve"> (The History of </w:t>
      </w:r>
      <w:proofErr w:type="spellStart"/>
      <w:r w:rsidRPr="00106B8C">
        <w:rPr>
          <w:rFonts w:ascii="Times New Roman" w:hAnsi="Times New Roman"/>
          <w:sz w:val="24"/>
          <w:szCs w:val="24"/>
        </w:rPr>
        <w:t>Kuveyt</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Türk</w:t>
      </w:r>
      <w:proofErr w:type="spellEnd"/>
      <w:r w:rsidRPr="00106B8C">
        <w:rPr>
          <w:rFonts w:ascii="Times New Roman" w:hAnsi="Times New Roman"/>
          <w:sz w:val="24"/>
          <w:szCs w:val="24"/>
        </w:rPr>
        <w:t>, 2010).</w:t>
      </w:r>
    </w:p>
    <w:p w:rsidR="001B3496" w:rsidRPr="00106B8C" w:rsidRDefault="001B3496" w:rsidP="001B3496">
      <w:pPr>
        <w:pStyle w:val="AralkYok"/>
        <w:jc w:val="both"/>
        <w:rPr>
          <w:rFonts w:ascii="Times New Roman" w:hAnsi="Times New Roman"/>
          <w:sz w:val="24"/>
          <w:szCs w:val="24"/>
        </w:rPr>
      </w:pPr>
      <w:proofErr w:type="spellStart"/>
      <w:r w:rsidRPr="00106B8C">
        <w:rPr>
          <w:rFonts w:ascii="Times New Roman" w:hAnsi="Times New Roman"/>
          <w:sz w:val="24"/>
          <w:szCs w:val="24"/>
        </w:rPr>
        <w:t>Anadolu</w:t>
      </w:r>
      <w:proofErr w:type="spellEnd"/>
      <w:r w:rsidRPr="00106B8C">
        <w:rPr>
          <w:rFonts w:ascii="Times New Roman" w:hAnsi="Times New Roman"/>
          <w:sz w:val="24"/>
          <w:szCs w:val="24"/>
        </w:rPr>
        <w:t xml:space="preserve"> Finance Institution Inc.: It began its operations in 1991 in Ankara. It is founded with domestic capital.</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 xml:space="preserve">Faisal Finance Institution Inc.: Founded in 1985. </w:t>
      </w:r>
      <w:proofErr w:type="gramStart"/>
      <w:r w:rsidRPr="00106B8C">
        <w:rPr>
          <w:rFonts w:ascii="Times New Roman" w:hAnsi="Times New Roman"/>
          <w:sz w:val="24"/>
          <w:szCs w:val="24"/>
        </w:rPr>
        <w:t>In 2001, Faisal Finance Institution Inc.</w:t>
      </w:r>
      <w:proofErr w:type="gramEnd"/>
      <w:r w:rsidRPr="00106B8C">
        <w:rPr>
          <w:rFonts w:ascii="Times New Roman" w:hAnsi="Times New Roman"/>
          <w:sz w:val="24"/>
          <w:szCs w:val="24"/>
        </w:rPr>
        <w:t xml:space="preserve"> It has been taken over by </w:t>
      </w:r>
      <w:proofErr w:type="spellStart"/>
      <w:r w:rsidRPr="00106B8C">
        <w:rPr>
          <w:rFonts w:ascii="Times New Roman" w:hAnsi="Times New Roman"/>
          <w:sz w:val="24"/>
          <w:szCs w:val="24"/>
        </w:rPr>
        <w:t>Ülker</w:t>
      </w:r>
      <w:proofErr w:type="spellEnd"/>
      <w:r w:rsidRPr="00106B8C">
        <w:rPr>
          <w:rFonts w:ascii="Times New Roman" w:hAnsi="Times New Roman"/>
          <w:sz w:val="24"/>
          <w:szCs w:val="24"/>
        </w:rPr>
        <w:t xml:space="preserve"> </w:t>
      </w:r>
      <w:proofErr w:type="gramStart"/>
      <w:r w:rsidRPr="00106B8C">
        <w:rPr>
          <w:rFonts w:ascii="Times New Roman" w:hAnsi="Times New Roman"/>
          <w:sz w:val="24"/>
          <w:szCs w:val="24"/>
        </w:rPr>
        <w:t>Group,</w:t>
      </w:r>
      <w:proofErr w:type="gramEnd"/>
      <w:r w:rsidRPr="00106B8C">
        <w:rPr>
          <w:rFonts w:ascii="Times New Roman" w:hAnsi="Times New Roman"/>
          <w:sz w:val="24"/>
          <w:szCs w:val="24"/>
        </w:rPr>
        <w:t xml:space="preserve"> its trade name was changed to Family Finance Institution Inc. In 2005, </w:t>
      </w:r>
      <w:proofErr w:type="spellStart"/>
      <w:r w:rsidRPr="00106B8C">
        <w:rPr>
          <w:rFonts w:ascii="Times New Roman" w:hAnsi="Times New Roman"/>
          <w:sz w:val="24"/>
          <w:szCs w:val="24"/>
        </w:rPr>
        <w:t>Anadolu</w:t>
      </w:r>
      <w:proofErr w:type="spellEnd"/>
      <w:r w:rsidRPr="00106B8C">
        <w:rPr>
          <w:rFonts w:ascii="Times New Roman" w:hAnsi="Times New Roman"/>
          <w:sz w:val="24"/>
          <w:szCs w:val="24"/>
        </w:rPr>
        <w:t xml:space="preserve"> Finance Institution Inc. and Family Finance Institution Inc. merged under the name of </w:t>
      </w:r>
      <w:proofErr w:type="spellStart"/>
      <w:r w:rsidRPr="00106B8C">
        <w:rPr>
          <w:rFonts w:ascii="Times New Roman" w:hAnsi="Times New Roman"/>
          <w:sz w:val="24"/>
          <w:szCs w:val="24"/>
        </w:rPr>
        <w:t>Türkiye</w:t>
      </w:r>
      <w:proofErr w:type="spellEnd"/>
      <w:r w:rsidRPr="00106B8C">
        <w:rPr>
          <w:rFonts w:ascii="Times New Roman" w:hAnsi="Times New Roman"/>
          <w:sz w:val="24"/>
          <w:szCs w:val="24"/>
        </w:rPr>
        <w:t xml:space="preserve"> Finance Participation Bank Inc.</w:t>
      </w:r>
    </w:p>
    <w:p w:rsidR="001B3496" w:rsidRPr="00106B8C" w:rsidRDefault="001B3496" w:rsidP="001B3496">
      <w:pPr>
        <w:pStyle w:val="AralkYok"/>
        <w:jc w:val="both"/>
        <w:rPr>
          <w:rFonts w:ascii="Times New Roman" w:hAnsi="Times New Roman"/>
          <w:sz w:val="24"/>
          <w:szCs w:val="24"/>
        </w:rPr>
      </w:pPr>
      <w:proofErr w:type="spellStart"/>
      <w:r w:rsidRPr="00106B8C">
        <w:rPr>
          <w:rFonts w:ascii="Times New Roman" w:hAnsi="Times New Roman"/>
          <w:sz w:val="24"/>
          <w:szCs w:val="24"/>
        </w:rPr>
        <w:t>İhlas</w:t>
      </w:r>
      <w:proofErr w:type="spellEnd"/>
      <w:r w:rsidRPr="00106B8C">
        <w:rPr>
          <w:rFonts w:ascii="Times New Roman" w:hAnsi="Times New Roman"/>
          <w:sz w:val="24"/>
          <w:szCs w:val="24"/>
        </w:rPr>
        <w:t xml:space="preserve"> Finance Institution </w:t>
      </w:r>
      <w:proofErr w:type="spellStart"/>
      <w:r w:rsidRPr="00106B8C">
        <w:rPr>
          <w:rFonts w:ascii="Times New Roman" w:hAnsi="Times New Roman"/>
          <w:sz w:val="24"/>
          <w:szCs w:val="24"/>
        </w:rPr>
        <w:t>Inc</w:t>
      </w:r>
      <w:proofErr w:type="spellEnd"/>
      <w:r w:rsidRPr="00106B8C">
        <w:rPr>
          <w:rFonts w:ascii="Times New Roman" w:hAnsi="Times New Roman"/>
          <w:sz w:val="24"/>
          <w:szCs w:val="24"/>
        </w:rPr>
        <w:t xml:space="preserve">: Founded in 1995. As a result of the 2001 economic crisis, it went on bankrupt and its official authorization has been cancelled. That bank still has been </w:t>
      </w:r>
      <w:r w:rsidRPr="00106B8C">
        <w:rPr>
          <w:rFonts w:ascii="Times New Roman" w:hAnsi="Times New Roman"/>
          <w:sz w:val="24"/>
          <w:szCs w:val="24"/>
        </w:rPr>
        <w:lastRenderedPageBreak/>
        <w:t>in liquidation, since 2001. We should underline the fact that the bankruptcy of this finance bank negatively influenced the other participation banks, too.</w:t>
      </w:r>
    </w:p>
    <w:p w:rsidR="001B3496" w:rsidRPr="00106B8C" w:rsidRDefault="001B3496" w:rsidP="001B3496">
      <w:pPr>
        <w:pStyle w:val="AralkYok"/>
        <w:jc w:val="both"/>
        <w:rPr>
          <w:rFonts w:ascii="Times New Roman" w:hAnsi="Times New Roman"/>
          <w:sz w:val="24"/>
          <w:szCs w:val="24"/>
        </w:rPr>
      </w:pPr>
      <w:proofErr w:type="spellStart"/>
      <w:r w:rsidRPr="00106B8C">
        <w:rPr>
          <w:rFonts w:ascii="Times New Roman" w:hAnsi="Times New Roman"/>
          <w:sz w:val="24"/>
          <w:szCs w:val="24"/>
        </w:rPr>
        <w:t>Asya</w:t>
      </w:r>
      <w:proofErr w:type="spellEnd"/>
      <w:r w:rsidRPr="00106B8C">
        <w:rPr>
          <w:rFonts w:ascii="Times New Roman" w:hAnsi="Times New Roman"/>
          <w:sz w:val="24"/>
          <w:szCs w:val="24"/>
        </w:rPr>
        <w:t xml:space="preserve"> Finance Institution </w:t>
      </w:r>
      <w:proofErr w:type="spellStart"/>
      <w:r w:rsidRPr="00106B8C">
        <w:rPr>
          <w:rFonts w:ascii="Times New Roman" w:hAnsi="Times New Roman"/>
          <w:sz w:val="24"/>
          <w:szCs w:val="24"/>
        </w:rPr>
        <w:t>Inc</w:t>
      </w:r>
      <w:proofErr w:type="spellEnd"/>
      <w:r w:rsidRPr="00106B8C">
        <w:rPr>
          <w:rFonts w:ascii="Times New Roman" w:hAnsi="Times New Roman"/>
          <w:sz w:val="24"/>
          <w:szCs w:val="24"/>
        </w:rPr>
        <w:t xml:space="preserve">: Founded in 1996. After the Act no. 5411 came into effect, its name has been changed to Bank </w:t>
      </w:r>
      <w:proofErr w:type="spellStart"/>
      <w:r w:rsidRPr="00106B8C">
        <w:rPr>
          <w:rFonts w:ascii="Times New Roman" w:hAnsi="Times New Roman"/>
          <w:sz w:val="24"/>
          <w:szCs w:val="24"/>
        </w:rPr>
        <w:t>Asya</w:t>
      </w:r>
      <w:proofErr w:type="spellEnd"/>
      <w:r w:rsidRPr="00106B8C">
        <w:rPr>
          <w:rFonts w:ascii="Times New Roman" w:hAnsi="Times New Roman"/>
          <w:sz w:val="24"/>
          <w:szCs w:val="24"/>
        </w:rPr>
        <w:t xml:space="preserve"> Participation Bank.</w:t>
      </w: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After the Banking Act no. 5411 accepted on October 19, 2005 and published in the Official Journal on November 1, 2005, the name “Private Finance Institutions” has been changed to “Participation Banks”. And the name “Private Finance Institutions Association” has been changed to “Participation Banks Association of Turkey” which has also created their own insurance funds so as to prevent their depositors’ loss; because of any of its member’s probability of bankruptcy at which they could compensate similar to other banks. This insurance include some limits like deposit banks insurance.</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 xml:space="preserve">Participation banks operating today among the institutions mentioned above are </w:t>
      </w:r>
      <w:proofErr w:type="spellStart"/>
      <w:r w:rsidRPr="00106B8C">
        <w:rPr>
          <w:rFonts w:ascii="Times New Roman" w:hAnsi="Times New Roman"/>
          <w:sz w:val="24"/>
          <w:szCs w:val="24"/>
        </w:rPr>
        <w:t>Albaraka</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Türk</w:t>
      </w:r>
      <w:proofErr w:type="spellEnd"/>
      <w:r w:rsidRPr="00106B8C">
        <w:rPr>
          <w:rFonts w:ascii="Times New Roman" w:hAnsi="Times New Roman"/>
          <w:sz w:val="24"/>
          <w:szCs w:val="24"/>
        </w:rPr>
        <w:t xml:space="preserve"> Participation Bank Inc., </w:t>
      </w:r>
      <w:proofErr w:type="spellStart"/>
      <w:r w:rsidRPr="00106B8C">
        <w:rPr>
          <w:rFonts w:ascii="Times New Roman" w:hAnsi="Times New Roman"/>
          <w:sz w:val="24"/>
          <w:szCs w:val="24"/>
        </w:rPr>
        <w:t>Kuveyt</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Türk</w:t>
      </w:r>
      <w:proofErr w:type="spellEnd"/>
      <w:r w:rsidRPr="00106B8C">
        <w:rPr>
          <w:rFonts w:ascii="Times New Roman" w:hAnsi="Times New Roman"/>
          <w:sz w:val="24"/>
          <w:szCs w:val="24"/>
        </w:rPr>
        <w:t xml:space="preserve"> Participation Bank Inc., </w:t>
      </w:r>
      <w:proofErr w:type="spellStart"/>
      <w:r w:rsidRPr="00106B8C">
        <w:rPr>
          <w:rFonts w:ascii="Times New Roman" w:hAnsi="Times New Roman"/>
          <w:sz w:val="24"/>
          <w:szCs w:val="24"/>
        </w:rPr>
        <w:t>Asya</w:t>
      </w:r>
      <w:proofErr w:type="spellEnd"/>
      <w:r w:rsidRPr="00106B8C">
        <w:rPr>
          <w:rFonts w:ascii="Times New Roman" w:hAnsi="Times New Roman"/>
          <w:sz w:val="24"/>
          <w:szCs w:val="24"/>
        </w:rPr>
        <w:t xml:space="preserve"> Participation Bank Inc. and </w:t>
      </w:r>
      <w:proofErr w:type="spellStart"/>
      <w:r w:rsidRPr="00106B8C">
        <w:rPr>
          <w:rFonts w:ascii="Times New Roman" w:hAnsi="Times New Roman"/>
          <w:sz w:val="24"/>
          <w:szCs w:val="24"/>
        </w:rPr>
        <w:t>Türkiye</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Finans</w:t>
      </w:r>
      <w:proofErr w:type="spellEnd"/>
      <w:r w:rsidRPr="00106B8C">
        <w:rPr>
          <w:rFonts w:ascii="Times New Roman" w:hAnsi="Times New Roman"/>
          <w:sz w:val="24"/>
          <w:szCs w:val="24"/>
        </w:rPr>
        <w:t xml:space="preserve"> Participation Bank Inc.</w:t>
      </w: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Balk1"/>
        <w:numPr>
          <w:ilvl w:val="0"/>
          <w:numId w:val="29"/>
        </w:numPr>
        <w:tabs>
          <w:tab w:val="clear" w:pos="720"/>
          <w:tab w:val="num" w:pos="567"/>
        </w:tabs>
        <w:ind w:left="567" w:hanging="387"/>
        <w:rPr>
          <w:sz w:val="24"/>
          <w:szCs w:val="24"/>
        </w:rPr>
      </w:pPr>
      <w:r w:rsidRPr="00106B8C">
        <w:rPr>
          <w:sz w:val="24"/>
          <w:szCs w:val="24"/>
        </w:rPr>
        <w:t>Methods of Fund Collection</w:t>
      </w:r>
    </w:p>
    <w:p w:rsidR="001B3496" w:rsidRPr="00106B8C" w:rsidRDefault="001B3496" w:rsidP="001B3496">
      <w:pPr>
        <w:jc w:val="both"/>
        <w:rPr>
          <w:lang w:val="en-US" w:eastAsia="lt-LT"/>
        </w:rPr>
      </w:pP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These organizations collect funds in the form of sharing accounts or current accounts to operate independently within each maturity group (</w:t>
      </w:r>
      <w:proofErr w:type="spellStart"/>
      <w:r w:rsidRPr="00106B8C">
        <w:rPr>
          <w:rFonts w:ascii="Times New Roman" w:hAnsi="Times New Roman"/>
          <w:sz w:val="24"/>
          <w:szCs w:val="24"/>
        </w:rPr>
        <w:t>Parasız</w:t>
      </w:r>
      <w:proofErr w:type="spellEnd"/>
      <w:r w:rsidRPr="00106B8C">
        <w:rPr>
          <w:rFonts w:ascii="Times New Roman" w:hAnsi="Times New Roman"/>
          <w:sz w:val="24"/>
          <w:szCs w:val="24"/>
        </w:rPr>
        <w:t>, 2009, p. 251). Main items of liability side in the balance sheet of all firms consist of equity capital and loan capital. Equities are funds given by partners as capital or profit which is not distributed etc. These express resources belonging to the capital owners. However the share of equity item within the total capital is not so high in finance institutions and especially in banks in comparison to other businesses. It can be read as follows: An important part of resources of banks consist of loan capital. Because of the banking system is based on this. Bank or participation bank transforms funds collected from real or legal entities to loan. And the collected funds are naturally loan capital. Therefore, the growth of a bank depends on that it collects funds as much as possible in order to be able to give loan as much as possible. In deposit banks, fund collection is mostly realized through promise of interest. However participation banks cannot promise any future interest which would mean a predefined return.</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Participation banks collect funds mainly through three ways below. In addition to them, there are also investment accounts based on gold or precious metals.</w:t>
      </w: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AralkYok"/>
        <w:jc w:val="both"/>
        <w:rPr>
          <w:rFonts w:ascii="Times New Roman" w:hAnsi="Times New Roman"/>
          <w:b/>
          <w:sz w:val="24"/>
          <w:szCs w:val="24"/>
        </w:rPr>
      </w:pPr>
      <w:r w:rsidRPr="00106B8C">
        <w:rPr>
          <w:rFonts w:ascii="Times New Roman" w:hAnsi="Times New Roman"/>
          <w:b/>
          <w:sz w:val="24"/>
          <w:szCs w:val="24"/>
        </w:rPr>
        <w:t>Current Account</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Current accounts are funds which belong to physical or legal entities, money in which can be withdrawn every time partly or totally, and which don’t pay any interest or profit to their holders. These accounts are similar to checking accounts in interest banks. Account holders open current account to be free of trouble to protect their money against theft, loss etc., and have opportunity to keep their money in a safe place. They also use services provided by their bank such as use of commercial check book, Money transfer, collection of check and bills. With the help of these accounts, services are provided such as payment and so on, parallel to needs of commercial and daily life. Therefore, these accounts which are mostly dynamic are not proper to bring return and to promise interest. However banks can use these capitals as equity capital after determining average amounts held in these accounts and keeping the needed reserves.</w:t>
      </w: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AralkYok"/>
        <w:jc w:val="both"/>
        <w:rPr>
          <w:rFonts w:ascii="Times New Roman" w:hAnsi="Times New Roman"/>
          <w:b/>
          <w:sz w:val="24"/>
          <w:szCs w:val="24"/>
        </w:rPr>
      </w:pPr>
      <w:r w:rsidRPr="00106B8C">
        <w:rPr>
          <w:rFonts w:ascii="Times New Roman" w:hAnsi="Times New Roman"/>
          <w:b/>
          <w:sz w:val="24"/>
          <w:szCs w:val="24"/>
        </w:rPr>
        <w:lastRenderedPageBreak/>
        <w:t>Participation Accounts</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Participation accounts are funds of interest free banks which belong to physical or legal entities, money in which is deposited as Turkish Lira or foreign currency against contract of profit/loss participation account, and which result in profit/loss participation. Interest free banks pay amount of balance equivalent to unit account value to the account holder according to the state of profit/loss. Payees of interest free banks have no right to demand anything from funds accumulated in these funds (Akın, 1986, pp. 288-299). Returns remaining back from the funds deposited by participation account holders are distributed to account holders after deduction of losses stemming from returns obtained from funds utilized in pools constituted after certain criteria are handled such as their fixed terms and deposit date. When these returns are distributed, certain shares of these returns are hold by participation banks as management share.</w:t>
      </w: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b/>
          <w:sz w:val="24"/>
          <w:szCs w:val="24"/>
        </w:rPr>
        <w:t>Special Fund Pools</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Participation Banks, according to the 60th article 7th paragraph of the Banking Act, can create special fund account pools for 3 or more months by collecting funds in private accounts in order to be utilized for financing planned projects or other investments, without the necessity of adhering time or types determined by the Central Bank of the Republic of Turkey. Participation accounts belonging to funds collected in this manner are operated in different accounts independent from other accounts and with different time. No transfer is allowed from the collected funds to other period groups. The related authority or institution has to be informed in 15 days after opening or closing dates, regarding special fund pools. At the end of the period of funding, special fund pools get closed*</w:t>
      </w:r>
      <w:r w:rsidRPr="00106B8C">
        <w:rPr>
          <w:rFonts w:ascii="Times New Roman" w:hAnsi="Times New Roman"/>
          <w:sz w:val="24"/>
          <w:szCs w:val="24"/>
        </w:rPr>
        <w:footnoteReference w:customMarkFollows="1" w:id="1"/>
        <w:t>*.</w:t>
      </w: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Balk1"/>
        <w:numPr>
          <w:ilvl w:val="0"/>
          <w:numId w:val="29"/>
        </w:numPr>
        <w:ind w:left="0" w:firstLine="360"/>
        <w:rPr>
          <w:sz w:val="24"/>
          <w:szCs w:val="24"/>
        </w:rPr>
      </w:pPr>
      <w:r w:rsidRPr="00106B8C">
        <w:rPr>
          <w:sz w:val="24"/>
          <w:szCs w:val="24"/>
        </w:rPr>
        <w:t>Fund Utilization Methods</w:t>
      </w:r>
    </w:p>
    <w:p w:rsidR="001B3496" w:rsidRPr="00106B8C" w:rsidRDefault="001B3496" w:rsidP="001B3496">
      <w:pPr>
        <w:rPr>
          <w:lang w:val="en-US" w:eastAsia="lt-LT"/>
        </w:rPr>
      </w:pP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Banking activity is mainly not a sector of trade of goods and service. This sector is a service sector. With its operations, it is a sector aiming to utilize fund surplus – collected from entities which have no opportunity or ability to use funds in their hands – for paving the way for operations based on commercial activities, and to take a share from the added value created. Therefore funds collected in order to create added value have surely to be used for production of goods and service. Otherwise, it is obvious that money etc. held in lockboxes would not increase where they stay, and not create added value. The most important difference of participation banks is that they prohibit for themselves certain methods of fund utilization and certain sectors used by other banks when utilizing collected funds.</w:t>
      </w: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b/>
          <w:sz w:val="24"/>
          <w:szCs w:val="24"/>
          <w:lang w:eastAsia="en-US"/>
        </w:rPr>
        <w:t>Fund Utilization Methods based on Commerce</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The main fund utilization methods of participation banks can be listed under two titles: The first of them is Fund Utilization Methods based on Commerce. Also deposit banks can use these types of financing. However there are some points in certain procedures such as handover of money which participation banks pay more attention. The important points here are that it has to be an operation necessarily based on trade of goods or service, and that payment to be made has to be delivered to the firm which sells the goods.</w:t>
      </w: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AralkYok"/>
        <w:jc w:val="both"/>
        <w:rPr>
          <w:rFonts w:ascii="Times New Roman" w:hAnsi="Times New Roman"/>
          <w:b/>
          <w:bCs/>
          <w:sz w:val="24"/>
          <w:szCs w:val="24"/>
        </w:rPr>
      </w:pPr>
      <w:r w:rsidRPr="00106B8C">
        <w:rPr>
          <w:rFonts w:ascii="Times New Roman" w:hAnsi="Times New Roman"/>
          <w:b/>
          <w:bCs/>
          <w:sz w:val="24"/>
          <w:szCs w:val="24"/>
        </w:rPr>
        <w:lastRenderedPageBreak/>
        <w:t>Private Funding Support</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Participation bank pays the price of goods or services – bought by real entities directly from sellers for personal needs such as vehicle and apartment – in the name of the customer to the seller, with the condition of not to be used in funding of commercial activities, and in return the buyer is charged with a debt (The Participation Banks Association of Turkey, 2008).</w:t>
      </w: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AralkYok"/>
        <w:jc w:val="both"/>
        <w:rPr>
          <w:rFonts w:ascii="Times New Roman" w:hAnsi="Times New Roman"/>
          <w:b/>
          <w:bCs/>
          <w:sz w:val="24"/>
          <w:szCs w:val="24"/>
        </w:rPr>
      </w:pPr>
      <w:r w:rsidRPr="00106B8C">
        <w:rPr>
          <w:rFonts w:ascii="Times New Roman" w:hAnsi="Times New Roman"/>
          <w:b/>
          <w:bCs/>
          <w:sz w:val="24"/>
          <w:szCs w:val="24"/>
        </w:rPr>
        <w:t>Financial Rent</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In the operation which is called “leasing” today, the person who wants to buy a good demands that this good is bought by the participation bank and rent to this person after the agreement between this person and the participation bank. However it is decided the customer of the participation bank will be the owner of that good after a certain period of rent and of paying rents. In this way, the good with financial renting is used by the customer demanding financial renting, and is owned by the bank. At the end of rent period, the ownership is handed over. As investment banks, also participation banks can realize financial renting operations without founding a separate company.</w:t>
      </w:r>
    </w:p>
    <w:p w:rsidR="001B3496" w:rsidRPr="00106B8C" w:rsidRDefault="001B3496" w:rsidP="001B3496">
      <w:pPr>
        <w:pStyle w:val="AralkYok"/>
        <w:jc w:val="both"/>
        <w:rPr>
          <w:rFonts w:ascii="Times New Roman" w:hAnsi="Times New Roman"/>
          <w:sz w:val="24"/>
          <w:szCs w:val="24"/>
        </w:rPr>
      </w:pPr>
    </w:p>
    <w:p w:rsidR="001B3496" w:rsidRPr="00106B8C" w:rsidRDefault="001B3496" w:rsidP="001B3496">
      <w:pPr>
        <w:pStyle w:val="AralkYok"/>
        <w:jc w:val="both"/>
        <w:rPr>
          <w:rFonts w:ascii="Times New Roman" w:hAnsi="Times New Roman"/>
          <w:b/>
          <w:bCs/>
          <w:sz w:val="24"/>
          <w:szCs w:val="24"/>
        </w:rPr>
      </w:pPr>
      <w:proofErr w:type="spellStart"/>
      <w:r w:rsidRPr="00106B8C">
        <w:rPr>
          <w:rFonts w:ascii="Times New Roman" w:hAnsi="Times New Roman"/>
          <w:b/>
          <w:bCs/>
          <w:sz w:val="24"/>
          <w:szCs w:val="24"/>
        </w:rPr>
        <w:t>Murabaha</w:t>
      </w:r>
      <w:proofErr w:type="spellEnd"/>
      <w:r w:rsidRPr="00106B8C">
        <w:rPr>
          <w:rFonts w:ascii="Times New Roman" w:hAnsi="Times New Roman"/>
          <w:b/>
          <w:bCs/>
          <w:sz w:val="24"/>
          <w:szCs w:val="24"/>
        </w:rPr>
        <w:t>: (Installment Sale)</w:t>
      </w:r>
    </w:p>
    <w:p w:rsidR="001B3496" w:rsidRPr="00106B8C" w:rsidRDefault="001B3496" w:rsidP="001B3496">
      <w:pPr>
        <w:pStyle w:val="AralkYok"/>
        <w:jc w:val="both"/>
        <w:rPr>
          <w:rFonts w:ascii="Times New Roman" w:hAnsi="Times New Roman"/>
          <w:sz w:val="24"/>
          <w:szCs w:val="24"/>
        </w:rPr>
      </w:pPr>
      <w:proofErr w:type="spellStart"/>
      <w:r w:rsidRPr="00106B8C">
        <w:rPr>
          <w:rFonts w:ascii="Times New Roman" w:hAnsi="Times New Roman"/>
          <w:sz w:val="24"/>
          <w:szCs w:val="24"/>
        </w:rPr>
        <w:t>Murabaha</w:t>
      </w:r>
      <w:proofErr w:type="spellEnd"/>
      <w:r w:rsidRPr="00106B8C">
        <w:rPr>
          <w:rFonts w:ascii="Times New Roman" w:hAnsi="Times New Roman"/>
          <w:sz w:val="24"/>
          <w:szCs w:val="24"/>
        </w:rPr>
        <w:t xml:space="preserve"> used in banking is sale of goods with an order of sale in which payment is made some time after delivery of the goods transacted. A customer and a bank sign a pre-contract which proposes that the customer buys a good from the bank. After the contract, upon the customer’s written demand, the bank buys the mentioned good in cash from the seller, and sells it to its customer in accordance with the conditions agreed upon before (Akın, 1986, p. 159). So, participation bank mediates trade, buys the good from the seller in cash, and sells to its customer for the account. </w:t>
      </w:r>
    </w:p>
    <w:p w:rsidR="00B546D4" w:rsidRPr="00106B8C" w:rsidRDefault="00B546D4" w:rsidP="001B3496">
      <w:pPr>
        <w:pStyle w:val="AralkYok"/>
        <w:jc w:val="both"/>
        <w:rPr>
          <w:rFonts w:ascii="Times New Roman" w:hAnsi="Times New Roman"/>
          <w:b/>
          <w:sz w:val="24"/>
          <w:szCs w:val="24"/>
        </w:rPr>
      </w:pPr>
    </w:p>
    <w:p w:rsidR="001B3496" w:rsidRPr="00106B8C" w:rsidRDefault="001B3496" w:rsidP="001B3496">
      <w:pPr>
        <w:pStyle w:val="Balk2"/>
        <w:numPr>
          <w:ilvl w:val="0"/>
          <w:numId w:val="0"/>
        </w:numPr>
        <w:rPr>
          <w:sz w:val="24"/>
          <w:szCs w:val="24"/>
        </w:rPr>
      </w:pPr>
      <w:r w:rsidRPr="00106B8C">
        <w:rPr>
          <w:sz w:val="24"/>
          <w:szCs w:val="24"/>
        </w:rPr>
        <w:t>Fund Utilization through Profit and Loss Partnership Method</w:t>
      </w:r>
    </w:p>
    <w:p w:rsidR="001B3496" w:rsidRPr="00106B8C" w:rsidRDefault="001B3496" w:rsidP="001B3496">
      <w:pPr>
        <w:pStyle w:val="Balk3"/>
        <w:numPr>
          <w:ilvl w:val="0"/>
          <w:numId w:val="0"/>
        </w:numPr>
        <w:rPr>
          <w:sz w:val="24"/>
          <w:szCs w:val="24"/>
        </w:rPr>
      </w:pPr>
      <w:proofErr w:type="spellStart"/>
      <w:r w:rsidRPr="00106B8C">
        <w:rPr>
          <w:sz w:val="24"/>
          <w:szCs w:val="24"/>
        </w:rPr>
        <w:t>Mudaraba</w:t>
      </w:r>
      <w:proofErr w:type="spellEnd"/>
      <w:r w:rsidRPr="00106B8C">
        <w:rPr>
          <w:sz w:val="24"/>
          <w:szCs w:val="24"/>
        </w:rPr>
        <w:t>: (Venture Capital)</w:t>
      </w:r>
    </w:p>
    <w:p w:rsidR="001B3496" w:rsidRPr="00106B8C" w:rsidRDefault="001B3496" w:rsidP="001B3496">
      <w:pPr>
        <w:pStyle w:val="AralkYok"/>
        <w:jc w:val="both"/>
        <w:rPr>
          <w:rFonts w:ascii="Times New Roman" w:hAnsi="Times New Roman"/>
          <w:sz w:val="24"/>
          <w:szCs w:val="24"/>
        </w:rPr>
      </w:pPr>
      <w:proofErr w:type="spellStart"/>
      <w:r w:rsidRPr="00106B8C">
        <w:rPr>
          <w:rFonts w:ascii="Times New Roman" w:hAnsi="Times New Roman"/>
          <w:sz w:val="24"/>
          <w:szCs w:val="24"/>
        </w:rPr>
        <w:t>Mudaraba</w:t>
      </w:r>
      <w:proofErr w:type="spellEnd"/>
      <w:r w:rsidRPr="00106B8C">
        <w:rPr>
          <w:rFonts w:ascii="Times New Roman" w:hAnsi="Times New Roman"/>
          <w:sz w:val="24"/>
          <w:szCs w:val="24"/>
        </w:rPr>
        <w:t xml:space="preserve"> is a method of fund utilization used by interest free banks very commonly. One party gives its labor, know-how and experience (entrepreneur), and the other party gives capital (interest free bank). In this method, real and legal entities present their applicable projects to the bank. The manager accepted and funded by the bank is called “</w:t>
      </w:r>
      <w:proofErr w:type="spellStart"/>
      <w:r w:rsidRPr="00106B8C">
        <w:rPr>
          <w:rFonts w:ascii="Times New Roman" w:hAnsi="Times New Roman"/>
          <w:sz w:val="24"/>
          <w:szCs w:val="24"/>
        </w:rPr>
        <w:t>mudarib</w:t>
      </w:r>
      <w:proofErr w:type="spellEnd"/>
      <w:r w:rsidRPr="00106B8C">
        <w:rPr>
          <w:rFonts w:ascii="Times New Roman" w:hAnsi="Times New Roman"/>
          <w:sz w:val="24"/>
          <w:szCs w:val="24"/>
        </w:rPr>
        <w:t>”, and the person or institution funding or supporting the project is called “</w:t>
      </w:r>
      <w:proofErr w:type="spellStart"/>
      <w:r w:rsidRPr="00106B8C">
        <w:rPr>
          <w:rFonts w:ascii="Times New Roman" w:hAnsi="Times New Roman"/>
          <w:sz w:val="24"/>
          <w:szCs w:val="24"/>
        </w:rPr>
        <w:t>Rabbul</w:t>
      </w:r>
      <w:proofErr w:type="spellEnd"/>
      <w:r w:rsidRPr="00106B8C">
        <w:rPr>
          <w:rFonts w:ascii="Times New Roman" w:hAnsi="Times New Roman"/>
          <w:sz w:val="24"/>
          <w:szCs w:val="24"/>
        </w:rPr>
        <w:t xml:space="preserve">-mal”. After signing a contract with the </w:t>
      </w:r>
      <w:proofErr w:type="spellStart"/>
      <w:r w:rsidRPr="00106B8C">
        <w:rPr>
          <w:rFonts w:ascii="Times New Roman" w:hAnsi="Times New Roman"/>
          <w:sz w:val="24"/>
          <w:szCs w:val="24"/>
        </w:rPr>
        <w:t>mudarib</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Rabbul</w:t>
      </w:r>
      <w:proofErr w:type="spellEnd"/>
      <w:r w:rsidRPr="00106B8C">
        <w:rPr>
          <w:rFonts w:ascii="Times New Roman" w:hAnsi="Times New Roman"/>
          <w:sz w:val="24"/>
          <w:szCs w:val="24"/>
        </w:rPr>
        <w:t xml:space="preserve">-mal (interest free bank) has to keep ready the amount of capital mentioned in the contract, in accordance with </w:t>
      </w:r>
      <w:proofErr w:type="spellStart"/>
      <w:r w:rsidRPr="00106B8C">
        <w:rPr>
          <w:rFonts w:ascii="Times New Roman" w:hAnsi="Times New Roman"/>
          <w:sz w:val="24"/>
          <w:szCs w:val="24"/>
        </w:rPr>
        <w:t>mudarib’s</w:t>
      </w:r>
      <w:proofErr w:type="spellEnd"/>
      <w:r w:rsidRPr="00106B8C">
        <w:rPr>
          <w:rFonts w:ascii="Times New Roman" w:hAnsi="Times New Roman"/>
          <w:sz w:val="24"/>
          <w:szCs w:val="24"/>
        </w:rPr>
        <w:t xml:space="preserve"> demand. Other than conditions mentioned in the contract, bank has no authority to interfere in transactions realized by the project owner. However in case of emergence of danger of loss because of unplanned and irregular work, the bank can make some initiatives in order to prevent loss. Normally, it can control accounts every time, and demand all formal and informal bookings. Profit obtained at the end of </w:t>
      </w:r>
      <w:proofErr w:type="spellStart"/>
      <w:r w:rsidRPr="00106B8C">
        <w:rPr>
          <w:rFonts w:ascii="Times New Roman" w:hAnsi="Times New Roman"/>
          <w:sz w:val="24"/>
          <w:szCs w:val="24"/>
        </w:rPr>
        <w:t>mudaraba</w:t>
      </w:r>
      <w:proofErr w:type="spellEnd"/>
      <w:r w:rsidRPr="00106B8C">
        <w:rPr>
          <w:rFonts w:ascii="Times New Roman" w:hAnsi="Times New Roman"/>
          <w:sz w:val="24"/>
          <w:szCs w:val="24"/>
        </w:rPr>
        <w:t xml:space="preserve"> operation is shared among </w:t>
      </w:r>
      <w:proofErr w:type="spellStart"/>
      <w:r w:rsidRPr="00106B8C">
        <w:rPr>
          <w:rFonts w:ascii="Times New Roman" w:hAnsi="Times New Roman"/>
          <w:sz w:val="24"/>
          <w:szCs w:val="24"/>
        </w:rPr>
        <w:t>Rabbul</w:t>
      </w:r>
      <w:proofErr w:type="spellEnd"/>
      <w:r w:rsidRPr="00106B8C">
        <w:rPr>
          <w:rFonts w:ascii="Times New Roman" w:hAnsi="Times New Roman"/>
          <w:sz w:val="24"/>
          <w:szCs w:val="24"/>
        </w:rPr>
        <w:t xml:space="preserve">-Mal guaranteeing funding and </w:t>
      </w:r>
      <w:proofErr w:type="spellStart"/>
      <w:r w:rsidRPr="00106B8C">
        <w:rPr>
          <w:rFonts w:ascii="Times New Roman" w:hAnsi="Times New Roman"/>
          <w:sz w:val="24"/>
          <w:szCs w:val="24"/>
        </w:rPr>
        <w:t>mudarib</w:t>
      </w:r>
      <w:proofErr w:type="spellEnd"/>
      <w:r w:rsidRPr="00106B8C">
        <w:rPr>
          <w:rFonts w:ascii="Times New Roman" w:hAnsi="Times New Roman"/>
          <w:sz w:val="24"/>
          <w:szCs w:val="24"/>
        </w:rPr>
        <w:t xml:space="preserve"> using fund according to the proportion determined before. In case of any loss, this loss is met by </w:t>
      </w:r>
      <w:proofErr w:type="spellStart"/>
      <w:r w:rsidRPr="00106B8C">
        <w:rPr>
          <w:rFonts w:ascii="Times New Roman" w:hAnsi="Times New Roman"/>
          <w:sz w:val="24"/>
          <w:szCs w:val="24"/>
        </w:rPr>
        <w:t>Rabbul</w:t>
      </w:r>
      <w:proofErr w:type="spellEnd"/>
      <w:r w:rsidRPr="00106B8C">
        <w:rPr>
          <w:rFonts w:ascii="Times New Roman" w:hAnsi="Times New Roman"/>
          <w:sz w:val="24"/>
          <w:szCs w:val="24"/>
        </w:rPr>
        <w:t>-mal (</w:t>
      </w:r>
      <w:proofErr w:type="spellStart"/>
      <w:r w:rsidRPr="00106B8C">
        <w:rPr>
          <w:rFonts w:ascii="Times New Roman" w:hAnsi="Times New Roman"/>
          <w:sz w:val="24"/>
          <w:szCs w:val="24"/>
        </w:rPr>
        <w:t>Küçükkocaoğlu</w:t>
      </w:r>
      <w:proofErr w:type="spellEnd"/>
      <w:r w:rsidRPr="00106B8C">
        <w:rPr>
          <w:rFonts w:ascii="Times New Roman" w:hAnsi="Times New Roman"/>
          <w:sz w:val="24"/>
          <w:szCs w:val="24"/>
        </w:rPr>
        <w:t>, 2010, p. 8).</w:t>
      </w:r>
    </w:p>
    <w:p w:rsidR="00B546D4" w:rsidRPr="00106B8C" w:rsidRDefault="00B546D4" w:rsidP="001B3496">
      <w:pPr>
        <w:pStyle w:val="AralkYok"/>
        <w:jc w:val="both"/>
        <w:rPr>
          <w:rFonts w:ascii="Times New Roman" w:hAnsi="Times New Roman"/>
          <w:sz w:val="24"/>
          <w:szCs w:val="24"/>
        </w:rPr>
      </w:pPr>
    </w:p>
    <w:p w:rsidR="001B3496" w:rsidRPr="00106B8C" w:rsidRDefault="001B3496" w:rsidP="001B3496">
      <w:pPr>
        <w:pStyle w:val="Balk3"/>
        <w:numPr>
          <w:ilvl w:val="0"/>
          <w:numId w:val="0"/>
        </w:numPr>
        <w:rPr>
          <w:sz w:val="24"/>
          <w:szCs w:val="24"/>
        </w:rPr>
      </w:pPr>
      <w:proofErr w:type="spellStart"/>
      <w:r w:rsidRPr="00106B8C">
        <w:rPr>
          <w:sz w:val="24"/>
          <w:szCs w:val="24"/>
        </w:rPr>
        <w:t>Muşareke</w:t>
      </w:r>
      <w:proofErr w:type="spellEnd"/>
      <w:r w:rsidRPr="00106B8C">
        <w:rPr>
          <w:sz w:val="24"/>
          <w:szCs w:val="24"/>
        </w:rPr>
        <w:t xml:space="preserve">: (Joint Capital Partnership or Capital </w:t>
      </w:r>
      <w:proofErr w:type="spellStart"/>
      <w:r w:rsidRPr="00106B8C">
        <w:rPr>
          <w:sz w:val="24"/>
          <w:szCs w:val="24"/>
        </w:rPr>
        <w:t>Invesment</w:t>
      </w:r>
      <w:proofErr w:type="spellEnd"/>
      <w:r w:rsidRPr="00106B8C">
        <w:rPr>
          <w:sz w:val="24"/>
          <w:szCs w:val="24"/>
        </w:rPr>
        <w:t>)</w:t>
      </w:r>
    </w:p>
    <w:p w:rsidR="001B3496" w:rsidRPr="00106B8C" w:rsidRDefault="001B3496" w:rsidP="001B3496">
      <w:pPr>
        <w:pStyle w:val="AralkYok"/>
        <w:jc w:val="both"/>
        <w:rPr>
          <w:rFonts w:ascii="Times New Roman" w:hAnsi="Times New Roman"/>
          <w:sz w:val="24"/>
          <w:szCs w:val="24"/>
        </w:rPr>
      </w:pPr>
      <w:proofErr w:type="spellStart"/>
      <w:r w:rsidRPr="00106B8C">
        <w:rPr>
          <w:rFonts w:ascii="Times New Roman" w:hAnsi="Times New Roman"/>
          <w:sz w:val="24"/>
          <w:szCs w:val="24"/>
        </w:rPr>
        <w:t>Muşareke</w:t>
      </w:r>
      <w:proofErr w:type="spellEnd"/>
      <w:r w:rsidRPr="00106B8C">
        <w:rPr>
          <w:rFonts w:ascii="Times New Roman" w:hAnsi="Times New Roman"/>
          <w:sz w:val="24"/>
          <w:szCs w:val="24"/>
        </w:rPr>
        <w:t xml:space="preserve"> is called “</w:t>
      </w:r>
      <w:proofErr w:type="spellStart"/>
      <w:r w:rsidRPr="00106B8C">
        <w:rPr>
          <w:rFonts w:ascii="Times New Roman" w:hAnsi="Times New Roman"/>
          <w:sz w:val="24"/>
          <w:szCs w:val="24"/>
        </w:rPr>
        <w:t>şirketu’l-İnan</w:t>
      </w:r>
      <w:proofErr w:type="spellEnd"/>
      <w:r w:rsidRPr="00106B8C">
        <w:rPr>
          <w:rFonts w:ascii="Times New Roman" w:hAnsi="Times New Roman"/>
          <w:sz w:val="24"/>
          <w:szCs w:val="24"/>
        </w:rPr>
        <w:t xml:space="preserve">” in the Islamic Law. While One party, i.e. bank, gives capital, and the other party, i.e. real or legal body demanding fund, gives labor in the </w:t>
      </w:r>
      <w:proofErr w:type="spellStart"/>
      <w:r w:rsidRPr="00106B8C">
        <w:rPr>
          <w:rFonts w:ascii="Times New Roman" w:hAnsi="Times New Roman"/>
          <w:sz w:val="24"/>
          <w:szCs w:val="24"/>
        </w:rPr>
        <w:t>mudaraba</w:t>
      </w:r>
      <w:proofErr w:type="spellEnd"/>
      <w:r w:rsidRPr="00106B8C">
        <w:rPr>
          <w:rFonts w:ascii="Times New Roman" w:hAnsi="Times New Roman"/>
          <w:sz w:val="24"/>
          <w:szCs w:val="24"/>
        </w:rPr>
        <w:t xml:space="preserve"> contract, both of these two parties put forward both their labor and capital in </w:t>
      </w:r>
      <w:proofErr w:type="spellStart"/>
      <w:r w:rsidRPr="00106B8C">
        <w:rPr>
          <w:rFonts w:ascii="Times New Roman" w:hAnsi="Times New Roman"/>
          <w:sz w:val="24"/>
          <w:szCs w:val="24"/>
        </w:rPr>
        <w:t>muşareke</w:t>
      </w:r>
      <w:proofErr w:type="spellEnd"/>
      <w:r w:rsidRPr="00106B8C">
        <w:rPr>
          <w:rFonts w:ascii="Times New Roman" w:hAnsi="Times New Roman"/>
          <w:sz w:val="24"/>
          <w:szCs w:val="24"/>
        </w:rPr>
        <w:t xml:space="preserve"> contract. One or more of participants of partnership realize the work, and every partner included ones which does not take part in the work too deserves a certain right </w:t>
      </w:r>
      <w:r w:rsidRPr="00106B8C">
        <w:rPr>
          <w:rFonts w:ascii="Times New Roman" w:hAnsi="Times New Roman"/>
          <w:sz w:val="24"/>
          <w:szCs w:val="24"/>
        </w:rPr>
        <w:lastRenderedPageBreak/>
        <w:t xml:space="preserve">according to the rate agreed before. Even if capitals are the same, profit shares can be different, or vice versa. The finance method called </w:t>
      </w:r>
      <w:proofErr w:type="spellStart"/>
      <w:r w:rsidRPr="00106B8C">
        <w:rPr>
          <w:rFonts w:ascii="Times New Roman" w:hAnsi="Times New Roman"/>
          <w:sz w:val="24"/>
          <w:szCs w:val="24"/>
        </w:rPr>
        <w:t>muşareke</w:t>
      </w:r>
      <w:proofErr w:type="spellEnd"/>
      <w:r w:rsidRPr="00106B8C">
        <w:rPr>
          <w:rFonts w:ascii="Times New Roman" w:hAnsi="Times New Roman"/>
          <w:sz w:val="24"/>
          <w:szCs w:val="24"/>
        </w:rPr>
        <w:t xml:space="preserve"> is applied in following manner: Islam Bank takes the responsibility to provide a part of the capital which is demanded by its customer as its partner. And the customer provides the rest of project capital due to its own financial opportunities and the qualification of the project. The customer takes the responsibility of management, control and monitoring of the financial aid because of its expertise. Taking these responsibilities, the customer deserves to take a bigger share of the profit (</w:t>
      </w:r>
      <w:proofErr w:type="spellStart"/>
      <w:r w:rsidRPr="00106B8C">
        <w:rPr>
          <w:rFonts w:ascii="Times New Roman" w:hAnsi="Times New Roman"/>
          <w:sz w:val="24"/>
          <w:szCs w:val="24"/>
        </w:rPr>
        <w:t>Küçükkocaoğlu</w:t>
      </w:r>
      <w:proofErr w:type="spellEnd"/>
      <w:r w:rsidRPr="00106B8C">
        <w:rPr>
          <w:rFonts w:ascii="Times New Roman" w:hAnsi="Times New Roman"/>
          <w:sz w:val="24"/>
          <w:szCs w:val="24"/>
        </w:rPr>
        <w:t>, 2010, p. 10).</w:t>
      </w:r>
    </w:p>
    <w:p w:rsidR="00B546D4" w:rsidRPr="00106B8C" w:rsidRDefault="00B546D4" w:rsidP="001B3496">
      <w:pPr>
        <w:pStyle w:val="AralkYok"/>
        <w:jc w:val="both"/>
        <w:rPr>
          <w:rFonts w:ascii="Times New Roman" w:hAnsi="Times New Roman"/>
          <w:sz w:val="24"/>
          <w:szCs w:val="24"/>
        </w:rPr>
      </w:pPr>
    </w:p>
    <w:p w:rsidR="001B3496" w:rsidRPr="00106B8C" w:rsidRDefault="001B3496" w:rsidP="001B3496">
      <w:pPr>
        <w:pStyle w:val="Balk3"/>
        <w:numPr>
          <w:ilvl w:val="0"/>
          <w:numId w:val="0"/>
        </w:numPr>
        <w:rPr>
          <w:sz w:val="24"/>
          <w:szCs w:val="24"/>
          <w:lang w:eastAsia="tr-TR"/>
        </w:rPr>
      </w:pPr>
      <w:proofErr w:type="spellStart"/>
      <w:r w:rsidRPr="00106B8C">
        <w:rPr>
          <w:sz w:val="24"/>
          <w:szCs w:val="24"/>
          <w:lang w:eastAsia="tr-TR"/>
        </w:rPr>
        <w:t>Selem</w:t>
      </w:r>
      <w:proofErr w:type="spellEnd"/>
      <w:r w:rsidRPr="00106B8C">
        <w:rPr>
          <w:sz w:val="24"/>
          <w:szCs w:val="24"/>
          <w:lang w:eastAsia="tr-TR"/>
        </w:rPr>
        <w:t xml:space="preserve"> </w:t>
      </w:r>
      <w:r w:rsidRPr="00106B8C">
        <w:rPr>
          <w:sz w:val="24"/>
          <w:szCs w:val="24"/>
        </w:rPr>
        <w:t>Sale: (Current Sale of Future Delivery Goods or Future Markets and Sales)</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w:t>
      </w:r>
      <w:proofErr w:type="spellStart"/>
      <w:r w:rsidRPr="00106B8C">
        <w:rPr>
          <w:rFonts w:ascii="Times New Roman" w:hAnsi="Times New Roman"/>
          <w:sz w:val="24"/>
          <w:szCs w:val="24"/>
        </w:rPr>
        <w:t>Selem</w:t>
      </w:r>
      <w:proofErr w:type="spellEnd"/>
      <w:r w:rsidRPr="00106B8C">
        <w:rPr>
          <w:rFonts w:ascii="Times New Roman" w:hAnsi="Times New Roman"/>
          <w:sz w:val="24"/>
          <w:szCs w:val="24"/>
        </w:rPr>
        <w:t xml:space="preserve"> sale” means buying a good on account with another good bought or sold in cash. The bank buys a good by paying its price in cash which is going to be delivered to the bank in a future date agreed upon in the contract between the bank and the seller. A different style of </w:t>
      </w:r>
      <w:proofErr w:type="spellStart"/>
      <w:r w:rsidRPr="00106B8C">
        <w:rPr>
          <w:rFonts w:ascii="Times New Roman" w:hAnsi="Times New Roman"/>
          <w:i/>
          <w:iCs/>
          <w:sz w:val="24"/>
          <w:szCs w:val="24"/>
        </w:rPr>
        <w:t>selem</w:t>
      </w:r>
      <w:proofErr w:type="spellEnd"/>
      <w:r w:rsidRPr="00106B8C">
        <w:rPr>
          <w:rFonts w:ascii="Times New Roman" w:hAnsi="Times New Roman"/>
          <w:sz w:val="24"/>
          <w:szCs w:val="24"/>
        </w:rPr>
        <w:t xml:space="preserve"> sale, as in funding purchase of building, machinery and equipment, can be used also in purchase of consumer durables in case of that conditions are proper in terms of economy. In other words, this finance technique can be used in order to fund industry, trade and agriculture </w:t>
      </w:r>
      <w:r w:rsidRPr="00106B8C">
        <w:rPr>
          <w:rFonts w:ascii="Times New Roman" w:hAnsi="Times New Roman"/>
          <w:noProof/>
          <w:sz w:val="24"/>
          <w:szCs w:val="24"/>
        </w:rPr>
        <w:t>(Akın, 1986, p. 163)</w:t>
      </w:r>
      <w:r w:rsidRPr="00106B8C">
        <w:rPr>
          <w:rFonts w:ascii="Times New Roman" w:hAnsi="Times New Roman"/>
          <w:sz w:val="24"/>
          <w:szCs w:val="24"/>
        </w:rPr>
        <w:t>.</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 xml:space="preserve">According to another definition, </w:t>
      </w:r>
      <w:proofErr w:type="spellStart"/>
      <w:r w:rsidRPr="00106B8C">
        <w:rPr>
          <w:rFonts w:ascii="Times New Roman" w:hAnsi="Times New Roman"/>
          <w:sz w:val="24"/>
          <w:szCs w:val="24"/>
        </w:rPr>
        <w:t>selem</w:t>
      </w:r>
      <w:proofErr w:type="spellEnd"/>
      <w:r w:rsidRPr="00106B8C">
        <w:rPr>
          <w:rFonts w:ascii="Times New Roman" w:hAnsi="Times New Roman"/>
          <w:sz w:val="24"/>
          <w:szCs w:val="24"/>
        </w:rPr>
        <w:t xml:space="preserve"> is the sale activity which is made with money in cash and goods on account. In </w:t>
      </w:r>
      <w:proofErr w:type="spellStart"/>
      <w:r w:rsidRPr="00106B8C">
        <w:rPr>
          <w:rFonts w:ascii="Times New Roman" w:hAnsi="Times New Roman"/>
          <w:sz w:val="24"/>
          <w:szCs w:val="24"/>
        </w:rPr>
        <w:t>selem</w:t>
      </w:r>
      <w:proofErr w:type="spellEnd"/>
      <w:r w:rsidRPr="00106B8C">
        <w:rPr>
          <w:rFonts w:ascii="Times New Roman" w:hAnsi="Times New Roman"/>
          <w:sz w:val="24"/>
          <w:szCs w:val="24"/>
        </w:rPr>
        <w:t xml:space="preserve">, type, quality, amount, price, delivery place and date of the product have to be determined in the contract. With the help of </w:t>
      </w:r>
      <w:proofErr w:type="spellStart"/>
      <w:r w:rsidRPr="00106B8C">
        <w:rPr>
          <w:rFonts w:ascii="Times New Roman" w:hAnsi="Times New Roman"/>
          <w:sz w:val="24"/>
          <w:szCs w:val="24"/>
        </w:rPr>
        <w:t>selem</w:t>
      </w:r>
      <w:proofErr w:type="spellEnd"/>
      <w:r w:rsidRPr="00106B8C">
        <w:rPr>
          <w:rFonts w:ascii="Times New Roman" w:hAnsi="Times New Roman"/>
          <w:sz w:val="24"/>
          <w:szCs w:val="24"/>
        </w:rPr>
        <w:t>, goods which will be produced in a future date are sold, and the needed money is obtained. On the other hand, customer buys a good which it will need in a future date. So, both parties meet their needs without using interest (</w:t>
      </w:r>
      <w:proofErr w:type="spellStart"/>
      <w:r w:rsidRPr="00106B8C">
        <w:rPr>
          <w:rFonts w:ascii="Times New Roman" w:hAnsi="Times New Roman"/>
          <w:sz w:val="24"/>
          <w:szCs w:val="24"/>
        </w:rPr>
        <w:t>Yılmaz</w:t>
      </w:r>
      <w:proofErr w:type="spellEnd"/>
      <w:r w:rsidRPr="00106B8C">
        <w:rPr>
          <w:rFonts w:ascii="Times New Roman" w:hAnsi="Times New Roman"/>
          <w:sz w:val="24"/>
          <w:szCs w:val="24"/>
        </w:rPr>
        <w:t>, 2010, p. 14). For example, a farmer which needs money is supported by the bank in terms of capital, and the bank sells the yield in the market.</w:t>
      </w:r>
    </w:p>
    <w:p w:rsidR="00B546D4" w:rsidRPr="00106B8C" w:rsidRDefault="00B546D4" w:rsidP="001B3496">
      <w:pPr>
        <w:pStyle w:val="AralkYok"/>
        <w:jc w:val="both"/>
        <w:rPr>
          <w:rFonts w:ascii="Times New Roman" w:hAnsi="Times New Roman"/>
          <w:sz w:val="24"/>
          <w:szCs w:val="24"/>
        </w:rPr>
      </w:pPr>
    </w:p>
    <w:p w:rsidR="001B3496" w:rsidRPr="00106B8C" w:rsidRDefault="001B3496" w:rsidP="001B3496">
      <w:pPr>
        <w:pStyle w:val="Balk3"/>
        <w:numPr>
          <w:ilvl w:val="0"/>
          <w:numId w:val="0"/>
        </w:numPr>
        <w:rPr>
          <w:sz w:val="24"/>
          <w:szCs w:val="24"/>
        </w:rPr>
      </w:pPr>
      <w:r w:rsidRPr="00106B8C">
        <w:rPr>
          <w:sz w:val="24"/>
          <w:szCs w:val="24"/>
        </w:rPr>
        <w:t xml:space="preserve">Documents </w:t>
      </w:r>
      <w:r w:rsidR="00B546D4" w:rsidRPr="00106B8C">
        <w:rPr>
          <w:sz w:val="24"/>
          <w:szCs w:val="24"/>
        </w:rPr>
        <w:t>a</w:t>
      </w:r>
      <w:r w:rsidRPr="00106B8C">
        <w:rPr>
          <w:sz w:val="24"/>
          <w:szCs w:val="24"/>
        </w:rPr>
        <w:t>gainst Payment</w:t>
      </w:r>
    </w:p>
    <w:p w:rsidR="001B3496" w:rsidRPr="00106B8C" w:rsidRDefault="001B3496" w:rsidP="001B3496">
      <w:pPr>
        <w:pStyle w:val="AralkYok"/>
        <w:jc w:val="both"/>
        <w:rPr>
          <w:rFonts w:ascii="Times New Roman" w:hAnsi="Times New Roman"/>
          <w:sz w:val="24"/>
          <w:szCs w:val="24"/>
        </w:rPr>
      </w:pPr>
      <w:r w:rsidRPr="00106B8C">
        <w:rPr>
          <w:rFonts w:ascii="Times New Roman" w:hAnsi="Times New Roman"/>
          <w:sz w:val="24"/>
          <w:szCs w:val="24"/>
        </w:rPr>
        <w:t xml:space="preserve">This type of fund utilization method is used for funding of foreign trade. According to the contract signed between participation bank and the party using fund, the participation banks buy documents against payment in cash, and sells to one using fund on account with a higher price. This type of finance technique is mainly based on the method of </w:t>
      </w:r>
      <w:proofErr w:type="spellStart"/>
      <w:r w:rsidRPr="00106B8C">
        <w:rPr>
          <w:rFonts w:ascii="Times New Roman" w:hAnsi="Times New Roman"/>
          <w:i/>
          <w:iCs/>
          <w:sz w:val="24"/>
          <w:szCs w:val="24"/>
        </w:rPr>
        <w:t>murabaha</w:t>
      </w:r>
      <w:proofErr w:type="spellEnd"/>
      <w:r w:rsidRPr="00106B8C">
        <w:rPr>
          <w:rFonts w:ascii="Times New Roman" w:hAnsi="Times New Roman"/>
          <w:sz w:val="24"/>
          <w:szCs w:val="24"/>
        </w:rPr>
        <w:t xml:space="preserve"> (forward sale) </w:t>
      </w:r>
      <w:r w:rsidRPr="00106B8C">
        <w:rPr>
          <w:rFonts w:ascii="Times New Roman" w:hAnsi="Times New Roman"/>
          <w:noProof/>
          <w:sz w:val="24"/>
          <w:szCs w:val="24"/>
        </w:rPr>
        <w:t>(Akın, 1986, p. 290)</w:t>
      </w:r>
      <w:r w:rsidRPr="00106B8C">
        <w:rPr>
          <w:rFonts w:ascii="Times New Roman" w:hAnsi="Times New Roman"/>
          <w:sz w:val="24"/>
          <w:szCs w:val="24"/>
        </w:rPr>
        <w:t xml:space="preserve">. </w:t>
      </w:r>
      <w:proofErr w:type="gramStart"/>
      <w:r w:rsidRPr="00106B8C">
        <w:rPr>
          <w:rFonts w:ascii="Times New Roman" w:hAnsi="Times New Roman"/>
          <w:sz w:val="24"/>
          <w:szCs w:val="24"/>
        </w:rPr>
        <w:t>However, methods and documents used in foreign trade gain importance at that point.</w:t>
      </w:r>
      <w:proofErr w:type="gramEnd"/>
      <w:r w:rsidRPr="00106B8C">
        <w:rPr>
          <w:rFonts w:ascii="Times New Roman" w:hAnsi="Times New Roman"/>
          <w:sz w:val="24"/>
          <w:szCs w:val="24"/>
        </w:rPr>
        <w:t xml:space="preserve"> Documents are used in foreign trade especially in operations of documented credit. They are documents which assure importer’s custom clearance of goods sent by exporter. Therefore, these documents which make possible that goods entering in customs in the country of exporter are delivered by customs authorities are undertake the ownership of goods as documents with status of valuable papers.</w:t>
      </w:r>
    </w:p>
    <w:p w:rsidR="00B546D4" w:rsidRPr="00106B8C" w:rsidRDefault="001B3496" w:rsidP="00B546D4">
      <w:pPr>
        <w:pStyle w:val="AralkYok"/>
        <w:jc w:val="both"/>
        <w:rPr>
          <w:rFonts w:ascii="Times New Roman" w:hAnsi="Times New Roman"/>
          <w:sz w:val="24"/>
          <w:szCs w:val="24"/>
        </w:rPr>
      </w:pPr>
      <w:r w:rsidRPr="00106B8C">
        <w:rPr>
          <w:rFonts w:ascii="Times New Roman" w:hAnsi="Times New Roman"/>
          <w:sz w:val="24"/>
          <w:szCs w:val="24"/>
        </w:rPr>
        <w:t xml:space="preserve">It means that a participation bank buys goods abroad in the name of its customer who gave him order, and sells them to its customer. </w:t>
      </w:r>
    </w:p>
    <w:p w:rsidR="00B546D4" w:rsidRPr="00106B8C" w:rsidRDefault="00B546D4" w:rsidP="00B546D4">
      <w:pPr>
        <w:pStyle w:val="AralkYok"/>
        <w:jc w:val="both"/>
        <w:rPr>
          <w:rFonts w:ascii="Times New Roman" w:hAnsi="Times New Roman"/>
          <w:sz w:val="24"/>
          <w:szCs w:val="24"/>
        </w:rPr>
      </w:pPr>
    </w:p>
    <w:p w:rsidR="00B546D4" w:rsidRPr="00106B8C" w:rsidRDefault="001B3496" w:rsidP="00B546D4">
      <w:pPr>
        <w:pStyle w:val="AralkYok"/>
        <w:numPr>
          <w:ilvl w:val="0"/>
          <w:numId w:val="29"/>
        </w:numPr>
        <w:jc w:val="both"/>
        <w:rPr>
          <w:rFonts w:ascii="Times New Roman" w:hAnsi="Times New Roman"/>
          <w:b/>
          <w:sz w:val="24"/>
          <w:szCs w:val="24"/>
        </w:rPr>
      </w:pPr>
      <w:r w:rsidRPr="00106B8C">
        <w:rPr>
          <w:rFonts w:ascii="Times New Roman" w:hAnsi="Times New Roman"/>
          <w:b/>
          <w:sz w:val="24"/>
          <w:szCs w:val="24"/>
        </w:rPr>
        <w:t>Personnel and Branch Structure of Participation Banks</w:t>
      </w:r>
    </w:p>
    <w:p w:rsidR="00B546D4" w:rsidRPr="00106B8C" w:rsidRDefault="00B546D4" w:rsidP="00B546D4">
      <w:pPr>
        <w:pStyle w:val="AralkYok"/>
        <w:jc w:val="both"/>
        <w:rPr>
          <w:rFonts w:ascii="Times New Roman" w:hAnsi="Times New Roman"/>
          <w:b/>
          <w:sz w:val="24"/>
          <w:szCs w:val="24"/>
        </w:rPr>
      </w:pPr>
    </w:p>
    <w:p w:rsidR="00B546D4" w:rsidRPr="00106B8C" w:rsidRDefault="001B3496" w:rsidP="00B546D4">
      <w:pPr>
        <w:pStyle w:val="AralkYok"/>
        <w:jc w:val="both"/>
        <w:rPr>
          <w:rFonts w:ascii="Times New Roman" w:hAnsi="Times New Roman"/>
          <w:sz w:val="24"/>
          <w:szCs w:val="24"/>
        </w:rPr>
      </w:pPr>
      <w:r w:rsidRPr="00106B8C">
        <w:rPr>
          <w:rFonts w:ascii="Times New Roman" w:hAnsi="Times New Roman"/>
          <w:b/>
          <w:sz w:val="24"/>
          <w:szCs w:val="24"/>
        </w:rPr>
        <w:t>Growth of Branch Numbers</w:t>
      </w:r>
    </w:p>
    <w:p w:rsidR="001B3496" w:rsidRPr="00106B8C" w:rsidRDefault="001B3496" w:rsidP="00B546D4">
      <w:pPr>
        <w:pStyle w:val="AralkYok"/>
        <w:jc w:val="both"/>
        <w:rPr>
          <w:rFonts w:ascii="Times New Roman" w:hAnsi="Times New Roman"/>
          <w:b/>
          <w:sz w:val="24"/>
          <w:szCs w:val="24"/>
        </w:rPr>
      </w:pPr>
      <w:r w:rsidRPr="00106B8C">
        <w:rPr>
          <w:rFonts w:ascii="Times New Roman" w:hAnsi="Times New Roman"/>
          <w:sz w:val="24"/>
          <w:szCs w:val="24"/>
          <w:lang w:eastAsia="lt-LT"/>
        </w:rPr>
        <w:t xml:space="preserve">As of the end of 2012, the number of deposit banks founded in Turkey is 32. While 3 of them are based on public capital, 12 of them are based on domestic private capital, and 16 of them are based on foreign private capital, 1 of them belongs to SIDF. Additionally, there are 13 development and investment banks founded in Turkey. When we take also 4 participation banks into consideration, it is seen that the number of banks in Turkey reaches to 49. </w:t>
      </w:r>
    </w:p>
    <w:p w:rsidR="001B3496" w:rsidRPr="00106B8C" w:rsidRDefault="001B3496" w:rsidP="00B546D4">
      <w:pPr>
        <w:pStyle w:val="Balk2"/>
        <w:numPr>
          <w:ilvl w:val="0"/>
          <w:numId w:val="0"/>
        </w:numPr>
        <w:rPr>
          <w:b w:val="0"/>
          <w:sz w:val="24"/>
          <w:szCs w:val="24"/>
          <w:lang w:eastAsia="lt-LT"/>
        </w:rPr>
      </w:pPr>
      <w:r w:rsidRPr="00106B8C">
        <w:rPr>
          <w:b w:val="0"/>
          <w:sz w:val="24"/>
          <w:szCs w:val="24"/>
          <w:lang w:eastAsia="lt-LT"/>
        </w:rPr>
        <w:lastRenderedPageBreak/>
        <w:t xml:space="preserve">The number of branches of deposit banks was 7.570 in 2007, and reached to </w:t>
      </w:r>
      <w:r w:rsidR="00B546D4" w:rsidRPr="00106B8C">
        <w:rPr>
          <w:b w:val="0"/>
          <w:sz w:val="24"/>
          <w:szCs w:val="24"/>
          <w:lang w:eastAsia="lt-LT"/>
        </w:rPr>
        <w:t>10.234 with</w:t>
      </w:r>
      <w:r w:rsidRPr="00106B8C">
        <w:rPr>
          <w:b w:val="0"/>
          <w:sz w:val="24"/>
          <w:szCs w:val="24"/>
          <w:lang w:eastAsia="lt-LT"/>
        </w:rPr>
        <w:t xml:space="preserve"> an increase </w:t>
      </w:r>
      <w:r w:rsidR="00B546D4" w:rsidRPr="00106B8C">
        <w:rPr>
          <w:b w:val="0"/>
          <w:sz w:val="24"/>
          <w:szCs w:val="24"/>
          <w:lang w:eastAsia="lt-LT"/>
        </w:rPr>
        <w:t>of 35, 2</w:t>
      </w:r>
      <w:r w:rsidRPr="00106B8C">
        <w:rPr>
          <w:bCs/>
          <w:sz w:val="24"/>
          <w:szCs w:val="24"/>
          <w:lang w:eastAsia="lt-LT"/>
        </w:rPr>
        <w:t xml:space="preserve"> %</w:t>
      </w:r>
      <w:r w:rsidRPr="00106B8C">
        <w:rPr>
          <w:b w:val="0"/>
          <w:sz w:val="24"/>
          <w:szCs w:val="24"/>
          <w:lang w:eastAsia="lt-LT"/>
        </w:rPr>
        <w:t xml:space="preserve"> as of the end of 2012. The number of branches of participation banks was 422 in 2007, and reached to 828 with an increase of </w:t>
      </w:r>
      <w:r w:rsidRPr="00106B8C">
        <w:rPr>
          <w:bCs/>
          <w:sz w:val="24"/>
          <w:szCs w:val="24"/>
          <w:lang w:eastAsia="lt-LT"/>
        </w:rPr>
        <w:t>96</w:t>
      </w:r>
      <w:r w:rsidR="00B546D4" w:rsidRPr="00106B8C">
        <w:rPr>
          <w:bCs/>
          <w:sz w:val="24"/>
          <w:szCs w:val="24"/>
          <w:lang w:eastAsia="lt-LT"/>
        </w:rPr>
        <w:t>, 2</w:t>
      </w:r>
      <w:r w:rsidRPr="00106B8C">
        <w:rPr>
          <w:bCs/>
          <w:sz w:val="24"/>
          <w:szCs w:val="24"/>
          <w:lang w:eastAsia="lt-LT"/>
        </w:rPr>
        <w:t xml:space="preserve"> %</w:t>
      </w:r>
      <w:r w:rsidRPr="00106B8C">
        <w:rPr>
          <w:b w:val="0"/>
          <w:sz w:val="24"/>
          <w:szCs w:val="24"/>
          <w:lang w:eastAsia="lt-LT"/>
        </w:rPr>
        <w:t xml:space="preserve"> as of the end of 2012. </w:t>
      </w:r>
    </w:p>
    <w:p w:rsidR="001B3496" w:rsidRPr="00106B8C" w:rsidRDefault="001B3496" w:rsidP="00B546D4">
      <w:pPr>
        <w:pStyle w:val="Balk2"/>
        <w:numPr>
          <w:ilvl w:val="0"/>
          <w:numId w:val="0"/>
        </w:numPr>
        <w:rPr>
          <w:b w:val="0"/>
          <w:sz w:val="24"/>
          <w:szCs w:val="24"/>
          <w:lang w:eastAsia="lt-LT"/>
        </w:rPr>
      </w:pPr>
      <w:r w:rsidRPr="00106B8C">
        <w:rPr>
          <w:b w:val="0"/>
          <w:sz w:val="24"/>
          <w:szCs w:val="24"/>
          <w:lang w:eastAsia="lt-LT"/>
        </w:rPr>
        <w:t>3 public banks and 1 SIDF bank excluded, each of 28 private deposit banks has average 254 branches, and each of 4 participation banks has average 207 branches. Looking at the growth rates of the number of their branches from 2007 to 2012, it is seen that the growth rate of branches of participation banks is almost three times more than deposit banks. The table below shows the position of participation banks within themselves.</w:t>
      </w:r>
    </w:p>
    <w:p w:rsidR="00B546D4" w:rsidRPr="00106B8C" w:rsidRDefault="00B546D4" w:rsidP="00B546D4">
      <w:pPr>
        <w:rPr>
          <w:lang w:val="en-US" w:eastAsia="lt-LT"/>
        </w:rPr>
      </w:pPr>
    </w:p>
    <w:p w:rsidR="001B3496" w:rsidRPr="00106B8C" w:rsidRDefault="00B546D4" w:rsidP="00B546D4">
      <w:pPr>
        <w:spacing w:after="120"/>
        <w:ind w:right="849"/>
        <w:jc w:val="center"/>
        <w:rPr>
          <w:bCs/>
          <w:lang w:val="en-US"/>
        </w:rPr>
      </w:pPr>
      <w:r w:rsidRPr="00106B8C">
        <w:rPr>
          <w:bCs/>
          <w:lang w:val="en-US"/>
        </w:rPr>
        <w:t>Table 1</w:t>
      </w:r>
      <w:r w:rsidR="001B3496" w:rsidRPr="00106B8C">
        <w:rPr>
          <w:bCs/>
          <w:lang w:val="en-US"/>
        </w:rPr>
        <w:t xml:space="preserve"> Growth of Branch Numbers, 2007-2012</w:t>
      </w:r>
    </w:p>
    <w:p w:rsidR="00B546D4" w:rsidRPr="00106B8C" w:rsidRDefault="00B546D4" w:rsidP="00B546D4">
      <w:pPr>
        <w:spacing w:after="120"/>
        <w:ind w:right="849"/>
        <w:jc w:val="center"/>
        <w:rPr>
          <w:bCs/>
          <w:lang w:val="en-US"/>
        </w:rPr>
      </w:pPr>
    </w:p>
    <w:tbl>
      <w:tblPr>
        <w:tblStyle w:val="AkGlgeleme"/>
        <w:tblW w:w="4487" w:type="pct"/>
        <w:jc w:val="center"/>
        <w:tblLook w:val="04A0" w:firstRow="1" w:lastRow="0" w:firstColumn="1" w:lastColumn="0" w:noHBand="0" w:noVBand="1"/>
      </w:tblPr>
      <w:tblGrid>
        <w:gridCol w:w="2404"/>
        <w:gridCol w:w="1356"/>
        <w:gridCol w:w="1113"/>
        <w:gridCol w:w="1110"/>
        <w:gridCol w:w="1110"/>
        <w:gridCol w:w="986"/>
      </w:tblGrid>
      <w:tr w:rsidR="001B3496" w:rsidRPr="00106B8C" w:rsidTr="00B546D4">
        <w:trPr>
          <w:cnfStyle w:val="100000000000" w:firstRow="1" w:lastRow="0" w:firstColumn="0" w:lastColumn="0" w:oddVBand="0" w:evenVBand="0" w:oddHBand="0" w:evenHBand="0"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1488"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END OF YEAR</w:t>
            </w:r>
          </w:p>
        </w:tc>
        <w:tc>
          <w:tcPr>
            <w:tcW w:w="839" w:type="pct"/>
            <w:shd w:val="clear" w:color="auto" w:fill="auto"/>
            <w:hideMark/>
          </w:tcPr>
          <w:p w:rsidR="001B3496" w:rsidRPr="00106B8C" w:rsidRDefault="001B3496" w:rsidP="00B546D4">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106B8C">
              <w:rPr>
                <w:b w:val="0"/>
                <w:bCs w:val="0"/>
                <w:sz w:val="20"/>
                <w:szCs w:val="20"/>
                <w:lang w:val="en-US"/>
              </w:rPr>
              <w:t>ALBARAKA TÜRK</w:t>
            </w:r>
          </w:p>
        </w:tc>
        <w:tc>
          <w:tcPr>
            <w:tcW w:w="689" w:type="pct"/>
            <w:shd w:val="clear" w:color="auto" w:fill="auto"/>
            <w:hideMark/>
          </w:tcPr>
          <w:p w:rsidR="001B3496" w:rsidRPr="00106B8C" w:rsidRDefault="001B3496" w:rsidP="00B546D4">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106B8C">
              <w:rPr>
                <w:b w:val="0"/>
                <w:bCs w:val="0"/>
                <w:sz w:val="20"/>
                <w:szCs w:val="20"/>
                <w:lang w:val="en-US"/>
              </w:rPr>
              <w:t>BANK ASYA</w:t>
            </w:r>
          </w:p>
        </w:tc>
        <w:tc>
          <w:tcPr>
            <w:tcW w:w="687" w:type="pct"/>
            <w:shd w:val="clear" w:color="auto" w:fill="auto"/>
            <w:hideMark/>
          </w:tcPr>
          <w:p w:rsidR="001B3496" w:rsidRPr="00106B8C" w:rsidRDefault="001B3496" w:rsidP="00B546D4">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106B8C">
              <w:rPr>
                <w:b w:val="0"/>
                <w:bCs w:val="0"/>
                <w:sz w:val="20"/>
                <w:szCs w:val="20"/>
                <w:lang w:val="en-US"/>
              </w:rPr>
              <w:t>KUVEYT TÜRK</w:t>
            </w:r>
          </w:p>
        </w:tc>
        <w:tc>
          <w:tcPr>
            <w:tcW w:w="687" w:type="pct"/>
            <w:shd w:val="clear" w:color="auto" w:fill="auto"/>
            <w:hideMark/>
          </w:tcPr>
          <w:p w:rsidR="001B3496" w:rsidRPr="00106B8C" w:rsidRDefault="001B3496" w:rsidP="00B546D4">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106B8C">
              <w:rPr>
                <w:b w:val="0"/>
                <w:bCs w:val="0"/>
                <w:sz w:val="20"/>
                <w:szCs w:val="20"/>
                <w:lang w:val="en-US"/>
              </w:rPr>
              <w:t>TÜRKİYE FİNANS</w:t>
            </w:r>
          </w:p>
        </w:tc>
        <w:tc>
          <w:tcPr>
            <w:tcW w:w="611" w:type="pct"/>
            <w:shd w:val="clear" w:color="auto" w:fill="auto"/>
            <w:hideMark/>
          </w:tcPr>
          <w:p w:rsidR="001B3496" w:rsidRPr="00106B8C" w:rsidRDefault="001B3496" w:rsidP="00B546D4">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106B8C">
              <w:rPr>
                <w:b w:val="0"/>
                <w:bCs w:val="0"/>
                <w:sz w:val="20"/>
                <w:szCs w:val="20"/>
                <w:lang w:val="en-US"/>
              </w:rPr>
              <w:t>TOTAL SUM</w:t>
            </w:r>
          </w:p>
        </w:tc>
      </w:tr>
      <w:tr w:rsidR="001B3496" w:rsidRPr="00106B8C" w:rsidTr="00B546D4">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488"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Average 2007-2012</w:t>
            </w:r>
          </w:p>
        </w:tc>
        <w:tc>
          <w:tcPr>
            <w:tcW w:w="839"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106B8C">
              <w:rPr>
                <w:b/>
                <w:bCs/>
                <w:sz w:val="20"/>
                <w:szCs w:val="20"/>
                <w:lang w:val="en-US"/>
              </w:rPr>
              <w:t>108</w:t>
            </w:r>
          </w:p>
        </w:tc>
        <w:tc>
          <w:tcPr>
            <w:tcW w:w="689"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106B8C">
              <w:rPr>
                <w:b/>
                <w:bCs/>
                <w:sz w:val="20"/>
                <w:szCs w:val="20"/>
                <w:lang w:val="en-US"/>
              </w:rPr>
              <w:t>174</w:t>
            </w:r>
          </w:p>
        </w:tc>
        <w:tc>
          <w:tcPr>
            <w:tcW w:w="687"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106B8C">
              <w:rPr>
                <w:b/>
                <w:bCs/>
                <w:sz w:val="20"/>
                <w:szCs w:val="20"/>
                <w:lang w:val="en-US"/>
              </w:rPr>
              <w:t>144</w:t>
            </w:r>
          </w:p>
        </w:tc>
        <w:tc>
          <w:tcPr>
            <w:tcW w:w="687"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106B8C">
              <w:rPr>
                <w:b/>
                <w:bCs/>
                <w:sz w:val="20"/>
                <w:szCs w:val="20"/>
                <w:lang w:val="en-US"/>
              </w:rPr>
              <w:t>179</w:t>
            </w:r>
          </w:p>
        </w:tc>
        <w:tc>
          <w:tcPr>
            <w:tcW w:w="61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106B8C">
              <w:rPr>
                <w:b/>
                <w:bCs/>
                <w:sz w:val="20"/>
                <w:szCs w:val="20"/>
                <w:lang w:val="en-US"/>
              </w:rPr>
              <w:t>605</w:t>
            </w:r>
          </w:p>
        </w:tc>
      </w:tr>
      <w:tr w:rsidR="001B3496" w:rsidRPr="00106B8C" w:rsidTr="00B546D4">
        <w:trPr>
          <w:trHeight w:val="225"/>
          <w:jc w:val="center"/>
        </w:trPr>
        <w:tc>
          <w:tcPr>
            <w:cnfStyle w:val="001000000000" w:firstRow="0" w:lastRow="0" w:firstColumn="1" w:lastColumn="0" w:oddVBand="0" w:evenVBand="0" w:oddHBand="0" w:evenHBand="0" w:firstRowFirstColumn="0" w:firstRowLastColumn="0" w:lastRowFirstColumn="0" w:lastRowLastColumn="0"/>
            <w:tcW w:w="1488"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2012</w:t>
            </w:r>
          </w:p>
        </w:tc>
        <w:tc>
          <w:tcPr>
            <w:tcW w:w="839"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137</w:t>
            </w:r>
          </w:p>
        </w:tc>
        <w:tc>
          <w:tcPr>
            <w:tcW w:w="689"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250</w:t>
            </w:r>
          </w:p>
        </w:tc>
        <w:tc>
          <w:tcPr>
            <w:tcW w:w="687"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221</w:t>
            </w:r>
          </w:p>
        </w:tc>
        <w:tc>
          <w:tcPr>
            <w:tcW w:w="687"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220</w:t>
            </w:r>
          </w:p>
        </w:tc>
        <w:tc>
          <w:tcPr>
            <w:tcW w:w="611"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828</w:t>
            </w:r>
          </w:p>
        </w:tc>
      </w:tr>
      <w:tr w:rsidR="001B3496" w:rsidRPr="00106B8C" w:rsidTr="00B546D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88"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2011</w:t>
            </w:r>
          </w:p>
        </w:tc>
        <w:tc>
          <w:tcPr>
            <w:tcW w:w="839"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123</w:t>
            </w:r>
          </w:p>
        </w:tc>
        <w:tc>
          <w:tcPr>
            <w:tcW w:w="689"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200</w:t>
            </w:r>
          </w:p>
        </w:tc>
        <w:tc>
          <w:tcPr>
            <w:tcW w:w="687"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180</w:t>
            </w:r>
          </w:p>
        </w:tc>
        <w:tc>
          <w:tcPr>
            <w:tcW w:w="687"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182</w:t>
            </w:r>
          </w:p>
        </w:tc>
        <w:tc>
          <w:tcPr>
            <w:tcW w:w="61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685</w:t>
            </w:r>
          </w:p>
        </w:tc>
      </w:tr>
      <w:tr w:rsidR="001B3496" w:rsidRPr="00106B8C" w:rsidTr="00B546D4">
        <w:trPr>
          <w:trHeight w:val="225"/>
          <w:jc w:val="center"/>
        </w:trPr>
        <w:tc>
          <w:tcPr>
            <w:cnfStyle w:val="001000000000" w:firstRow="0" w:lastRow="0" w:firstColumn="1" w:lastColumn="0" w:oddVBand="0" w:evenVBand="0" w:oddHBand="0" w:evenHBand="0" w:firstRowFirstColumn="0" w:firstRowLastColumn="0" w:lastRowFirstColumn="0" w:lastRowLastColumn="0"/>
            <w:tcW w:w="1488"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2010</w:t>
            </w:r>
          </w:p>
        </w:tc>
        <w:tc>
          <w:tcPr>
            <w:tcW w:w="839"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109</w:t>
            </w:r>
          </w:p>
        </w:tc>
        <w:tc>
          <w:tcPr>
            <w:tcW w:w="689"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175</w:t>
            </w:r>
          </w:p>
        </w:tc>
        <w:tc>
          <w:tcPr>
            <w:tcW w:w="687"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141</w:t>
            </w:r>
          </w:p>
        </w:tc>
        <w:tc>
          <w:tcPr>
            <w:tcW w:w="687"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182</w:t>
            </w:r>
          </w:p>
        </w:tc>
        <w:tc>
          <w:tcPr>
            <w:tcW w:w="611"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607</w:t>
            </w:r>
          </w:p>
        </w:tc>
      </w:tr>
      <w:tr w:rsidR="001B3496" w:rsidRPr="00106B8C" w:rsidTr="00B546D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88"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2009</w:t>
            </w:r>
          </w:p>
        </w:tc>
        <w:tc>
          <w:tcPr>
            <w:tcW w:w="839"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101</w:t>
            </w:r>
          </w:p>
        </w:tc>
        <w:tc>
          <w:tcPr>
            <w:tcW w:w="689"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158</w:t>
            </w:r>
          </w:p>
        </w:tc>
        <w:tc>
          <w:tcPr>
            <w:tcW w:w="687"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121</w:t>
            </w:r>
          </w:p>
        </w:tc>
        <w:tc>
          <w:tcPr>
            <w:tcW w:w="687"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180</w:t>
            </w:r>
          </w:p>
        </w:tc>
        <w:tc>
          <w:tcPr>
            <w:tcW w:w="61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560</w:t>
            </w:r>
          </w:p>
        </w:tc>
      </w:tr>
      <w:tr w:rsidR="001B3496" w:rsidRPr="00106B8C" w:rsidTr="00B546D4">
        <w:trPr>
          <w:trHeight w:val="225"/>
          <w:jc w:val="center"/>
        </w:trPr>
        <w:tc>
          <w:tcPr>
            <w:cnfStyle w:val="001000000000" w:firstRow="0" w:lastRow="0" w:firstColumn="1" w:lastColumn="0" w:oddVBand="0" w:evenVBand="0" w:oddHBand="0" w:evenHBand="0" w:firstRowFirstColumn="0" w:firstRowLastColumn="0" w:lastRowFirstColumn="0" w:lastRowLastColumn="0"/>
            <w:tcW w:w="1488"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2008</w:t>
            </w:r>
          </w:p>
        </w:tc>
        <w:tc>
          <w:tcPr>
            <w:tcW w:w="839"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100</w:t>
            </w:r>
          </w:p>
        </w:tc>
        <w:tc>
          <w:tcPr>
            <w:tcW w:w="689"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143</w:t>
            </w:r>
          </w:p>
        </w:tc>
        <w:tc>
          <w:tcPr>
            <w:tcW w:w="687"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113</w:t>
            </w:r>
          </w:p>
        </w:tc>
        <w:tc>
          <w:tcPr>
            <w:tcW w:w="687"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174</w:t>
            </w:r>
          </w:p>
        </w:tc>
        <w:tc>
          <w:tcPr>
            <w:tcW w:w="611"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530</w:t>
            </w:r>
          </w:p>
        </w:tc>
      </w:tr>
      <w:tr w:rsidR="001B3496" w:rsidRPr="00106B8C" w:rsidTr="00B546D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488"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2007</w:t>
            </w:r>
          </w:p>
        </w:tc>
        <w:tc>
          <w:tcPr>
            <w:tcW w:w="839"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80</w:t>
            </w:r>
          </w:p>
        </w:tc>
        <w:tc>
          <w:tcPr>
            <w:tcW w:w="689"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118</w:t>
            </w:r>
          </w:p>
        </w:tc>
        <w:tc>
          <w:tcPr>
            <w:tcW w:w="687"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87</w:t>
            </w:r>
          </w:p>
        </w:tc>
        <w:tc>
          <w:tcPr>
            <w:tcW w:w="687"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137</w:t>
            </w:r>
          </w:p>
        </w:tc>
        <w:tc>
          <w:tcPr>
            <w:tcW w:w="61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422</w:t>
            </w:r>
          </w:p>
        </w:tc>
      </w:tr>
    </w:tbl>
    <w:p w:rsidR="00B546D4" w:rsidRPr="00106B8C" w:rsidRDefault="00B546D4" w:rsidP="00B546D4">
      <w:pPr>
        <w:spacing w:after="120"/>
        <w:jc w:val="both"/>
        <w:rPr>
          <w:b/>
          <w:bCs/>
          <w:lang w:val="en-US"/>
        </w:rPr>
      </w:pPr>
    </w:p>
    <w:p w:rsidR="001B3496" w:rsidRPr="00106B8C" w:rsidRDefault="00B546D4" w:rsidP="00B546D4">
      <w:pPr>
        <w:spacing w:after="120"/>
        <w:jc w:val="center"/>
        <w:rPr>
          <w:bCs/>
          <w:lang w:val="en-US"/>
        </w:rPr>
      </w:pPr>
      <w:r w:rsidRPr="00106B8C">
        <w:rPr>
          <w:bCs/>
          <w:lang w:val="en-US"/>
        </w:rPr>
        <w:t>Table 1/b</w:t>
      </w:r>
      <w:r w:rsidR="001B3496" w:rsidRPr="00106B8C">
        <w:rPr>
          <w:bCs/>
          <w:lang w:val="en-US"/>
        </w:rPr>
        <w:t xml:space="preserve"> Increase Rate from Previous Year at Branch Numbers, 2007-2012</w:t>
      </w:r>
    </w:p>
    <w:p w:rsidR="00B546D4" w:rsidRPr="00106B8C" w:rsidRDefault="00B546D4" w:rsidP="00B546D4">
      <w:pPr>
        <w:spacing w:after="120"/>
        <w:jc w:val="center"/>
        <w:rPr>
          <w:bCs/>
          <w:lang w:val="en-US"/>
        </w:rPr>
      </w:pPr>
    </w:p>
    <w:tbl>
      <w:tblPr>
        <w:tblStyle w:val="AkGlgeleme"/>
        <w:tblW w:w="4556" w:type="pct"/>
        <w:jc w:val="center"/>
        <w:tblLook w:val="04A0" w:firstRow="1" w:lastRow="0" w:firstColumn="1" w:lastColumn="0" w:noHBand="0" w:noVBand="1"/>
      </w:tblPr>
      <w:tblGrid>
        <w:gridCol w:w="1715"/>
        <w:gridCol w:w="1328"/>
        <w:gridCol w:w="788"/>
        <w:gridCol w:w="1039"/>
        <w:gridCol w:w="1094"/>
        <w:gridCol w:w="2240"/>
      </w:tblGrid>
      <w:tr w:rsidR="001B3496" w:rsidRPr="00106B8C" w:rsidTr="00B546D4">
        <w:trPr>
          <w:cnfStyle w:val="100000000000" w:firstRow="1" w:lastRow="0" w:firstColumn="0" w:lastColumn="0" w:oddVBand="0" w:evenVBand="0" w:oddHBand="0" w:evenHBand="0" w:firstRowFirstColumn="0" w:firstRowLastColumn="0" w:lastRowFirstColumn="0" w:lastRowLastColumn="0"/>
          <w:trHeight w:val="341"/>
          <w:jc w:val="center"/>
        </w:trPr>
        <w:tc>
          <w:tcPr>
            <w:cnfStyle w:val="001000000000" w:firstRow="0" w:lastRow="0" w:firstColumn="1" w:lastColumn="0" w:oddVBand="0" w:evenVBand="0" w:oddHBand="0" w:evenHBand="0" w:firstRowFirstColumn="0" w:firstRowLastColumn="0" w:lastRowFirstColumn="0" w:lastRowLastColumn="0"/>
            <w:tcW w:w="1091"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END OF YEAR</w:t>
            </w:r>
          </w:p>
        </w:tc>
        <w:tc>
          <w:tcPr>
            <w:tcW w:w="752" w:type="pct"/>
            <w:shd w:val="clear" w:color="auto" w:fill="auto"/>
            <w:hideMark/>
          </w:tcPr>
          <w:p w:rsidR="001B3496" w:rsidRPr="00106B8C" w:rsidRDefault="001B3496" w:rsidP="00B546D4">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106B8C">
              <w:rPr>
                <w:b w:val="0"/>
                <w:bCs w:val="0"/>
                <w:sz w:val="20"/>
                <w:szCs w:val="20"/>
                <w:lang w:val="en-US"/>
              </w:rPr>
              <w:t>ALBARAKA TÜRK</w:t>
            </w:r>
          </w:p>
        </w:tc>
        <w:tc>
          <w:tcPr>
            <w:tcW w:w="526" w:type="pct"/>
            <w:shd w:val="clear" w:color="auto" w:fill="auto"/>
            <w:hideMark/>
          </w:tcPr>
          <w:p w:rsidR="001B3496" w:rsidRPr="00106B8C" w:rsidRDefault="001B3496" w:rsidP="00B546D4">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106B8C">
              <w:rPr>
                <w:b w:val="0"/>
                <w:bCs w:val="0"/>
                <w:sz w:val="20"/>
                <w:szCs w:val="20"/>
                <w:lang w:val="en-US"/>
              </w:rPr>
              <w:t>BANK ASYA</w:t>
            </w:r>
          </w:p>
        </w:tc>
        <w:tc>
          <w:tcPr>
            <w:tcW w:w="601" w:type="pct"/>
            <w:shd w:val="clear" w:color="auto" w:fill="auto"/>
            <w:hideMark/>
          </w:tcPr>
          <w:p w:rsidR="001B3496" w:rsidRPr="00106B8C" w:rsidRDefault="001B3496" w:rsidP="00B546D4">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106B8C">
              <w:rPr>
                <w:b w:val="0"/>
                <w:bCs w:val="0"/>
                <w:sz w:val="20"/>
                <w:szCs w:val="20"/>
                <w:lang w:val="en-US"/>
              </w:rPr>
              <w:t>KUVEYT TÜRK</w:t>
            </w:r>
          </w:p>
        </w:tc>
        <w:tc>
          <w:tcPr>
            <w:tcW w:w="619" w:type="pct"/>
            <w:shd w:val="clear" w:color="auto" w:fill="auto"/>
            <w:hideMark/>
          </w:tcPr>
          <w:p w:rsidR="001B3496" w:rsidRPr="00106B8C" w:rsidRDefault="001B3496" w:rsidP="00B546D4">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106B8C">
              <w:rPr>
                <w:b w:val="0"/>
                <w:bCs w:val="0"/>
                <w:sz w:val="20"/>
                <w:szCs w:val="20"/>
                <w:lang w:val="en-US"/>
              </w:rPr>
              <w:t>TÜRKİYE FİNANS</w:t>
            </w:r>
          </w:p>
        </w:tc>
        <w:tc>
          <w:tcPr>
            <w:tcW w:w="1411" w:type="pct"/>
            <w:shd w:val="clear" w:color="auto" w:fill="auto"/>
            <w:hideMark/>
          </w:tcPr>
          <w:p w:rsidR="001B3496" w:rsidRPr="00106B8C" w:rsidRDefault="001B3496" w:rsidP="00B546D4">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106B8C">
              <w:rPr>
                <w:b w:val="0"/>
                <w:bCs w:val="0"/>
                <w:sz w:val="20"/>
                <w:szCs w:val="20"/>
                <w:lang w:val="en-US"/>
              </w:rPr>
              <w:t xml:space="preserve">Increase Rate From </w:t>
            </w:r>
            <w:proofErr w:type="spellStart"/>
            <w:r w:rsidRPr="00106B8C">
              <w:rPr>
                <w:b w:val="0"/>
                <w:bCs w:val="0"/>
                <w:sz w:val="20"/>
                <w:szCs w:val="20"/>
                <w:lang w:val="en-US"/>
              </w:rPr>
              <w:t>Prev.Year</w:t>
            </w:r>
            <w:proofErr w:type="spellEnd"/>
            <w:r w:rsidRPr="00106B8C">
              <w:rPr>
                <w:b w:val="0"/>
                <w:bCs w:val="0"/>
                <w:sz w:val="20"/>
                <w:szCs w:val="20"/>
                <w:lang w:val="en-US"/>
              </w:rPr>
              <w:t xml:space="preserve"> Total Sum</w:t>
            </w:r>
          </w:p>
        </w:tc>
      </w:tr>
      <w:tr w:rsidR="001B3496" w:rsidRPr="00106B8C" w:rsidTr="00B546D4">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091"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Average 2007-2012</w:t>
            </w:r>
          </w:p>
        </w:tc>
        <w:tc>
          <w:tcPr>
            <w:tcW w:w="752"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106B8C">
              <w:rPr>
                <w:b/>
                <w:bCs/>
                <w:sz w:val="20"/>
                <w:szCs w:val="20"/>
                <w:lang w:val="en-US"/>
              </w:rPr>
              <w:t>14%</w:t>
            </w:r>
          </w:p>
        </w:tc>
        <w:tc>
          <w:tcPr>
            <w:tcW w:w="526"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106B8C">
              <w:rPr>
                <w:b/>
                <w:bCs/>
                <w:sz w:val="20"/>
                <w:szCs w:val="20"/>
                <w:lang w:val="en-US"/>
              </w:rPr>
              <w:t>19%</w:t>
            </w:r>
          </w:p>
        </w:tc>
        <w:tc>
          <w:tcPr>
            <w:tcW w:w="60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106B8C">
              <w:rPr>
                <w:b/>
                <w:bCs/>
                <w:sz w:val="20"/>
                <w:szCs w:val="20"/>
                <w:lang w:val="en-US"/>
              </w:rPr>
              <w:t>19%</w:t>
            </w:r>
          </w:p>
        </w:tc>
        <w:tc>
          <w:tcPr>
            <w:tcW w:w="619"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106B8C">
              <w:rPr>
                <w:b/>
                <w:bCs/>
                <w:sz w:val="20"/>
                <w:szCs w:val="20"/>
                <w:lang w:val="en-US"/>
              </w:rPr>
              <w:t>11%</w:t>
            </w:r>
          </w:p>
        </w:tc>
        <w:tc>
          <w:tcPr>
            <w:tcW w:w="141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106B8C">
              <w:rPr>
                <w:b/>
                <w:bCs/>
                <w:sz w:val="20"/>
                <w:szCs w:val="20"/>
                <w:lang w:val="en-US"/>
              </w:rPr>
              <w:t>15%</w:t>
            </w:r>
          </w:p>
        </w:tc>
      </w:tr>
      <w:tr w:rsidR="001B3496" w:rsidRPr="00106B8C" w:rsidTr="00B546D4">
        <w:trPr>
          <w:trHeight w:val="225"/>
          <w:jc w:val="center"/>
        </w:trPr>
        <w:tc>
          <w:tcPr>
            <w:cnfStyle w:val="001000000000" w:firstRow="0" w:lastRow="0" w:firstColumn="1" w:lastColumn="0" w:oddVBand="0" w:evenVBand="0" w:oddHBand="0" w:evenHBand="0" w:firstRowFirstColumn="0" w:firstRowLastColumn="0" w:lastRowFirstColumn="0" w:lastRowLastColumn="0"/>
            <w:tcW w:w="1091"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2012</w:t>
            </w:r>
          </w:p>
        </w:tc>
        <w:tc>
          <w:tcPr>
            <w:tcW w:w="752"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11%</w:t>
            </w:r>
          </w:p>
        </w:tc>
        <w:tc>
          <w:tcPr>
            <w:tcW w:w="526"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25%</w:t>
            </w:r>
          </w:p>
        </w:tc>
        <w:tc>
          <w:tcPr>
            <w:tcW w:w="601"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23%</w:t>
            </w:r>
          </w:p>
        </w:tc>
        <w:tc>
          <w:tcPr>
            <w:tcW w:w="619"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21%</w:t>
            </w:r>
          </w:p>
        </w:tc>
        <w:tc>
          <w:tcPr>
            <w:tcW w:w="1411"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106B8C">
              <w:rPr>
                <w:b/>
                <w:bCs/>
                <w:sz w:val="20"/>
                <w:szCs w:val="20"/>
                <w:lang w:val="en-US"/>
              </w:rPr>
              <w:t>21%</w:t>
            </w:r>
          </w:p>
        </w:tc>
      </w:tr>
      <w:tr w:rsidR="001B3496" w:rsidRPr="00106B8C" w:rsidTr="00B546D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91"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2011</w:t>
            </w:r>
          </w:p>
        </w:tc>
        <w:tc>
          <w:tcPr>
            <w:tcW w:w="752"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13%</w:t>
            </w:r>
          </w:p>
        </w:tc>
        <w:tc>
          <w:tcPr>
            <w:tcW w:w="526"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14%</w:t>
            </w:r>
          </w:p>
        </w:tc>
        <w:tc>
          <w:tcPr>
            <w:tcW w:w="60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28%</w:t>
            </w:r>
          </w:p>
        </w:tc>
        <w:tc>
          <w:tcPr>
            <w:tcW w:w="619"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0%</w:t>
            </w:r>
          </w:p>
        </w:tc>
        <w:tc>
          <w:tcPr>
            <w:tcW w:w="141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106B8C">
              <w:rPr>
                <w:b/>
                <w:bCs/>
                <w:sz w:val="20"/>
                <w:szCs w:val="20"/>
                <w:lang w:val="en-US"/>
              </w:rPr>
              <w:t>13%</w:t>
            </w:r>
          </w:p>
        </w:tc>
      </w:tr>
      <w:tr w:rsidR="001B3496" w:rsidRPr="00106B8C" w:rsidTr="00B546D4">
        <w:trPr>
          <w:trHeight w:val="225"/>
          <w:jc w:val="center"/>
        </w:trPr>
        <w:tc>
          <w:tcPr>
            <w:cnfStyle w:val="001000000000" w:firstRow="0" w:lastRow="0" w:firstColumn="1" w:lastColumn="0" w:oddVBand="0" w:evenVBand="0" w:oddHBand="0" w:evenHBand="0" w:firstRowFirstColumn="0" w:firstRowLastColumn="0" w:lastRowFirstColumn="0" w:lastRowLastColumn="0"/>
            <w:tcW w:w="1091"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2010</w:t>
            </w:r>
          </w:p>
        </w:tc>
        <w:tc>
          <w:tcPr>
            <w:tcW w:w="752"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8%</w:t>
            </w:r>
          </w:p>
        </w:tc>
        <w:tc>
          <w:tcPr>
            <w:tcW w:w="526"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11%</w:t>
            </w:r>
          </w:p>
        </w:tc>
        <w:tc>
          <w:tcPr>
            <w:tcW w:w="601"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17%</w:t>
            </w:r>
          </w:p>
        </w:tc>
        <w:tc>
          <w:tcPr>
            <w:tcW w:w="619"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1%</w:t>
            </w:r>
          </w:p>
        </w:tc>
        <w:tc>
          <w:tcPr>
            <w:tcW w:w="1411"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106B8C">
              <w:rPr>
                <w:b/>
                <w:bCs/>
                <w:sz w:val="20"/>
                <w:szCs w:val="20"/>
                <w:lang w:val="en-US"/>
              </w:rPr>
              <w:t>8%</w:t>
            </w:r>
          </w:p>
        </w:tc>
      </w:tr>
      <w:tr w:rsidR="001B3496" w:rsidRPr="00106B8C" w:rsidTr="00B546D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91"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2009</w:t>
            </w:r>
          </w:p>
        </w:tc>
        <w:tc>
          <w:tcPr>
            <w:tcW w:w="752"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w:t>
            </w:r>
          </w:p>
        </w:tc>
        <w:tc>
          <w:tcPr>
            <w:tcW w:w="526"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10%</w:t>
            </w:r>
          </w:p>
        </w:tc>
        <w:tc>
          <w:tcPr>
            <w:tcW w:w="60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7%</w:t>
            </w:r>
          </w:p>
        </w:tc>
        <w:tc>
          <w:tcPr>
            <w:tcW w:w="619"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3%</w:t>
            </w:r>
          </w:p>
        </w:tc>
        <w:tc>
          <w:tcPr>
            <w:tcW w:w="141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106B8C">
              <w:rPr>
                <w:b/>
                <w:bCs/>
                <w:sz w:val="20"/>
                <w:szCs w:val="20"/>
                <w:lang w:val="en-US"/>
              </w:rPr>
              <w:t>6%</w:t>
            </w:r>
          </w:p>
        </w:tc>
      </w:tr>
      <w:tr w:rsidR="001B3496" w:rsidRPr="00106B8C" w:rsidTr="00B546D4">
        <w:trPr>
          <w:trHeight w:val="225"/>
          <w:jc w:val="center"/>
        </w:trPr>
        <w:tc>
          <w:tcPr>
            <w:cnfStyle w:val="001000000000" w:firstRow="0" w:lastRow="0" w:firstColumn="1" w:lastColumn="0" w:oddVBand="0" w:evenVBand="0" w:oddHBand="0" w:evenHBand="0" w:firstRowFirstColumn="0" w:firstRowLastColumn="0" w:lastRowFirstColumn="0" w:lastRowLastColumn="0"/>
            <w:tcW w:w="1091"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2008</w:t>
            </w:r>
          </w:p>
        </w:tc>
        <w:tc>
          <w:tcPr>
            <w:tcW w:w="752"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25%</w:t>
            </w:r>
          </w:p>
        </w:tc>
        <w:tc>
          <w:tcPr>
            <w:tcW w:w="526"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21%</w:t>
            </w:r>
          </w:p>
        </w:tc>
        <w:tc>
          <w:tcPr>
            <w:tcW w:w="601"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30%</w:t>
            </w:r>
          </w:p>
        </w:tc>
        <w:tc>
          <w:tcPr>
            <w:tcW w:w="619"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27%</w:t>
            </w:r>
          </w:p>
        </w:tc>
        <w:tc>
          <w:tcPr>
            <w:tcW w:w="1411"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b/>
                <w:bCs/>
                <w:sz w:val="20"/>
                <w:szCs w:val="20"/>
                <w:lang w:val="en-US"/>
              </w:rPr>
            </w:pPr>
            <w:r w:rsidRPr="00106B8C">
              <w:rPr>
                <w:b/>
                <w:bCs/>
                <w:sz w:val="20"/>
                <w:szCs w:val="20"/>
                <w:lang w:val="en-US"/>
              </w:rPr>
              <w:t>26%</w:t>
            </w:r>
          </w:p>
        </w:tc>
      </w:tr>
      <w:tr w:rsidR="001B3496" w:rsidRPr="00106B8C" w:rsidTr="00B546D4">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091"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2007</w:t>
            </w:r>
          </w:p>
        </w:tc>
        <w:tc>
          <w:tcPr>
            <w:tcW w:w="752"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27%</w:t>
            </w:r>
          </w:p>
        </w:tc>
        <w:tc>
          <w:tcPr>
            <w:tcW w:w="526"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30%</w:t>
            </w:r>
          </w:p>
        </w:tc>
        <w:tc>
          <w:tcPr>
            <w:tcW w:w="60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10%</w:t>
            </w:r>
          </w:p>
        </w:tc>
        <w:tc>
          <w:tcPr>
            <w:tcW w:w="619"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12%</w:t>
            </w:r>
          </w:p>
        </w:tc>
        <w:tc>
          <w:tcPr>
            <w:tcW w:w="141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106B8C">
              <w:rPr>
                <w:b/>
                <w:bCs/>
                <w:sz w:val="20"/>
                <w:szCs w:val="20"/>
                <w:lang w:val="en-US"/>
              </w:rPr>
              <w:t>19%</w:t>
            </w:r>
          </w:p>
        </w:tc>
      </w:tr>
    </w:tbl>
    <w:p w:rsidR="001B3496" w:rsidRPr="00106B8C" w:rsidRDefault="001B3496" w:rsidP="00B546D4">
      <w:pPr>
        <w:pStyle w:val="AralkYok"/>
        <w:jc w:val="both"/>
        <w:rPr>
          <w:rFonts w:ascii="Times New Roman" w:hAnsi="Times New Roman"/>
          <w:sz w:val="20"/>
          <w:szCs w:val="24"/>
        </w:rPr>
      </w:pPr>
      <w:r w:rsidRPr="00106B8C">
        <w:rPr>
          <w:rFonts w:ascii="Times New Roman" w:hAnsi="Times New Roman"/>
          <w:sz w:val="20"/>
          <w:szCs w:val="24"/>
        </w:rPr>
        <w:t>Source: Collected from data provided by (BAT, The Bank Association of Turkey, 2011) (BAT, The Bank Association of Turkey, 2012-13) (PBAT, The Participation Banks Association of Turkey, 2012-13).</w:t>
      </w:r>
    </w:p>
    <w:p w:rsidR="00B546D4" w:rsidRPr="00106B8C" w:rsidRDefault="00B546D4" w:rsidP="00B546D4">
      <w:pPr>
        <w:pStyle w:val="AralkYok"/>
        <w:jc w:val="both"/>
        <w:rPr>
          <w:rFonts w:ascii="Times New Roman" w:hAnsi="Times New Roman"/>
          <w:sz w:val="20"/>
          <w:szCs w:val="24"/>
        </w:rPr>
      </w:pPr>
    </w:p>
    <w:p w:rsidR="00B546D4" w:rsidRPr="00106B8C" w:rsidRDefault="00B546D4" w:rsidP="00B546D4">
      <w:pPr>
        <w:pStyle w:val="AralkYok"/>
        <w:jc w:val="both"/>
        <w:rPr>
          <w:rFonts w:ascii="Times New Roman" w:hAnsi="Times New Roman"/>
          <w:szCs w:val="24"/>
        </w:rPr>
      </w:pPr>
    </w:p>
    <w:p w:rsidR="001B3496" w:rsidRPr="00106B8C" w:rsidRDefault="001B3496" w:rsidP="00B546D4">
      <w:pPr>
        <w:pStyle w:val="Balk2"/>
        <w:numPr>
          <w:ilvl w:val="0"/>
          <w:numId w:val="0"/>
        </w:numPr>
        <w:rPr>
          <w:sz w:val="24"/>
          <w:szCs w:val="24"/>
        </w:rPr>
      </w:pPr>
      <w:r w:rsidRPr="00106B8C">
        <w:rPr>
          <w:sz w:val="24"/>
          <w:szCs w:val="24"/>
        </w:rPr>
        <w:t>Growth of Personnel Number</w:t>
      </w:r>
    </w:p>
    <w:p w:rsidR="001B3496" w:rsidRPr="00106B8C" w:rsidRDefault="001B3496" w:rsidP="00B546D4">
      <w:pPr>
        <w:pStyle w:val="AralkYok"/>
        <w:jc w:val="both"/>
        <w:rPr>
          <w:rFonts w:ascii="Times New Roman" w:hAnsi="Times New Roman"/>
          <w:sz w:val="24"/>
          <w:szCs w:val="24"/>
        </w:rPr>
      </w:pPr>
      <w:r w:rsidRPr="00106B8C">
        <w:rPr>
          <w:rFonts w:ascii="Times New Roman" w:hAnsi="Times New Roman"/>
          <w:sz w:val="24"/>
          <w:szCs w:val="24"/>
        </w:rPr>
        <w:t>As of the end of 2012, totally, 201.454 employees are employed in the banking sector in Turkey. Personnel number of deposit banks was 153.212 in 2007, and reached to 181.197 with an increase of 18,</w:t>
      </w:r>
      <w:r w:rsidR="00106B8C" w:rsidRPr="00106B8C">
        <w:rPr>
          <w:rFonts w:ascii="Times New Roman" w:hAnsi="Times New Roman"/>
          <w:sz w:val="24"/>
          <w:szCs w:val="24"/>
        </w:rPr>
        <w:t xml:space="preserve"> </w:t>
      </w:r>
      <w:r w:rsidRPr="00106B8C">
        <w:rPr>
          <w:rFonts w:ascii="Times New Roman" w:hAnsi="Times New Roman"/>
          <w:sz w:val="24"/>
          <w:szCs w:val="24"/>
        </w:rPr>
        <w:t xml:space="preserve">3 % as of the end of 2012. The number of personnel of participation banks was 9.215 in 2007, and reached to </w:t>
      </w:r>
      <w:r w:rsidR="00B546D4" w:rsidRPr="00106B8C">
        <w:rPr>
          <w:rFonts w:ascii="Times New Roman" w:hAnsi="Times New Roman"/>
          <w:sz w:val="24"/>
          <w:szCs w:val="24"/>
        </w:rPr>
        <w:t>15.356 with</w:t>
      </w:r>
      <w:r w:rsidRPr="00106B8C">
        <w:rPr>
          <w:rFonts w:ascii="Times New Roman" w:hAnsi="Times New Roman"/>
          <w:sz w:val="24"/>
          <w:szCs w:val="24"/>
        </w:rPr>
        <w:t xml:space="preserve"> an increase of </w:t>
      </w:r>
      <w:r w:rsidRPr="00106B8C">
        <w:rPr>
          <w:rFonts w:ascii="Times New Roman" w:hAnsi="Times New Roman"/>
          <w:b/>
          <w:bCs/>
          <w:sz w:val="24"/>
          <w:szCs w:val="24"/>
        </w:rPr>
        <w:t>66,</w:t>
      </w:r>
      <w:r w:rsidR="00106B8C" w:rsidRPr="00106B8C">
        <w:rPr>
          <w:rFonts w:ascii="Times New Roman" w:hAnsi="Times New Roman"/>
          <w:b/>
          <w:bCs/>
          <w:sz w:val="24"/>
          <w:szCs w:val="24"/>
        </w:rPr>
        <w:t xml:space="preserve"> </w:t>
      </w:r>
      <w:r w:rsidRPr="00106B8C">
        <w:rPr>
          <w:rFonts w:ascii="Times New Roman" w:hAnsi="Times New Roman"/>
          <w:b/>
          <w:bCs/>
          <w:sz w:val="24"/>
          <w:szCs w:val="24"/>
        </w:rPr>
        <w:t>4 %</w:t>
      </w:r>
      <w:r w:rsidRPr="00106B8C">
        <w:rPr>
          <w:rFonts w:ascii="Times New Roman" w:hAnsi="Times New Roman"/>
          <w:sz w:val="24"/>
          <w:szCs w:val="24"/>
        </w:rPr>
        <w:t xml:space="preserve"> as of the end of 2012. Looking at the growth rates of the number of their personnel from 2007 to 2012, it is seen that the growth rate of personnel of participation banks is almost four times more than deposit banks</w:t>
      </w:r>
    </w:p>
    <w:p w:rsidR="00B546D4" w:rsidRPr="00106B8C" w:rsidRDefault="00B546D4" w:rsidP="00B546D4">
      <w:pPr>
        <w:pStyle w:val="AralkYok"/>
        <w:jc w:val="both"/>
        <w:rPr>
          <w:rFonts w:ascii="Times New Roman" w:hAnsi="Times New Roman"/>
          <w:sz w:val="24"/>
          <w:szCs w:val="24"/>
        </w:rPr>
      </w:pPr>
    </w:p>
    <w:p w:rsidR="00B546D4" w:rsidRPr="00106B8C" w:rsidRDefault="00B546D4" w:rsidP="00B546D4">
      <w:pPr>
        <w:pStyle w:val="AralkYok"/>
        <w:jc w:val="both"/>
        <w:rPr>
          <w:rFonts w:ascii="Times New Roman" w:hAnsi="Times New Roman"/>
          <w:sz w:val="24"/>
          <w:szCs w:val="24"/>
        </w:rPr>
      </w:pPr>
    </w:p>
    <w:p w:rsidR="00B546D4" w:rsidRPr="00106B8C" w:rsidRDefault="00B546D4" w:rsidP="00B546D4">
      <w:pPr>
        <w:pStyle w:val="AralkYok"/>
        <w:jc w:val="both"/>
        <w:rPr>
          <w:rFonts w:ascii="Times New Roman" w:hAnsi="Times New Roman"/>
          <w:sz w:val="24"/>
          <w:szCs w:val="24"/>
        </w:rPr>
      </w:pPr>
    </w:p>
    <w:p w:rsidR="00B546D4" w:rsidRPr="00106B8C" w:rsidRDefault="00B546D4" w:rsidP="00B546D4">
      <w:pPr>
        <w:pStyle w:val="AralkYok"/>
        <w:jc w:val="both"/>
        <w:rPr>
          <w:rFonts w:ascii="Times New Roman" w:hAnsi="Times New Roman"/>
          <w:sz w:val="24"/>
          <w:szCs w:val="24"/>
        </w:rPr>
      </w:pPr>
    </w:p>
    <w:p w:rsidR="00B546D4" w:rsidRPr="00106B8C" w:rsidRDefault="00B546D4" w:rsidP="00B546D4">
      <w:pPr>
        <w:pStyle w:val="AralkYok"/>
        <w:jc w:val="both"/>
        <w:rPr>
          <w:rFonts w:ascii="Times New Roman" w:hAnsi="Times New Roman"/>
          <w:sz w:val="24"/>
          <w:szCs w:val="24"/>
        </w:rPr>
      </w:pPr>
    </w:p>
    <w:p w:rsidR="001B3496" w:rsidRPr="00106B8C" w:rsidRDefault="00B546D4" w:rsidP="00B546D4">
      <w:pPr>
        <w:pStyle w:val="AralkYok"/>
        <w:jc w:val="center"/>
        <w:rPr>
          <w:rFonts w:ascii="Times New Roman" w:hAnsi="Times New Roman"/>
          <w:bCs/>
          <w:sz w:val="24"/>
          <w:szCs w:val="24"/>
        </w:rPr>
      </w:pPr>
      <w:r w:rsidRPr="00106B8C">
        <w:rPr>
          <w:rFonts w:ascii="Times New Roman" w:hAnsi="Times New Roman"/>
          <w:bCs/>
          <w:sz w:val="24"/>
          <w:szCs w:val="24"/>
        </w:rPr>
        <w:lastRenderedPageBreak/>
        <w:t>Table 2</w:t>
      </w:r>
      <w:r w:rsidR="001B3496" w:rsidRPr="00106B8C">
        <w:rPr>
          <w:rFonts w:ascii="Times New Roman" w:hAnsi="Times New Roman"/>
          <w:bCs/>
          <w:sz w:val="24"/>
          <w:szCs w:val="24"/>
        </w:rPr>
        <w:t xml:space="preserve"> </w:t>
      </w:r>
      <w:r w:rsidR="00106B8C" w:rsidRPr="00106B8C">
        <w:rPr>
          <w:rFonts w:ascii="Times New Roman" w:hAnsi="Times New Roman"/>
          <w:bCs/>
          <w:sz w:val="24"/>
          <w:szCs w:val="24"/>
        </w:rPr>
        <w:t>Employments</w:t>
      </w:r>
      <w:r w:rsidR="001B3496" w:rsidRPr="00106B8C">
        <w:rPr>
          <w:rFonts w:ascii="Times New Roman" w:hAnsi="Times New Roman"/>
          <w:bCs/>
          <w:sz w:val="24"/>
          <w:szCs w:val="24"/>
        </w:rPr>
        <w:t xml:space="preserve"> in the Banking Sector, 2007-2012</w:t>
      </w:r>
    </w:p>
    <w:p w:rsidR="00B546D4" w:rsidRPr="00106B8C" w:rsidRDefault="00B546D4" w:rsidP="00B546D4">
      <w:pPr>
        <w:pStyle w:val="AralkYok"/>
        <w:jc w:val="center"/>
        <w:rPr>
          <w:rFonts w:ascii="Times New Roman" w:hAnsi="Times New Roman"/>
          <w:bCs/>
          <w:sz w:val="24"/>
          <w:szCs w:val="24"/>
        </w:rPr>
      </w:pPr>
    </w:p>
    <w:tbl>
      <w:tblPr>
        <w:tblStyle w:val="AkGlgeleme"/>
        <w:tblW w:w="8433" w:type="dxa"/>
        <w:tblLook w:val="00A0" w:firstRow="1" w:lastRow="0" w:firstColumn="1" w:lastColumn="0" w:noHBand="0" w:noVBand="0"/>
      </w:tblPr>
      <w:tblGrid>
        <w:gridCol w:w="2847"/>
        <w:gridCol w:w="931"/>
        <w:gridCol w:w="931"/>
        <w:gridCol w:w="931"/>
        <w:gridCol w:w="931"/>
        <w:gridCol w:w="931"/>
        <w:gridCol w:w="931"/>
      </w:tblGrid>
      <w:tr w:rsidR="001B3496" w:rsidRPr="00106B8C" w:rsidTr="00106B8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7" w:type="dxa"/>
            <w:shd w:val="clear" w:color="auto" w:fill="auto"/>
            <w:noWrap/>
          </w:tcPr>
          <w:p w:rsidR="001B3496" w:rsidRPr="00106B8C" w:rsidRDefault="001B3496" w:rsidP="00B546D4">
            <w:pPr>
              <w:pStyle w:val="Tablo"/>
              <w:keepLines/>
              <w:ind w:firstLine="0"/>
              <w:rPr>
                <w:rFonts w:ascii="Times New Roman" w:hAnsi="Times New Roman"/>
                <w:b w:val="0"/>
                <w:bCs w:val="0"/>
                <w:sz w:val="20"/>
                <w:szCs w:val="20"/>
                <w:lang w:val="en-US"/>
              </w:rPr>
            </w:pP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tcPr>
          <w:p w:rsidR="001B3496" w:rsidRPr="00106B8C" w:rsidRDefault="001B3496" w:rsidP="00B546D4">
            <w:pPr>
              <w:pStyle w:val="Tablo"/>
              <w:keepLines/>
              <w:ind w:firstLine="0"/>
              <w:rPr>
                <w:rFonts w:ascii="Times New Roman" w:hAnsi="Times New Roman"/>
                <w:sz w:val="20"/>
                <w:szCs w:val="20"/>
                <w:lang w:val="en-US"/>
              </w:rPr>
            </w:pPr>
            <w:r w:rsidRPr="00106B8C">
              <w:rPr>
                <w:rFonts w:ascii="Times New Roman" w:hAnsi="Times New Roman"/>
                <w:sz w:val="20"/>
                <w:szCs w:val="20"/>
                <w:lang w:val="en-US"/>
              </w:rPr>
              <w:t>2007</w:t>
            </w:r>
          </w:p>
        </w:tc>
        <w:tc>
          <w:tcPr>
            <w:tcW w:w="931" w:type="dxa"/>
            <w:shd w:val="clear" w:color="auto" w:fill="auto"/>
            <w:noWrap/>
          </w:tcPr>
          <w:p w:rsidR="001B3496" w:rsidRPr="00106B8C" w:rsidRDefault="001B3496" w:rsidP="00B546D4">
            <w:pPr>
              <w:pStyle w:val="Tablo"/>
              <w:keepLines/>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2008</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noWrap/>
          </w:tcPr>
          <w:p w:rsidR="001B3496" w:rsidRPr="00106B8C" w:rsidRDefault="001B3496" w:rsidP="00B546D4">
            <w:pPr>
              <w:pStyle w:val="Tablo"/>
              <w:keepLines/>
              <w:ind w:firstLine="0"/>
              <w:rPr>
                <w:rFonts w:ascii="Times New Roman" w:hAnsi="Times New Roman"/>
                <w:sz w:val="20"/>
                <w:szCs w:val="20"/>
                <w:lang w:val="en-US"/>
              </w:rPr>
            </w:pPr>
            <w:r w:rsidRPr="00106B8C">
              <w:rPr>
                <w:rFonts w:ascii="Times New Roman" w:hAnsi="Times New Roman"/>
                <w:sz w:val="20"/>
                <w:szCs w:val="20"/>
                <w:lang w:val="en-US"/>
              </w:rPr>
              <w:t>2009</w:t>
            </w:r>
          </w:p>
        </w:tc>
        <w:tc>
          <w:tcPr>
            <w:tcW w:w="931" w:type="dxa"/>
            <w:shd w:val="clear" w:color="auto" w:fill="auto"/>
          </w:tcPr>
          <w:p w:rsidR="001B3496" w:rsidRPr="00106B8C" w:rsidRDefault="001B3496" w:rsidP="00B546D4">
            <w:pPr>
              <w:pStyle w:val="Tablo"/>
              <w:keepLines/>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2010</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tcPr>
          <w:p w:rsidR="001B3496" w:rsidRPr="00106B8C" w:rsidRDefault="001B3496" w:rsidP="00B546D4">
            <w:pPr>
              <w:pStyle w:val="Tablo"/>
              <w:keepLines/>
              <w:ind w:firstLine="0"/>
              <w:rPr>
                <w:rFonts w:ascii="Times New Roman" w:hAnsi="Times New Roman"/>
                <w:sz w:val="20"/>
                <w:szCs w:val="20"/>
                <w:lang w:val="en-US"/>
              </w:rPr>
            </w:pPr>
            <w:r w:rsidRPr="00106B8C">
              <w:rPr>
                <w:rFonts w:ascii="Times New Roman" w:hAnsi="Times New Roman"/>
                <w:sz w:val="20"/>
                <w:szCs w:val="20"/>
                <w:lang w:val="en-US"/>
              </w:rPr>
              <w:t>2011</w:t>
            </w:r>
          </w:p>
        </w:tc>
        <w:tc>
          <w:tcPr>
            <w:tcW w:w="931" w:type="dxa"/>
            <w:shd w:val="clear" w:color="auto" w:fill="auto"/>
          </w:tcPr>
          <w:p w:rsidR="001B3496" w:rsidRPr="00106B8C" w:rsidRDefault="001B3496" w:rsidP="00B546D4">
            <w:pPr>
              <w:pStyle w:val="Tablo"/>
              <w:keepLines/>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2012</w:t>
            </w:r>
          </w:p>
        </w:tc>
      </w:tr>
      <w:tr w:rsidR="001B3496" w:rsidRPr="00106B8C" w:rsidTr="00106B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7" w:type="dxa"/>
            <w:shd w:val="clear" w:color="auto" w:fill="auto"/>
            <w:noWrap/>
          </w:tcPr>
          <w:p w:rsidR="001B3496" w:rsidRPr="00106B8C" w:rsidRDefault="001B3496" w:rsidP="00B546D4">
            <w:pPr>
              <w:pStyle w:val="Tablo"/>
              <w:keepLines/>
              <w:ind w:firstLine="0"/>
              <w:rPr>
                <w:rFonts w:ascii="Times New Roman" w:hAnsi="Times New Roman"/>
                <w:b w:val="0"/>
                <w:bCs w:val="0"/>
                <w:sz w:val="20"/>
                <w:szCs w:val="20"/>
                <w:lang w:val="en-US"/>
              </w:rPr>
            </w:pPr>
            <w:r w:rsidRPr="00106B8C">
              <w:rPr>
                <w:rFonts w:ascii="Times New Roman" w:hAnsi="Times New Roman"/>
                <w:b w:val="0"/>
                <w:bCs w:val="0"/>
                <w:sz w:val="20"/>
                <w:szCs w:val="20"/>
                <w:lang w:val="en-US"/>
              </w:rPr>
              <w:t>Participation Banks</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tcPr>
          <w:p w:rsidR="001B3496" w:rsidRPr="00106B8C" w:rsidRDefault="001B3496" w:rsidP="00B546D4">
            <w:pPr>
              <w:pStyle w:val="Tablo"/>
              <w:keepLines/>
              <w:ind w:firstLine="0"/>
              <w:rPr>
                <w:rFonts w:ascii="Times New Roman" w:hAnsi="Times New Roman"/>
                <w:b/>
                <w:bCs/>
                <w:sz w:val="20"/>
                <w:szCs w:val="20"/>
                <w:lang w:val="en-US"/>
              </w:rPr>
            </w:pPr>
            <w:r w:rsidRPr="00106B8C">
              <w:rPr>
                <w:rFonts w:ascii="Times New Roman" w:hAnsi="Times New Roman"/>
                <w:b/>
                <w:bCs/>
                <w:sz w:val="20"/>
                <w:szCs w:val="20"/>
                <w:lang w:val="en-US"/>
              </w:rPr>
              <w:t>9.215</w:t>
            </w:r>
          </w:p>
        </w:tc>
        <w:tc>
          <w:tcPr>
            <w:tcW w:w="931" w:type="dxa"/>
            <w:shd w:val="clear" w:color="auto" w:fill="auto"/>
            <w:noWrap/>
          </w:tcPr>
          <w:p w:rsidR="001B3496" w:rsidRPr="00106B8C" w:rsidRDefault="001B3496" w:rsidP="00B546D4">
            <w:pPr>
              <w:pStyle w:val="Tablo"/>
              <w:keepLine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US"/>
              </w:rPr>
            </w:pPr>
            <w:r w:rsidRPr="00106B8C">
              <w:rPr>
                <w:rFonts w:ascii="Times New Roman" w:hAnsi="Times New Roman"/>
                <w:b/>
                <w:bCs/>
                <w:sz w:val="20"/>
                <w:szCs w:val="20"/>
                <w:lang w:val="en-US"/>
              </w:rPr>
              <w:t>11.032</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noWrap/>
          </w:tcPr>
          <w:p w:rsidR="001B3496" w:rsidRPr="00106B8C" w:rsidRDefault="001B3496" w:rsidP="00B546D4">
            <w:pPr>
              <w:pStyle w:val="Tablo"/>
              <w:keepLines/>
              <w:ind w:firstLine="0"/>
              <w:rPr>
                <w:rFonts w:ascii="Times New Roman" w:hAnsi="Times New Roman"/>
                <w:b/>
                <w:bCs/>
                <w:sz w:val="20"/>
                <w:szCs w:val="20"/>
                <w:lang w:val="en-US"/>
              </w:rPr>
            </w:pPr>
            <w:r w:rsidRPr="00106B8C">
              <w:rPr>
                <w:rFonts w:ascii="Times New Roman" w:hAnsi="Times New Roman"/>
                <w:b/>
                <w:bCs/>
                <w:sz w:val="20"/>
                <w:szCs w:val="20"/>
                <w:lang w:val="en-US"/>
              </w:rPr>
              <w:t>11.802</w:t>
            </w:r>
          </w:p>
        </w:tc>
        <w:tc>
          <w:tcPr>
            <w:tcW w:w="931" w:type="dxa"/>
            <w:shd w:val="clear" w:color="auto" w:fill="auto"/>
          </w:tcPr>
          <w:p w:rsidR="001B3496" w:rsidRPr="00106B8C" w:rsidRDefault="001B3496" w:rsidP="00B546D4">
            <w:pPr>
              <w:pStyle w:val="Tablo"/>
              <w:keepLine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US"/>
              </w:rPr>
            </w:pPr>
            <w:r w:rsidRPr="00106B8C">
              <w:rPr>
                <w:rFonts w:ascii="Times New Roman" w:hAnsi="Times New Roman"/>
                <w:b/>
                <w:bCs/>
                <w:sz w:val="20"/>
                <w:szCs w:val="20"/>
                <w:lang w:val="en-US"/>
              </w:rPr>
              <w:t>12.703</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tcPr>
          <w:p w:rsidR="001B3496" w:rsidRPr="00106B8C" w:rsidRDefault="001B3496" w:rsidP="00B546D4">
            <w:pPr>
              <w:pStyle w:val="Tablo"/>
              <w:keepLines/>
              <w:ind w:firstLine="0"/>
              <w:rPr>
                <w:rFonts w:ascii="Times New Roman" w:hAnsi="Times New Roman"/>
                <w:b/>
                <w:bCs/>
                <w:sz w:val="20"/>
                <w:szCs w:val="20"/>
                <w:lang w:val="en-US"/>
              </w:rPr>
            </w:pPr>
            <w:r w:rsidRPr="00106B8C">
              <w:rPr>
                <w:rFonts w:ascii="Times New Roman" w:hAnsi="Times New Roman"/>
                <w:b/>
                <w:bCs/>
                <w:sz w:val="20"/>
                <w:szCs w:val="20"/>
                <w:lang w:val="en-US"/>
              </w:rPr>
              <w:t>13.857</w:t>
            </w:r>
          </w:p>
        </w:tc>
        <w:tc>
          <w:tcPr>
            <w:tcW w:w="931" w:type="dxa"/>
            <w:shd w:val="clear" w:color="auto" w:fill="auto"/>
          </w:tcPr>
          <w:p w:rsidR="001B3496" w:rsidRPr="00106B8C" w:rsidRDefault="001B3496" w:rsidP="00B546D4">
            <w:pPr>
              <w:pStyle w:val="Tablo"/>
              <w:keepLine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15.356</w:t>
            </w:r>
          </w:p>
        </w:tc>
      </w:tr>
      <w:tr w:rsidR="001B3496" w:rsidRPr="00106B8C" w:rsidTr="00106B8C">
        <w:trPr>
          <w:trHeight w:val="20"/>
        </w:trPr>
        <w:tc>
          <w:tcPr>
            <w:cnfStyle w:val="001000000000" w:firstRow="0" w:lastRow="0" w:firstColumn="1" w:lastColumn="0" w:oddVBand="0" w:evenVBand="0" w:oddHBand="0" w:evenHBand="0" w:firstRowFirstColumn="0" w:firstRowLastColumn="0" w:lastRowFirstColumn="0" w:lastRowLastColumn="0"/>
            <w:tcW w:w="2847" w:type="dxa"/>
            <w:shd w:val="clear" w:color="auto" w:fill="auto"/>
            <w:noWrap/>
          </w:tcPr>
          <w:p w:rsidR="001B3496" w:rsidRPr="00106B8C" w:rsidRDefault="001B3496" w:rsidP="00B546D4">
            <w:pPr>
              <w:pStyle w:val="Tablo"/>
              <w:keepLines/>
              <w:ind w:firstLine="0"/>
              <w:rPr>
                <w:rFonts w:ascii="Times New Roman" w:hAnsi="Times New Roman"/>
                <w:b w:val="0"/>
                <w:bCs w:val="0"/>
                <w:sz w:val="20"/>
                <w:szCs w:val="20"/>
                <w:lang w:val="en-US"/>
              </w:rPr>
            </w:pPr>
            <w:r w:rsidRPr="00106B8C">
              <w:rPr>
                <w:rFonts w:ascii="Times New Roman" w:hAnsi="Times New Roman"/>
                <w:b w:val="0"/>
                <w:bCs w:val="0"/>
                <w:sz w:val="20"/>
                <w:szCs w:val="20"/>
                <w:lang w:val="en-US"/>
              </w:rPr>
              <w:t xml:space="preserve">Deposit banks </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tcPr>
          <w:p w:rsidR="001B3496" w:rsidRPr="00106B8C" w:rsidRDefault="001B3496" w:rsidP="00B546D4">
            <w:pPr>
              <w:pStyle w:val="Tablo"/>
              <w:keepLines/>
              <w:ind w:firstLine="0"/>
              <w:rPr>
                <w:rFonts w:ascii="Times New Roman" w:hAnsi="Times New Roman"/>
                <w:b/>
                <w:bCs/>
                <w:sz w:val="20"/>
                <w:szCs w:val="20"/>
                <w:lang w:val="en-US"/>
              </w:rPr>
            </w:pPr>
            <w:r w:rsidRPr="00106B8C">
              <w:rPr>
                <w:rFonts w:ascii="Times New Roman" w:hAnsi="Times New Roman"/>
                <w:b/>
                <w:bCs/>
                <w:sz w:val="20"/>
                <w:szCs w:val="20"/>
                <w:lang w:val="en-US"/>
              </w:rPr>
              <w:t>153.212</w:t>
            </w:r>
          </w:p>
        </w:tc>
        <w:tc>
          <w:tcPr>
            <w:tcW w:w="931" w:type="dxa"/>
            <w:shd w:val="clear" w:color="auto" w:fill="auto"/>
            <w:noWrap/>
          </w:tcPr>
          <w:p w:rsidR="001B3496" w:rsidRPr="00106B8C" w:rsidRDefault="001B3496" w:rsidP="00B546D4">
            <w:pPr>
              <w:pStyle w:val="Tablo"/>
              <w:keepLine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en-US"/>
              </w:rPr>
            </w:pPr>
            <w:r w:rsidRPr="00106B8C">
              <w:rPr>
                <w:rFonts w:ascii="Times New Roman" w:hAnsi="Times New Roman"/>
                <w:b/>
                <w:bCs/>
                <w:sz w:val="20"/>
                <w:szCs w:val="20"/>
                <w:lang w:val="en-US"/>
              </w:rPr>
              <w:t>166.325</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noWrap/>
          </w:tcPr>
          <w:p w:rsidR="001B3496" w:rsidRPr="00106B8C" w:rsidRDefault="001B3496" w:rsidP="00B546D4">
            <w:pPr>
              <w:pStyle w:val="Tablo"/>
              <w:keepLines/>
              <w:ind w:firstLine="0"/>
              <w:rPr>
                <w:rFonts w:ascii="Times New Roman" w:hAnsi="Times New Roman"/>
                <w:b/>
                <w:bCs/>
                <w:sz w:val="20"/>
                <w:szCs w:val="20"/>
                <w:lang w:val="en-US"/>
              </w:rPr>
            </w:pPr>
            <w:r w:rsidRPr="00106B8C">
              <w:rPr>
                <w:rFonts w:ascii="Times New Roman" w:hAnsi="Times New Roman"/>
                <w:b/>
                <w:bCs/>
                <w:sz w:val="20"/>
                <w:szCs w:val="20"/>
                <w:lang w:val="en-US"/>
              </w:rPr>
              <w:t>167.063</w:t>
            </w:r>
          </w:p>
        </w:tc>
        <w:tc>
          <w:tcPr>
            <w:tcW w:w="931" w:type="dxa"/>
            <w:shd w:val="clear" w:color="auto" w:fill="auto"/>
          </w:tcPr>
          <w:p w:rsidR="001B3496" w:rsidRPr="00106B8C" w:rsidRDefault="001B3496" w:rsidP="00B546D4">
            <w:pPr>
              <w:pStyle w:val="Tablo"/>
              <w:keepLine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en-US"/>
              </w:rPr>
            </w:pPr>
            <w:r w:rsidRPr="00106B8C">
              <w:rPr>
                <w:rFonts w:ascii="Times New Roman" w:hAnsi="Times New Roman"/>
                <w:b/>
                <w:bCs/>
                <w:sz w:val="20"/>
                <w:szCs w:val="20"/>
                <w:lang w:val="en-US"/>
              </w:rPr>
              <w:t>173.133</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tcPr>
          <w:p w:rsidR="001B3496" w:rsidRPr="00106B8C" w:rsidRDefault="001B3496" w:rsidP="00B546D4">
            <w:pPr>
              <w:pStyle w:val="Tablo"/>
              <w:keepLines/>
              <w:ind w:firstLine="0"/>
              <w:rPr>
                <w:rFonts w:ascii="Times New Roman" w:hAnsi="Times New Roman"/>
                <w:b/>
                <w:bCs/>
                <w:sz w:val="20"/>
                <w:szCs w:val="20"/>
                <w:lang w:val="en-US"/>
              </w:rPr>
            </w:pPr>
            <w:r w:rsidRPr="00106B8C">
              <w:rPr>
                <w:rFonts w:ascii="Times New Roman" w:hAnsi="Times New Roman"/>
                <w:b/>
                <w:bCs/>
                <w:sz w:val="20"/>
                <w:szCs w:val="20"/>
                <w:lang w:val="en-US"/>
              </w:rPr>
              <w:t>176.576</w:t>
            </w:r>
          </w:p>
        </w:tc>
        <w:tc>
          <w:tcPr>
            <w:tcW w:w="931" w:type="dxa"/>
            <w:shd w:val="clear" w:color="auto" w:fill="auto"/>
          </w:tcPr>
          <w:p w:rsidR="001B3496" w:rsidRPr="00106B8C" w:rsidRDefault="001B3496" w:rsidP="00B546D4">
            <w:pPr>
              <w:pStyle w:val="Tablo"/>
              <w:keepLine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181.197</w:t>
            </w:r>
          </w:p>
        </w:tc>
      </w:tr>
      <w:tr w:rsidR="001B3496" w:rsidRPr="00106B8C" w:rsidTr="00106B8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47" w:type="dxa"/>
            <w:shd w:val="clear" w:color="auto" w:fill="auto"/>
            <w:noWrap/>
          </w:tcPr>
          <w:p w:rsidR="001B3496" w:rsidRPr="00106B8C" w:rsidRDefault="001B3496" w:rsidP="00B546D4">
            <w:pPr>
              <w:pStyle w:val="Tablo"/>
              <w:keepLines/>
              <w:ind w:firstLine="0"/>
              <w:rPr>
                <w:rFonts w:ascii="Times New Roman" w:hAnsi="Times New Roman"/>
                <w:b w:val="0"/>
                <w:bCs w:val="0"/>
                <w:sz w:val="20"/>
                <w:szCs w:val="20"/>
                <w:lang w:val="en-US"/>
              </w:rPr>
            </w:pPr>
            <w:r w:rsidRPr="00106B8C">
              <w:rPr>
                <w:rFonts w:ascii="Times New Roman" w:hAnsi="Times New Roman"/>
                <w:b w:val="0"/>
                <w:bCs w:val="0"/>
                <w:sz w:val="20"/>
                <w:szCs w:val="20"/>
                <w:lang w:val="en-US"/>
              </w:rPr>
              <w:t xml:space="preserve">  &gt;Public banks </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tcPr>
          <w:p w:rsidR="001B3496" w:rsidRPr="00106B8C" w:rsidRDefault="001B3496" w:rsidP="00B546D4">
            <w:pPr>
              <w:pStyle w:val="Tablo"/>
              <w:keepLines/>
              <w:ind w:firstLine="0"/>
              <w:rPr>
                <w:rFonts w:ascii="Times New Roman" w:hAnsi="Times New Roman"/>
                <w:sz w:val="20"/>
                <w:szCs w:val="20"/>
                <w:lang w:val="en-US"/>
              </w:rPr>
            </w:pPr>
            <w:r w:rsidRPr="00106B8C">
              <w:rPr>
                <w:rFonts w:ascii="Times New Roman" w:hAnsi="Times New Roman"/>
                <w:sz w:val="20"/>
                <w:szCs w:val="20"/>
                <w:lang w:val="en-US"/>
              </w:rPr>
              <w:t>41.056</w:t>
            </w:r>
          </w:p>
        </w:tc>
        <w:tc>
          <w:tcPr>
            <w:tcW w:w="931" w:type="dxa"/>
            <w:shd w:val="clear" w:color="auto" w:fill="auto"/>
            <w:noWrap/>
          </w:tcPr>
          <w:p w:rsidR="001B3496" w:rsidRPr="00106B8C" w:rsidRDefault="001B3496" w:rsidP="00B546D4">
            <w:pPr>
              <w:pStyle w:val="Tablo"/>
              <w:keepLine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43.333</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noWrap/>
          </w:tcPr>
          <w:p w:rsidR="001B3496" w:rsidRPr="00106B8C" w:rsidRDefault="001B3496" w:rsidP="00B546D4">
            <w:pPr>
              <w:pStyle w:val="Tablo"/>
              <w:keepLines/>
              <w:ind w:firstLine="0"/>
              <w:rPr>
                <w:rFonts w:ascii="Times New Roman" w:hAnsi="Times New Roman"/>
                <w:sz w:val="20"/>
                <w:szCs w:val="20"/>
                <w:lang w:val="en-US"/>
              </w:rPr>
            </w:pPr>
            <w:r w:rsidRPr="00106B8C">
              <w:rPr>
                <w:rFonts w:ascii="Times New Roman" w:hAnsi="Times New Roman"/>
                <w:sz w:val="20"/>
                <w:szCs w:val="20"/>
                <w:lang w:val="en-US"/>
              </w:rPr>
              <w:t>44.856</w:t>
            </w:r>
          </w:p>
        </w:tc>
        <w:tc>
          <w:tcPr>
            <w:tcW w:w="931" w:type="dxa"/>
            <w:shd w:val="clear" w:color="auto" w:fill="auto"/>
          </w:tcPr>
          <w:p w:rsidR="001B3496" w:rsidRPr="00106B8C" w:rsidRDefault="001B3496" w:rsidP="00B546D4">
            <w:pPr>
              <w:pStyle w:val="Tablo"/>
              <w:keepLine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47.235</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tcPr>
          <w:p w:rsidR="001B3496" w:rsidRPr="00106B8C" w:rsidRDefault="001B3496" w:rsidP="00B546D4">
            <w:pPr>
              <w:pStyle w:val="Tablo"/>
              <w:keepLines/>
              <w:ind w:firstLine="0"/>
              <w:rPr>
                <w:rFonts w:ascii="Times New Roman" w:hAnsi="Times New Roman"/>
                <w:sz w:val="20"/>
                <w:szCs w:val="20"/>
                <w:lang w:val="en-US"/>
              </w:rPr>
            </w:pPr>
            <w:r w:rsidRPr="00106B8C">
              <w:rPr>
                <w:rFonts w:ascii="Times New Roman" w:hAnsi="Times New Roman"/>
                <w:sz w:val="20"/>
                <w:szCs w:val="20"/>
                <w:lang w:val="en-US"/>
              </w:rPr>
              <w:t>50.239</w:t>
            </w:r>
          </w:p>
        </w:tc>
        <w:tc>
          <w:tcPr>
            <w:tcW w:w="931" w:type="dxa"/>
            <w:shd w:val="clear" w:color="auto" w:fill="auto"/>
          </w:tcPr>
          <w:p w:rsidR="001B3496" w:rsidRPr="00106B8C" w:rsidRDefault="001B3496" w:rsidP="00B546D4">
            <w:pPr>
              <w:pStyle w:val="Tablo"/>
              <w:keepLine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51.587</w:t>
            </w:r>
          </w:p>
        </w:tc>
      </w:tr>
      <w:tr w:rsidR="001B3496" w:rsidRPr="00106B8C" w:rsidTr="00106B8C">
        <w:trPr>
          <w:trHeight w:val="20"/>
        </w:trPr>
        <w:tc>
          <w:tcPr>
            <w:cnfStyle w:val="001000000000" w:firstRow="0" w:lastRow="0" w:firstColumn="1" w:lastColumn="0" w:oddVBand="0" w:evenVBand="0" w:oddHBand="0" w:evenHBand="0" w:firstRowFirstColumn="0" w:firstRowLastColumn="0" w:lastRowFirstColumn="0" w:lastRowLastColumn="0"/>
            <w:tcW w:w="2847" w:type="dxa"/>
            <w:shd w:val="clear" w:color="auto" w:fill="auto"/>
            <w:noWrap/>
          </w:tcPr>
          <w:p w:rsidR="001B3496" w:rsidRPr="00106B8C" w:rsidRDefault="001B3496" w:rsidP="00B546D4">
            <w:pPr>
              <w:pStyle w:val="Tablo"/>
              <w:keepLines/>
              <w:ind w:firstLine="0"/>
              <w:rPr>
                <w:rFonts w:ascii="Times New Roman" w:hAnsi="Times New Roman"/>
                <w:b w:val="0"/>
                <w:bCs w:val="0"/>
                <w:sz w:val="20"/>
                <w:szCs w:val="20"/>
                <w:lang w:val="en-US"/>
              </w:rPr>
            </w:pPr>
            <w:r w:rsidRPr="00106B8C">
              <w:rPr>
                <w:rFonts w:ascii="Times New Roman" w:hAnsi="Times New Roman"/>
                <w:b w:val="0"/>
                <w:bCs w:val="0"/>
                <w:sz w:val="20"/>
                <w:szCs w:val="20"/>
                <w:lang w:val="en-US"/>
              </w:rPr>
              <w:t xml:space="preserve">  &gt;Private banks </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tcPr>
          <w:p w:rsidR="001B3496" w:rsidRPr="00106B8C" w:rsidRDefault="001B3496" w:rsidP="00B546D4">
            <w:pPr>
              <w:pStyle w:val="Tablo"/>
              <w:keepLines/>
              <w:ind w:firstLine="0"/>
              <w:rPr>
                <w:rFonts w:ascii="Times New Roman" w:hAnsi="Times New Roman"/>
                <w:sz w:val="20"/>
                <w:szCs w:val="20"/>
                <w:lang w:val="en-US"/>
              </w:rPr>
            </w:pPr>
            <w:r w:rsidRPr="00106B8C">
              <w:rPr>
                <w:rFonts w:ascii="Times New Roman" w:hAnsi="Times New Roman"/>
                <w:sz w:val="20"/>
                <w:szCs w:val="20"/>
                <w:lang w:val="en-US"/>
              </w:rPr>
              <w:t>75.124</w:t>
            </w:r>
          </w:p>
        </w:tc>
        <w:tc>
          <w:tcPr>
            <w:tcW w:w="931" w:type="dxa"/>
            <w:shd w:val="clear" w:color="auto" w:fill="auto"/>
            <w:noWrap/>
          </w:tcPr>
          <w:p w:rsidR="001B3496" w:rsidRPr="00106B8C" w:rsidRDefault="001B3496" w:rsidP="00B546D4">
            <w:pPr>
              <w:pStyle w:val="Tablo"/>
              <w:keepLine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82.158</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noWrap/>
          </w:tcPr>
          <w:p w:rsidR="001B3496" w:rsidRPr="00106B8C" w:rsidRDefault="001B3496" w:rsidP="00B546D4">
            <w:pPr>
              <w:pStyle w:val="Tablo"/>
              <w:keepLines/>
              <w:ind w:firstLine="0"/>
              <w:rPr>
                <w:rFonts w:ascii="Times New Roman" w:hAnsi="Times New Roman"/>
                <w:sz w:val="20"/>
                <w:szCs w:val="20"/>
                <w:lang w:val="en-US"/>
              </w:rPr>
            </w:pPr>
            <w:r w:rsidRPr="00106B8C">
              <w:rPr>
                <w:rFonts w:ascii="Times New Roman" w:hAnsi="Times New Roman"/>
                <w:sz w:val="20"/>
                <w:szCs w:val="20"/>
                <w:lang w:val="en-US"/>
              </w:rPr>
              <w:t>82.270</w:t>
            </w:r>
          </w:p>
        </w:tc>
        <w:tc>
          <w:tcPr>
            <w:tcW w:w="931" w:type="dxa"/>
            <w:shd w:val="clear" w:color="auto" w:fill="auto"/>
          </w:tcPr>
          <w:p w:rsidR="001B3496" w:rsidRPr="00106B8C" w:rsidRDefault="001B3496" w:rsidP="00B546D4">
            <w:pPr>
              <w:pStyle w:val="Tablo"/>
              <w:keepLine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83.633</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tcPr>
          <w:p w:rsidR="001B3496" w:rsidRPr="00106B8C" w:rsidRDefault="001B3496" w:rsidP="00B546D4">
            <w:pPr>
              <w:pStyle w:val="Tablo"/>
              <w:keepLines/>
              <w:ind w:firstLine="0"/>
              <w:rPr>
                <w:rFonts w:ascii="Times New Roman" w:hAnsi="Times New Roman"/>
                <w:sz w:val="20"/>
                <w:szCs w:val="20"/>
                <w:lang w:val="en-US"/>
              </w:rPr>
            </w:pPr>
            <w:r w:rsidRPr="00106B8C">
              <w:rPr>
                <w:rFonts w:ascii="Times New Roman" w:hAnsi="Times New Roman"/>
                <w:sz w:val="20"/>
                <w:szCs w:val="20"/>
                <w:lang w:val="en-US"/>
              </w:rPr>
              <w:t>89.047</w:t>
            </w:r>
          </w:p>
        </w:tc>
        <w:tc>
          <w:tcPr>
            <w:tcW w:w="931" w:type="dxa"/>
            <w:shd w:val="clear" w:color="auto" w:fill="auto"/>
          </w:tcPr>
          <w:p w:rsidR="001B3496" w:rsidRPr="00106B8C" w:rsidRDefault="001B3496" w:rsidP="00B546D4">
            <w:pPr>
              <w:pStyle w:val="Tablo"/>
              <w:keepLine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90.612</w:t>
            </w:r>
          </w:p>
        </w:tc>
      </w:tr>
      <w:tr w:rsidR="001B3496" w:rsidRPr="00106B8C" w:rsidTr="00106B8C">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847" w:type="dxa"/>
            <w:shd w:val="clear" w:color="auto" w:fill="auto"/>
            <w:noWrap/>
          </w:tcPr>
          <w:p w:rsidR="001B3496" w:rsidRPr="00106B8C" w:rsidRDefault="001B3496" w:rsidP="00B546D4">
            <w:pPr>
              <w:pStyle w:val="Tablo"/>
              <w:keepLines/>
              <w:ind w:firstLine="0"/>
              <w:rPr>
                <w:rFonts w:ascii="Times New Roman" w:hAnsi="Times New Roman"/>
                <w:b w:val="0"/>
                <w:bCs w:val="0"/>
                <w:sz w:val="20"/>
                <w:szCs w:val="20"/>
                <w:lang w:val="en-US"/>
              </w:rPr>
            </w:pPr>
            <w:r w:rsidRPr="00106B8C">
              <w:rPr>
                <w:rFonts w:ascii="Times New Roman" w:hAnsi="Times New Roman"/>
                <w:b w:val="0"/>
                <w:bCs w:val="0"/>
                <w:sz w:val="20"/>
                <w:szCs w:val="20"/>
                <w:lang w:val="en-US"/>
              </w:rPr>
              <w:t xml:space="preserve">  &gt;Fund banks </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tcPr>
          <w:p w:rsidR="001B3496" w:rsidRPr="00106B8C" w:rsidRDefault="001B3496" w:rsidP="00B546D4">
            <w:pPr>
              <w:pStyle w:val="Tablo"/>
              <w:keepLines/>
              <w:ind w:firstLine="0"/>
              <w:rPr>
                <w:rFonts w:ascii="Times New Roman" w:hAnsi="Times New Roman"/>
                <w:sz w:val="20"/>
                <w:szCs w:val="20"/>
                <w:lang w:val="en-US"/>
              </w:rPr>
            </w:pPr>
            <w:r w:rsidRPr="00106B8C">
              <w:rPr>
                <w:rFonts w:ascii="Times New Roman" w:hAnsi="Times New Roman"/>
                <w:sz w:val="20"/>
                <w:szCs w:val="20"/>
                <w:lang w:val="en-US"/>
              </w:rPr>
              <w:t>325</w:t>
            </w:r>
          </w:p>
        </w:tc>
        <w:tc>
          <w:tcPr>
            <w:tcW w:w="931" w:type="dxa"/>
            <w:shd w:val="clear" w:color="auto" w:fill="auto"/>
            <w:noWrap/>
          </w:tcPr>
          <w:p w:rsidR="001B3496" w:rsidRPr="00106B8C" w:rsidRDefault="001B3496" w:rsidP="00B546D4">
            <w:pPr>
              <w:pStyle w:val="Tablo"/>
              <w:keepLine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267</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noWrap/>
          </w:tcPr>
          <w:p w:rsidR="001B3496" w:rsidRPr="00106B8C" w:rsidRDefault="001B3496" w:rsidP="00B546D4">
            <w:pPr>
              <w:pStyle w:val="Tablo"/>
              <w:keepLines/>
              <w:ind w:firstLine="0"/>
              <w:rPr>
                <w:rFonts w:ascii="Times New Roman" w:hAnsi="Times New Roman"/>
                <w:sz w:val="20"/>
                <w:szCs w:val="20"/>
                <w:lang w:val="en-US"/>
              </w:rPr>
            </w:pPr>
            <w:r w:rsidRPr="00106B8C">
              <w:rPr>
                <w:rFonts w:ascii="Times New Roman" w:hAnsi="Times New Roman"/>
                <w:sz w:val="20"/>
                <w:szCs w:val="20"/>
                <w:lang w:val="en-US"/>
              </w:rPr>
              <w:t>261</w:t>
            </w:r>
          </w:p>
        </w:tc>
        <w:tc>
          <w:tcPr>
            <w:tcW w:w="931" w:type="dxa"/>
            <w:shd w:val="clear" w:color="auto" w:fill="auto"/>
          </w:tcPr>
          <w:p w:rsidR="001B3496" w:rsidRPr="00106B8C" w:rsidRDefault="001B3496" w:rsidP="00B546D4">
            <w:pPr>
              <w:pStyle w:val="Tablo"/>
              <w:keepLine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252</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tcPr>
          <w:p w:rsidR="001B3496" w:rsidRPr="00106B8C" w:rsidRDefault="001B3496" w:rsidP="00B546D4">
            <w:pPr>
              <w:pStyle w:val="Tablo"/>
              <w:keepLines/>
              <w:ind w:firstLine="0"/>
              <w:rPr>
                <w:rFonts w:ascii="Times New Roman" w:hAnsi="Times New Roman"/>
                <w:sz w:val="20"/>
                <w:szCs w:val="20"/>
                <w:lang w:val="en-US"/>
              </w:rPr>
            </w:pPr>
            <w:r w:rsidRPr="00106B8C">
              <w:rPr>
                <w:rFonts w:ascii="Times New Roman" w:hAnsi="Times New Roman"/>
                <w:sz w:val="20"/>
                <w:szCs w:val="20"/>
                <w:lang w:val="en-US"/>
              </w:rPr>
              <w:t>243</w:t>
            </w:r>
          </w:p>
        </w:tc>
        <w:tc>
          <w:tcPr>
            <w:tcW w:w="931" w:type="dxa"/>
            <w:shd w:val="clear" w:color="auto" w:fill="auto"/>
          </w:tcPr>
          <w:p w:rsidR="001B3496" w:rsidRPr="00106B8C" w:rsidRDefault="001B3496" w:rsidP="00B546D4">
            <w:pPr>
              <w:pStyle w:val="Tablo"/>
              <w:keepLine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226</w:t>
            </w:r>
          </w:p>
        </w:tc>
      </w:tr>
      <w:tr w:rsidR="001B3496" w:rsidRPr="00106B8C" w:rsidTr="00106B8C">
        <w:trPr>
          <w:trHeight w:val="20"/>
        </w:trPr>
        <w:tc>
          <w:tcPr>
            <w:cnfStyle w:val="001000000000" w:firstRow="0" w:lastRow="0" w:firstColumn="1" w:lastColumn="0" w:oddVBand="0" w:evenVBand="0" w:oddHBand="0" w:evenHBand="0" w:firstRowFirstColumn="0" w:firstRowLastColumn="0" w:lastRowFirstColumn="0" w:lastRowLastColumn="0"/>
            <w:tcW w:w="2847" w:type="dxa"/>
            <w:shd w:val="clear" w:color="auto" w:fill="auto"/>
            <w:noWrap/>
          </w:tcPr>
          <w:p w:rsidR="001B3496" w:rsidRPr="00106B8C" w:rsidRDefault="001B3496" w:rsidP="00B546D4">
            <w:pPr>
              <w:pStyle w:val="Tablo"/>
              <w:keepLines/>
              <w:ind w:firstLine="0"/>
              <w:rPr>
                <w:rFonts w:ascii="Times New Roman" w:hAnsi="Times New Roman"/>
                <w:b w:val="0"/>
                <w:bCs w:val="0"/>
                <w:sz w:val="20"/>
                <w:szCs w:val="20"/>
                <w:lang w:val="en-US"/>
              </w:rPr>
            </w:pPr>
            <w:r w:rsidRPr="00106B8C">
              <w:rPr>
                <w:rFonts w:ascii="Times New Roman" w:hAnsi="Times New Roman"/>
                <w:b w:val="0"/>
                <w:bCs w:val="0"/>
                <w:sz w:val="20"/>
                <w:szCs w:val="20"/>
                <w:lang w:val="en-US"/>
              </w:rPr>
              <w:t xml:space="preserve">  &gt;Foreign banks </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tcPr>
          <w:p w:rsidR="001B3496" w:rsidRPr="00106B8C" w:rsidRDefault="001B3496" w:rsidP="00B546D4">
            <w:pPr>
              <w:pStyle w:val="Tablo"/>
              <w:keepLines/>
              <w:ind w:firstLine="0"/>
              <w:rPr>
                <w:rFonts w:ascii="Times New Roman" w:hAnsi="Times New Roman"/>
                <w:sz w:val="20"/>
                <w:szCs w:val="20"/>
                <w:lang w:val="en-US"/>
              </w:rPr>
            </w:pPr>
            <w:r w:rsidRPr="00106B8C">
              <w:rPr>
                <w:rFonts w:ascii="Times New Roman" w:hAnsi="Times New Roman"/>
                <w:sz w:val="20"/>
                <w:szCs w:val="20"/>
                <w:lang w:val="en-US"/>
              </w:rPr>
              <w:t>36.707</w:t>
            </w:r>
          </w:p>
        </w:tc>
        <w:tc>
          <w:tcPr>
            <w:tcW w:w="931" w:type="dxa"/>
            <w:shd w:val="clear" w:color="auto" w:fill="auto"/>
            <w:noWrap/>
          </w:tcPr>
          <w:p w:rsidR="001B3496" w:rsidRPr="00106B8C" w:rsidRDefault="001B3496" w:rsidP="00B546D4">
            <w:pPr>
              <w:pStyle w:val="Tablo"/>
              <w:keepLine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40.567</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noWrap/>
          </w:tcPr>
          <w:p w:rsidR="001B3496" w:rsidRPr="00106B8C" w:rsidRDefault="001B3496" w:rsidP="00B546D4">
            <w:pPr>
              <w:pStyle w:val="Tablo"/>
              <w:keepLines/>
              <w:ind w:firstLine="0"/>
              <w:rPr>
                <w:rFonts w:ascii="Times New Roman" w:hAnsi="Times New Roman"/>
                <w:sz w:val="20"/>
                <w:szCs w:val="20"/>
                <w:lang w:val="en-US"/>
              </w:rPr>
            </w:pPr>
            <w:r w:rsidRPr="00106B8C">
              <w:rPr>
                <w:rFonts w:ascii="Times New Roman" w:hAnsi="Times New Roman"/>
                <w:sz w:val="20"/>
                <w:szCs w:val="20"/>
                <w:lang w:val="en-US"/>
              </w:rPr>
              <w:t>39.676</w:t>
            </w:r>
          </w:p>
        </w:tc>
        <w:tc>
          <w:tcPr>
            <w:tcW w:w="931" w:type="dxa"/>
            <w:shd w:val="clear" w:color="auto" w:fill="auto"/>
          </w:tcPr>
          <w:p w:rsidR="001B3496" w:rsidRPr="00106B8C" w:rsidRDefault="001B3496" w:rsidP="00B546D4">
            <w:pPr>
              <w:pStyle w:val="Tablo"/>
              <w:keepLine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42.013</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tcPr>
          <w:p w:rsidR="001B3496" w:rsidRPr="00106B8C" w:rsidRDefault="001B3496" w:rsidP="00B546D4">
            <w:pPr>
              <w:pStyle w:val="Tablo"/>
              <w:keepLines/>
              <w:ind w:firstLine="0"/>
              <w:rPr>
                <w:rFonts w:ascii="Times New Roman" w:hAnsi="Times New Roman"/>
                <w:sz w:val="20"/>
                <w:szCs w:val="20"/>
                <w:lang w:val="en-US"/>
              </w:rPr>
            </w:pPr>
            <w:r w:rsidRPr="00106B8C">
              <w:rPr>
                <w:rFonts w:ascii="Times New Roman" w:hAnsi="Times New Roman"/>
                <w:sz w:val="20"/>
                <w:szCs w:val="20"/>
                <w:lang w:val="en-US"/>
              </w:rPr>
              <w:t>37.047</w:t>
            </w:r>
          </w:p>
        </w:tc>
        <w:tc>
          <w:tcPr>
            <w:tcW w:w="931" w:type="dxa"/>
            <w:shd w:val="clear" w:color="auto" w:fill="auto"/>
          </w:tcPr>
          <w:p w:rsidR="001B3496" w:rsidRPr="00106B8C" w:rsidRDefault="001B3496" w:rsidP="00B546D4">
            <w:pPr>
              <w:pStyle w:val="Tablo"/>
              <w:keepLine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38.772</w:t>
            </w:r>
          </w:p>
        </w:tc>
      </w:tr>
      <w:tr w:rsidR="001B3496" w:rsidRPr="00106B8C" w:rsidTr="00106B8C">
        <w:trPr>
          <w:cnfStyle w:val="000000100000" w:firstRow="0" w:lastRow="0" w:firstColumn="0" w:lastColumn="0" w:oddVBand="0" w:evenVBand="0" w:oddHBand="1" w:evenHBand="0" w:firstRowFirstColumn="0" w:firstRowLastColumn="0" w:lastRowFirstColumn="0" w:lastRowLastColumn="0"/>
          <w:trHeight w:val="208"/>
        </w:trPr>
        <w:tc>
          <w:tcPr>
            <w:cnfStyle w:val="001000000000" w:firstRow="0" w:lastRow="0" w:firstColumn="1" w:lastColumn="0" w:oddVBand="0" w:evenVBand="0" w:oddHBand="0" w:evenHBand="0" w:firstRowFirstColumn="0" w:firstRowLastColumn="0" w:lastRowFirstColumn="0" w:lastRowLastColumn="0"/>
            <w:tcW w:w="2847" w:type="dxa"/>
            <w:shd w:val="clear" w:color="auto" w:fill="auto"/>
            <w:noWrap/>
          </w:tcPr>
          <w:p w:rsidR="001B3496" w:rsidRPr="00106B8C" w:rsidRDefault="001B3496" w:rsidP="00B546D4">
            <w:pPr>
              <w:pStyle w:val="Tablo"/>
              <w:keepLines/>
              <w:ind w:firstLine="0"/>
              <w:rPr>
                <w:rFonts w:ascii="Times New Roman" w:hAnsi="Times New Roman"/>
                <w:b w:val="0"/>
                <w:bCs w:val="0"/>
                <w:sz w:val="20"/>
                <w:szCs w:val="20"/>
                <w:lang w:val="en-US"/>
              </w:rPr>
            </w:pPr>
            <w:r w:rsidRPr="00106B8C">
              <w:rPr>
                <w:rFonts w:ascii="Times New Roman" w:hAnsi="Times New Roman"/>
                <w:b w:val="0"/>
                <w:bCs w:val="0"/>
                <w:sz w:val="20"/>
                <w:szCs w:val="20"/>
                <w:lang w:val="en-US"/>
              </w:rPr>
              <w:t xml:space="preserve">Development and investment banks </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tcPr>
          <w:p w:rsidR="001B3496" w:rsidRPr="00106B8C" w:rsidRDefault="001B3496" w:rsidP="00B546D4">
            <w:pPr>
              <w:pStyle w:val="Tablo"/>
              <w:keepLines/>
              <w:ind w:firstLine="0"/>
              <w:rPr>
                <w:rFonts w:ascii="Times New Roman" w:hAnsi="Times New Roman"/>
                <w:b/>
                <w:bCs/>
                <w:sz w:val="20"/>
                <w:szCs w:val="20"/>
                <w:lang w:val="en-US"/>
              </w:rPr>
            </w:pPr>
            <w:r w:rsidRPr="00106B8C">
              <w:rPr>
                <w:rFonts w:ascii="Times New Roman" w:hAnsi="Times New Roman"/>
                <w:b/>
                <w:bCs/>
                <w:sz w:val="20"/>
                <w:szCs w:val="20"/>
                <w:lang w:val="en-US"/>
              </w:rPr>
              <w:t>5.322</w:t>
            </w:r>
          </w:p>
        </w:tc>
        <w:tc>
          <w:tcPr>
            <w:tcW w:w="931" w:type="dxa"/>
            <w:shd w:val="clear" w:color="auto" w:fill="auto"/>
            <w:noWrap/>
          </w:tcPr>
          <w:p w:rsidR="001B3496" w:rsidRPr="00106B8C" w:rsidRDefault="001B3496" w:rsidP="00B546D4">
            <w:pPr>
              <w:pStyle w:val="Tablo"/>
              <w:keepLine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US"/>
              </w:rPr>
            </w:pPr>
            <w:r w:rsidRPr="00106B8C">
              <w:rPr>
                <w:rFonts w:ascii="Times New Roman" w:hAnsi="Times New Roman"/>
                <w:b/>
                <w:bCs/>
                <w:sz w:val="20"/>
                <w:szCs w:val="20"/>
                <w:lang w:val="en-US"/>
              </w:rPr>
              <w:t>5.273</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noWrap/>
          </w:tcPr>
          <w:p w:rsidR="001B3496" w:rsidRPr="00106B8C" w:rsidRDefault="001B3496" w:rsidP="00B546D4">
            <w:pPr>
              <w:pStyle w:val="Tablo"/>
              <w:keepLines/>
              <w:ind w:firstLine="0"/>
              <w:rPr>
                <w:rFonts w:ascii="Times New Roman" w:hAnsi="Times New Roman"/>
                <w:b/>
                <w:bCs/>
                <w:sz w:val="20"/>
                <w:szCs w:val="20"/>
                <w:lang w:val="en-US"/>
              </w:rPr>
            </w:pPr>
            <w:r w:rsidRPr="00106B8C">
              <w:rPr>
                <w:rFonts w:ascii="Times New Roman" w:hAnsi="Times New Roman"/>
                <w:b/>
                <w:bCs/>
                <w:sz w:val="20"/>
                <w:szCs w:val="20"/>
                <w:lang w:val="en-US"/>
              </w:rPr>
              <w:t>5.339</w:t>
            </w:r>
          </w:p>
        </w:tc>
        <w:tc>
          <w:tcPr>
            <w:tcW w:w="931" w:type="dxa"/>
            <w:shd w:val="clear" w:color="auto" w:fill="auto"/>
          </w:tcPr>
          <w:p w:rsidR="001B3496" w:rsidRPr="00106B8C" w:rsidRDefault="001B3496" w:rsidP="00B546D4">
            <w:pPr>
              <w:pStyle w:val="Tablo"/>
              <w:keepLine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lang w:val="en-US"/>
              </w:rPr>
            </w:pPr>
            <w:r w:rsidRPr="00106B8C">
              <w:rPr>
                <w:rFonts w:ascii="Times New Roman" w:hAnsi="Times New Roman"/>
                <w:b/>
                <w:bCs/>
                <w:sz w:val="20"/>
                <w:szCs w:val="20"/>
                <w:lang w:val="en-US"/>
              </w:rPr>
              <w:t>5.370</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tcPr>
          <w:p w:rsidR="001B3496" w:rsidRPr="00106B8C" w:rsidRDefault="001B3496" w:rsidP="00B546D4">
            <w:pPr>
              <w:pStyle w:val="Tablo"/>
              <w:keepLines/>
              <w:ind w:firstLine="0"/>
              <w:rPr>
                <w:rFonts w:ascii="Times New Roman" w:hAnsi="Times New Roman"/>
                <w:b/>
                <w:bCs/>
                <w:sz w:val="20"/>
                <w:szCs w:val="20"/>
                <w:lang w:val="en-US"/>
              </w:rPr>
            </w:pPr>
            <w:r w:rsidRPr="00106B8C">
              <w:rPr>
                <w:rFonts w:ascii="Times New Roman" w:hAnsi="Times New Roman"/>
                <w:b/>
                <w:bCs/>
                <w:sz w:val="20"/>
                <w:szCs w:val="20"/>
                <w:lang w:val="en-US"/>
              </w:rPr>
              <w:t>4.842</w:t>
            </w:r>
          </w:p>
        </w:tc>
        <w:tc>
          <w:tcPr>
            <w:tcW w:w="931" w:type="dxa"/>
            <w:shd w:val="clear" w:color="auto" w:fill="auto"/>
          </w:tcPr>
          <w:p w:rsidR="001B3496" w:rsidRPr="00106B8C" w:rsidRDefault="001B3496" w:rsidP="00B546D4">
            <w:pPr>
              <w:pStyle w:val="Tablo"/>
              <w:keepLines/>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4.901</w:t>
            </w:r>
          </w:p>
        </w:tc>
      </w:tr>
      <w:tr w:rsidR="001B3496" w:rsidRPr="00106B8C" w:rsidTr="00106B8C">
        <w:trPr>
          <w:trHeight w:val="20"/>
        </w:trPr>
        <w:tc>
          <w:tcPr>
            <w:cnfStyle w:val="001000000000" w:firstRow="0" w:lastRow="0" w:firstColumn="1" w:lastColumn="0" w:oddVBand="0" w:evenVBand="0" w:oddHBand="0" w:evenHBand="0" w:firstRowFirstColumn="0" w:firstRowLastColumn="0" w:lastRowFirstColumn="0" w:lastRowLastColumn="0"/>
            <w:tcW w:w="2847" w:type="dxa"/>
            <w:shd w:val="clear" w:color="auto" w:fill="auto"/>
            <w:noWrap/>
          </w:tcPr>
          <w:p w:rsidR="001B3496" w:rsidRPr="00106B8C" w:rsidRDefault="001B3496" w:rsidP="00B546D4">
            <w:pPr>
              <w:pStyle w:val="Tablo"/>
              <w:keepLines/>
              <w:ind w:firstLine="0"/>
              <w:rPr>
                <w:rFonts w:ascii="Times New Roman" w:hAnsi="Times New Roman"/>
                <w:b w:val="0"/>
                <w:bCs w:val="0"/>
                <w:sz w:val="20"/>
                <w:szCs w:val="20"/>
                <w:lang w:val="en-US"/>
              </w:rPr>
            </w:pPr>
            <w:r w:rsidRPr="00106B8C">
              <w:rPr>
                <w:rFonts w:ascii="Times New Roman" w:hAnsi="Times New Roman"/>
                <w:b w:val="0"/>
                <w:bCs w:val="0"/>
                <w:sz w:val="20"/>
                <w:szCs w:val="20"/>
                <w:lang w:val="en-US"/>
              </w:rPr>
              <w:t xml:space="preserve">  Total </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tcPr>
          <w:p w:rsidR="001B3496" w:rsidRPr="00106B8C" w:rsidRDefault="001B3496" w:rsidP="00B546D4">
            <w:pPr>
              <w:pStyle w:val="Tablo"/>
              <w:keepLines/>
              <w:ind w:firstLine="0"/>
              <w:rPr>
                <w:rFonts w:ascii="Times New Roman" w:hAnsi="Times New Roman"/>
                <w:b/>
                <w:bCs/>
                <w:sz w:val="20"/>
                <w:szCs w:val="20"/>
                <w:lang w:val="en-US"/>
              </w:rPr>
            </w:pPr>
            <w:r w:rsidRPr="00106B8C">
              <w:rPr>
                <w:rFonts w:ascii="Times New Roman" w:hAnsi="Times New Roman"/>
                <w:b/>
                <w:bCs/>
                <w:sz w:val="20"/>
                <w:szCs w:val="20"/>
                <w:lang w:val="en-US"/>
              </w:rPr>
              <w:t>172.391</w:t>
            </w:r>
          </w:p>
        </w:tc>
        <w:tc>
          <w:tcPr>
            <w:tcW w:w="931" w:type="dxa"/>
            <w:shd w:val="clear" w:color="auto" w:fill="auto"/>
            <w:noWrap/>
          </w:tcPr>
          <w:p w:rsidR="001B3496" w:rsidRPr="00106B8C" w:rsidRDefault="001B3496" w:rsidP="00B546D4">
            <w:pPr>
              <w:pStyle w:val="Tablo"/>
              <w:keepLine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en-US"/>
              </w:rPr>
            </w:pPr>
            <w:r w:rsidRPr="00106B8C">
              <w:rPr>
                <w:rFonts w:ascii="Times New Roman" w:hAnsi="Times New Roman"/>
                <w:b/>
                <w:bCs/>
                <w:sz w:val="20"/>
                <w:szCs w:val="20"/>
                <w:lang w:val="en-US"/>
              </w:rPr>
              <w:t>182.630</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noWrap/>
          </w:tcPr>
          <w:p w:rsidR="001B3496" w:rsidRPr="00106B8C" w:rsidRDefault="001B3496" w:rsidP="00B546D4">
            <w:pPr>
              <w:pStyle w:val="Tablo"/>
              <w:keepLines/>
              <w:ind w:firstLine="0"/>
              <w:rPr>
                <w:rFonts w:ascii="Times New Roman" w:hAnsi="Times New Roman"/>
                <w:b/>
                <w:bCs/>
                <w:sz w:val="20"/>
                <w:szCs w:val="20"/>
                <w:lang w:val="en-US"/>
              </w:rPr>
            </w:pPr>
            <w:r w:rsidRPr="00106B8C">
              <w:rPr>
                <w:rFonts w:ascii="Times New Roman" w:hAnsi="Times New Roman"/>
                <w:b/>
                <w:bCs/>
                <w:sz w:val="20"/>
                <w:szCs w:val="20"/>
                <w:lang w:val="en-US"/>
              </w:rPr>
              <w:t>184.204</w:t>
            </w:r>
          </w:p>
        </w:tc>
        <w:tc>
          <w:tcPr>
            <w:tcW w:w="931" w:type="dxa"/>
            <w:shd w:val="clear" w:color="auto" w:fill="auto"/>
          </w:tcPr>
          <w:p w:rsidR="001B3496" w:rsidRPr="00106B8C" w:rsidRDefault="001B3496" w:rsidP="00B546D4">
            <w:pPr>
              <w:pStyle w:val="Tablo"/>
              <w:keepLine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lang w:val="en-US"/>
              </w:rPr>
            </w:pPr>
            <w:r w:rsidRPr="00106B8C">
              <w:rPr>
                <w:rFonts w:ascii="Times New Roman" w:hAnsi="Times New Roman"/>
                <w:b/>
                <w:bCs/>
                <w:sz w:val="20"/>
                <w:szCs w:val="20"/>
                <w:lang w:val="en-US"/>
              </w:rPr>
              <w:t>191.206</w:t>
            </w:r>
          </w:p>
        </w:tc>
        <w:tc>
          <w:tcPr>
            <w:cnfStyle w:val="000010000000" w:firstRow="0" w:lastRow="0" w:firstColumn="0" w:lastColumn="0" w:oddVBand="1" w:evenVBand="0" w:oddHBand="0" w:evenHBand="0" w:firstRowFirstColumn="0" w:firstRowLastColumn="0" w:lastRowFirstColumn="0" w:lastRowLastColumn="0"/>
            <w:tcW w:w="931" w:type="dxa"/>
            <w:shd w:val="clear" w:color="auto" w:fill="auto"/>
          </w:tcPr>
          <w:p w:rsidR="001B3496" w:rsidRPr="00106B8C" w:rsidRDefault="001B3496" w:rsidP="00B546D4">
            <w:pPr>
              <w:jc w:val="both"/>
              <w:rPr>
                <w:b/>
                <w:bCs/>
                <w:sz w:val="20"/>
                <w:szCs w:val="20"/>
                <w:lang w:val="en-US"/>
              </w:rPr>
            </w:pPr>
            <w:r w:rsidRPr="00106B8C">
              <w:rPr>
                <w:b/>
                <w:bCs/>
                <w:sz w:val="20"/>
                <w:szCs w:val="20"/>
                <w:lang w:val="en-US"/>
              </w:rPr>
              <w:t>195.275</w:t>
            </w:r>
          </w:p>
        </w:tc>
        <w:tc>
          <w:tcPr>
            <w:tcW w:w="931" w:type="dxa"/>
            <w:shd w:val="clear" w:color="auto" w:fill="auto"/>
          </w:tcPr>
          <w:p w:rsidR="001B3496" w:rsidRPr="00106B8C" w:rsidRDefault="001B3496" w:rsidP="00B546D4">
            <w:pPr>
              <w:pStyle w:val="Tablo"/>
              <w:keepLines/>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US"/>
              </w:rPr>
            </w:pPr>
            <w:r w:rsidRPr="00106B8C">
              <w:rPr>
                <w:rFonts w:ascii="Times New Roman" w:hAnsi="Times New Roman"/>
                <w:sz w:val="20"/>
                <w:szCs w:val="20"/>
                <w:lang w:val="en-US"/>
              </w:rPr>
              <w:t>201.454</w:t>
            </w:r>
          </w:p>
        </w:tc>
      </w:tr>
    </w:tbl>
    <w:p w:rsidR="001B3496" w:rsidRPr="00106B8C" w:rsidRDefault="001B3496" w:rsidP="00B546D4">
      <w:pPr>
        <w:pStyle w:val="AralkYok"/>
        <w:jc w:val="both"/>
        <w:rPr>
          <w:rFonts w:ascii="Times New Roman" w:hAnsi="Times New Roman"/>
          <w:sz w:val="20"/>
          <w:szCs w:val="24"/>
        </w:rPr>
      </w:pPr>
      <w:r w:rsidRPr="00106B8C">
        <w:rPr>
          <w:rFonts w:ascii="Times New Roman" w:hAnsi="Times New Roman"/>
          <w:sz w:val="20"/>
          <w:szCs w:val="24"/>
        </w:rPr>
        <w:t>Source: Collected from data provided by (BAT, The Bank Association of Turkey, 2011) (BAT, The Bank Association of Turkey, 201213) (PBAT, The Participation Banks Association of Turkey, 2012-13).</w:t>
      </w:r>
    </w:p>
    <w:p w:rsidR="00B546D4" w:rsidRPr="00106B8C" w:rsidRDefault="00B546D4" w:rsidP="00B546D4">
      <w:pPr>
        <w:pStyle w:val="AralkYok"/>
        <w:jc w:val="both"/>
        <w:rPr>
          <w:rFonts w:ascii="Times New Roman" w:hAnsi="Times New Roman"/>
          <w:sz w:val="20"/>
          <w:szCs w:val="24"/>
        </w:rPr>
      </w:pPr>
    </w:p>
    <w:p w:rsidR="00B546D4" w:rsidRPr="00106B8C" w:rsidRDefault="00B546D4" w:rsidP="00B546D4">
      <w:pPr>
        <w:pStyle w:val="AralkYok"/>
        <w:jc w:val="both"/>
        <w:rPr>
          <w:rFonts w:ascii="Times New Roman" w:hAnsi="Times New Roman"/>
          <w:sz w:val="20"/>
          <w:szCs w:val="24"/>
        </w:rPr>
      </w:pPr>
    </w:p>
    <w:p w:rsidR="001B3496" w:rsidRPr="00106B8C" w:rsidRDefault="001B3496" w:rsidP="00B546D4">
      <w:pPr>
        <w:pStyle w:val="AralkYok"/>
        <w:jc w:val="both"/>
        <w:rPr>
          <w:rFonts w:ascii="Times New Roman" w:hAnsi="Times New Roman"/>
          <w:sz w:val="24"/>
          <w:szCs w:val="24"/>
        </w:rPr>
      </w:pPr>
      <w:r w:rsidRPr="00106B8C">
        <w:rPr>
          <w:rFonts w:ascii="Times New Roman" w:hAnsi="Times New Roman"/>
          <w:sz w:val="24"/>
          <w:szCs w:val="24"/>
        </w:rPr>
        <w:t>As of the end of 2012 (December 2012), the average personnel number for branch in participation banks is as follows:</w:t>
      </w:r>
    </w:p>
    <w:p w:rsidR="00B546D4" w:rsidRPr="00106B8C" w:rsidRDefault="00B546D4" w:rsidP="00B546D4">
      <w:pPr>
        <w:pStyle w:val="AralkYok"/>
        <w:jc w:val="both"/>
        <w:rPr>
          <w:rFonts w:ascii="Times New Roman" w:hAnsi="Times New Roman"/>
          <w:sz w:val="24"/>
          <w:szCs w:val="24"/>
        </w:rPr>
      </w:pPr>
    </w:p>
    <w:tbl>
      <w:tblPr>
        <w:tblStyle w:val="AkGlgeleme"/>
        <w:tblW w:w="0" w:type="auto"/>
        <w:tblLook w:val="00A0" w:firstRow="1" w:lastRow="0" w:firstColumn="1" w:lastColumn="0" w:noHBand="0" w:noVBand="0"/>
      </w:tblPr>
      <w:tblGrid>
        <w:gridCol w:w="2130"/>
        <w:gridCol w:w="2184"/>
        <w:gridCol w:w="2038"/>
        <w:gridCol w:w="2001"/>
      </w:tblGrid>
      <w:tr w:rsidR="001B3496" w:rsidRPr="00106B8C" w:rsidTr="00106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tcPr>
          <w:p w:rsidR="001B3496" w:rsidRPr="00106B8C" w:rsidRDefault="001B3496" w:rsidP="00B546D4">
            <w:pPr>
              <w:pStyle w:val="AralkYok"/>
              <w:jc w:val="both"/>
              <w:rPr>
                <w:rFonts w:ascii="Times New Roman" w:hAnsi="Times New Roman"/>
                <w:sz w:val="20"/>
                <w:szCs w:val="20"/>
                <w:lang w:eastAsia="tr-TR"/>
              </w:rPr>
            </w:pPr>
            <w:r w:rsidRPr="00106B8C">
              <w:rPr>
                <w:rFonts w:ascii="Times New Roman" w:hAnsi="Times New Roman"/>
                <w:sz w:val="20"/>
                <w:szCs w:val="20"/>
                <w:lang w:eastAsia="tr-TR"/>
              </w:rPr>
              <w:t>Bank</w:t>
            </w:r>
          </w:p>
        </w:tc>
        <w:tc>
          <w:tcPr>
            <w:cnfStyle w:val="000010000000" w:firstRow="0" w:lastRow="0" w:firstColumn="0" w:lastColumn="0" w:oddVBand="1" w:evenVBand="0" w:oddHBand="0" w:evenHBand="0" w:firstRowFirstColumn="0" w:firstRowLastColumn="0" w:lastRowFirstColumn="0" w:lastRowLastColumn="0"/>
            <w:tcW w:w="2184" w:type="dxa"/>
            <w:shd w:val="clear" w:color="auto" w:fill="auto"/>
          </w:tcPr>
          <w:p w:rsidR="001B3496" w:rsidRPr="00106B8C" w:rsidRDefault="001B3496" w:rsidP="00B546D4">
            <w:pPr>
              <w:pStyle w:val="AralkYok"/>
              <w:jc w:val="both"/>
              <w:rPr>
                <w:rFonts w:ascii="Times New Roman" w:hAnsi="Times New Roman"/>
                <w:sz w:val="20"/>
                <w:szCs w:val="20"/>
                <w:lang w:eastAsia="tr-TR"/>
              </w:rPr>
            </w:pPr>
            <w:r w:rsidRPr="00106B8C">
              <w:rPr>
                <w:rFonts w:ascii="Times New Roman" w:hAnsi="Times New Roman"/>
                <w:sz w:val="20"/>
                <w:szCs w:val="20"/>
                <w:lang w:eastAsia="tr-TR"/>
              </w:rPr>
              <w:t>Total Personnel No./Branch No.</w:t>
            </w:r>
          </w:p>
        </w:tc>
        <w:tc>
          <w:tcPr>
            <w:tcW w:w="2038" w:type="dxa"/>
            <w:shd w:val="clear" w:color="auto" w:fill="auto"/>
          </w:tcPr>
          <w:p w:rsidR="001B3496" w:rsidRPr="00106B8C" w:rsidRDefault="001B3496" w:rsidP="00B546D4">
            <w:pPr>
              <w:pStyle w:val="AralkYok"/>
              <w:ind w:right="-149"/>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eastAsia="tr-TR"/>
              </w:rPr>
            </w:pPr>
            <w:r w:rsidRPr="00106B8C">
              <w:rPr>
                <w:rFonts w:ascii="Times New Roman" w:hAnsi="Times New Roman"/>
                <w:sz w:val="20"/>
                <w:szCs w:val="20"/>
                <w:lang w:eastAsia="tr-TR"/>
              </w:rPr>
              <w:t>Average Personnel No. for Branch 2011</w:t>
            </w:r>
          </w:p>
        </w:tc>
        <w:tc>
          <w:tcPr>
            <w:cnfStyle w:val="000010000000" w:firstRow="0" w:lastRow="0" w:firstColumn="0" w:lastColumn="0" w:oddVBand="1" w:evenVBand="0" w:oddHBand="0" w:evenHBand="0" w:firstRowFirstColumn="0" w:firstRowLastColumn="0" w:lastRowFirstColumn="0" w:lastRowLastColumn="0"/>
            <w:tcW w:w="2001" w:type="dxa"/>
            <w:shd w:val="clear" w:color="auto" w:fill="auto"/>
          </w:tcPr>
          <w:p w:rsidR="001B3496" w:rsidRPr="00106B8C" w:rsidRDefault="001B3496" w:rsidP="00B546D4">
            <w:pPr>
              <w:pStyle w:val="AralkYok"/>
              <w:ind w:right="-57"/>
              <w:jc w:val="both"/>
              <w:rPr>
                <w:rFonts w:ascii="Times New Roman" w:hAnsi="Times New Roman"/>
                <w:sz w:val="20"/>
                <w:szCs w:val="20"/>
                <w:lang w:eastAsia="tr-TR"/>
              </w:rPr>
            </w:pPr>
            <w:r w:rsidRPr="00106B8C">
              <w:rPr>
                <w:rFonts w:ascii="Times New Roman" w:hAnsi="Times New Roman"/>
                <w:sz w:val="20"/>
                <w:szCs w:val="20"/>
                <w:lang w:eastAsia="tr-TR"/>
              </w:rPr>
              <w:t>Average Personnel No. for Branch 2012</w:t>
            </w:r>
          </w:p>
        </w:tc>
      </w:tr>
      <w:tr w:rsidR="001B3496" w:rsidRPr="00106B8C" w:rsidTr="00106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tcPr>
          <w:p w:rsidR="001B3496" w:rsidRPr="00106B8C" w:rsidRDefault="001B3496" w:rsidP="00B546D4">
            <w:pPr>
              <w:pStyle w:val="AralkYok"/>
              <w:jc w:val="both"/>
              <w:rPr>
                <w:rFonts w:ascii="Times New Roman" w:hAnsi="Times New Roman"/>
                <w:sz w:val="20"/>
                <w:szCs w:val="20"/>
                <w:lang w:eastAsia="tr-TR"/>
              </w:rPr>
            </w:pPr>
            <w:proofErr w:type="spellStart"/>
            <w:r w:rsidRPr="00106B8C">
              <w:rPr>
                <w:rFonts w:ascii="Times New Roman" w:hAnsi="Times New Roman"/>
                <w:sz w:val="20"/>
                <w:szCs w:val="20"/>
                <w:lang w:eastAsia="tr-TR"/>
              </w:rPr>
              <w:t>Albaraka</w:t>
            </w:r>
            <w:proofErr w:type="spellEnd"/>
            <w:r w:rsidRPr="00106B8C">
              <w:rPr>
                <w:rFonts w:ascii="Times New Roman" w:hAnsi="Times New Roman"/>
                <w:sz w:val="20"/>
                <w:szCs w:val="20"/>
                <w:lang w:eastAsia="tr-TR"/>
              </w:rPr>
              <w:t xml:space="preserve"> </w:t>
            </w:r>
            <w:proofErr w:type="spellStart"/>
            <w:r w:rsidRPr="00106B8C">
              <w:rPr>
                <w:rFonts w:ascii="Times New Roman" w:hAnsi="Times New Roman"/>
                <w:sz w:val="20"/>
                <w:szCs w:val="20"/>
                <w:lang w:eastAsia="tr-TR"/>
              </w:rPr>
              <w:t>Türk</w:t>
            </w:r>
            <w:proofErr w:type="spellEnd"/>
          </w:p>
        </w:tc>
        <w:tc>
          <w:tcPr>
            <w:cnfStyle w:val="000010000000" w:firstRow="0" w:lastRow="0" w:firstColumn="0" w:lastColumn="0" w:oddVBand="1" w:evenVBand="0" w:oddHBand="0" w:evenHBand="0" w:firstRowFirstColumn="0" w:firstRowLastColumn="0" w:lastRowFirstColumn="0" w:lastRowLastColumn="0"/>
            <w:tcW w:w="2184" w:type="dxa"/>
            <w:shd w:val="clear" w:color="auto" w:fill="auto"/>
          </w:tcPr>
          <w:p w:rsidR="001B3496" w:rsidRPr="00106B8C" w:rsidRDefault="001B3496" w:rsidP="00B546D4">
            <w:pPr>
              <w:pStyle w:val="AralkYok"/>
              <w:jc w:val="both"/>
              <w:rPr>
                <w:rFonts w:ascii="Times New Roman" w:hAnsi="Times New Roman"/>
                <w:sz w:val="20"/>
                <w:szCs w:val="20"/>
                <w:lang w:eastAsia="tr-TR"/>
              </w:rPr>
            </w:pPr>
            <w:r w:rsidRPr="00106B8C">
              <w:rPr>
                <w:rFonts w:ascii="Times New Roman" w:hAnsi="Times New Roman"/>
                <w:sz w:val="20"/>
                <w:szCs w:val="20"/>
                <w:lang w:eastAsia="tr-TR"/>
              </w:rPr>
              <w:t>2012(2.758/137)</w:t>
            </w:r>
          </w:p>
        </w:tc>
        <w:tc>
          <w:tcPr>
            <w:tcW w:w="2038" w:type="dxa"/>
            <w:shd w:val="clear" w:color="auto" w:fill="auto"/>
          </w:tcPr>
          <w:p w:rsidR="001B3496" w:rsidRPr="00106B8C" w:rsidRDefault="001B3496" w:rsidP="00B546D4">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tr-TR"/>
              </w:rPr>
            </w:pPr>
            <w:r w:rsidRPr="00106B8C">
              <w:rPr>
                <w:rFonts w:ascii="Times New Roman" w:hAnsi="Times New Roman"/>
                <w:sz w:val="20"/>
                <w:szCs w:val="20"/>
                <w:lang w:eastAsia="tr-TR"/>
              </w:rPr>
              <w:t>21,1</w:t>
            </w:r>
          </w:p>
        </w:tc>
        <w:tc>
          <w:tcPr>
            <w:cnfStyle w:val="000010000000" w:firstRow="0" w:lastRow="0" w:firstColumn="0" w:lastColumn="0" w:oddVBand="1" w:evenVBand="0" w:oddHBand="0" w:evenHBand="0" w:firstRowFirstColumn="0" w:firstRowLastColumn="0" w:lastRowFirstColumn="0" w:lastRowLastColumn="0"/>
            <w:tcW w:w="2001" w:type="dxa"/>
            <w:shd w:val="clear" w:color="auto" w:fill="auto"/>
          </w:tcPr>
          <w:p w:rsidR="001B3496" w:rsidRPr="00106B8C" w:rsidRDefault="001B3496" w:rsidP="00B546D4">
            <w:pPr>
              <w:pStyle w:val="AralkYok"/>
              <w:ind w:right="-57"/>
              <w:jc w:val="both"/>
              <w:rPr>
                <w:rFonts w:ascii="Times New Roman" w:hAnsi="Times New Roman"/>
                <w:sz w:val="20"/>
                <w:szCs w:val="20"/>
                <w:lang w:eastAsia="tr-TR"/>
              </w:rPr>
            </w:pPr>
            <w:r w:rsidRPr="00106B8C">
              <w:rPr>
                <w:rFonts w:ascii="Times New Roman" w:hAnsi="Times New Roman"/>
                <w:sz w:val="20"/>
                <w:szCs w:val="20"/>
                <w:lang w:eastAsia="tr-TR"/>
              </w:rPr>
              <w:t>20,1</w:t>
            </w:r>
          </w:p>
        </w:tc>
      </w:tr>
      <w:tr w:rsidR="001B3496" w:rsidRPr="00106B8C" w:rsidTr="00106B8C">
        <w:tc>
          <w:tcPr>
            <w:cnfStyle w:val="001000000000" w:firstRow="0" w:lastRow="0" w:firstColumn="1" w:lastColumn="0" w:oddVBand="0" w:evenVBand="0" w:oddHBand="0" w:evenHBand="0" w:firstRowFirstColumn="0" w:firstRowLastColumn="0" w:lastRowFirstColumn="0" w:lastRowLastColumn="0"/>
            <w:tcW w:w="2130" w:type="dxa"/>
            <w:shd w:val="clear" w:color="auto" w:fill="auto"/>
          </w:tcPr>
          <w:p w:rsidR="001B3496" w:rsidRPr="00106B8C" w:rsidRDefault="001B3496" w:rsidP="00B546D4">
            <w:pPr>
              <w:pStyle w:val="AralkYok"/>
              <w:jc w:val="both"/>
              <w:rPr>
                <w:rFonts w:ascii="Times New Roman" w:hAnsi="Times New Roman"/>
                <w:sz w:val="20"/>
                <w:szCs w:val="20"/>
                <w:lang w:eastAsia="tr-TR"/>
              </w:rPr>
            </w:pPr>
            <w:r w:rsidRPr="00106B8C">
              <w:rPr>
                <w:rFonts w:ascii="Times New Roman" w:hAnsi="Times New Roman"/>
                <w:sz w:val="20"/>
                <w:szCs w:val="20"/>
                <w:lang w:eastAsia="tr-TR"/>
              </w:rPr>
              <w:t xml:space="preserve">Bank </w:t>
            </w:r>
            <w:proofErr w:type="spellStart"/>
            <w:r w:rsidRPr="00106B8C">
              <w:rPr>
                <w:rFonts w:ascii="Times New Roman" w:hAnsi="Times New Roman"/>
                <w:sz w:val="20"/>
                <w:szCs w:val="20"/>
                <w:lang w:eastAsia="tr-TR"/>
              </w:rPr>
              <w:t>Asya</w:t>
            </w:r>
            <w:proofErr w:type="spellEnd"/>
          </w:p>
        </w:tc>
        <w:tc>
          <w:tcPr>
            <w:cnfStyle w:val="000010000000" w:firstRow="0" w:lastRow="0" w:firstColumn="0" w:lastColumn="0" w:oddVBand="1" w:evenVBand="0" w:oddHBand="0" w:evenHBand="0" w:firstRowFirstColumn="0" w:firstRowLastColumn="0" w:lastRowFirstColumn="0" w:lastRowLastColumn="0"/>
            <w:tcW w:w="2184" w:type="dxa"/>
            <w:shd w:val="clear" w:color="auto" w:fill="auto"/>
          </w:tcPr>
          <w:p w:rsidR="001B3496" w:rsidRPr="00106B8C" w:rsidRDefault="001B3496" w:rsidP="00B546D4">
            <w:pPr>
              <w:pStyle w:val="AralkYok"/>
              <w:jc w:val="both"/>
              <w:rPr>
                <w:rFonts w:ascii="Times New Roman" w:hAnsi="Times New Roman"/>
                <w:sz w:val="20"/>
                <w:szCs w:val="20"/>
                <w:lang w:eastAsia="tr-TR"/>
              </w:rPr>
            </w:pPr>
            <w:r w:rsidRPr="00106B8C">
              <w:rPr>
                <w:rFonts w:ascii="Times New Roman" w:hAnsi="Times New Roman"/>
                <w:sz w:val="20"/>
                <w:szCs w:val="20"/>
                <w:lang w:eastAsia="tr-TR"/>
              </w:rPr>
              <w:t>2012(5.064/250)</w:t>
            </w:r>
          </w:p>
        </w:tc>
        <w:tc>
          <w:tcPr>
            <w:tcW w:w="2038" w:type="dxa"/>
            <w:shd w:val="clear" w:color="auto" w:fill="auto"/>
          </w:tcPr>
          <w:p w:rsidR="001B3496" w:rsidRPr="00106B8C" w:rsidRDefault="001B3496" w:rsidP="00B546D4">
            <w:pPr>
              <w:pStyle w:val="AralkYok"/>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tr-TR"/>
              </w:rPr>
            </w:pPr>
            <w:r w:rsidRPr="00106B8C">
              <w:rPr>
                <w:rFonts w:ascii="Times New Roman" w:hAnsi="Times New Roman"/>
                <w:sz w:val="20"/>
                <w:szCs w:val="20"/>
                <w:lang w:eastAsia="tr-TR"/>
              </w:rPr>
              <w:t>22,7</w:t>
            </w:r>
          </w:p>
        </w:tc>
        <w:tc>
          <w:tcPr>
            <w:cnfStyle w:val="000010000000" w:firstRow="0" w:lastRow="0" w:firstColumn="0" w:lastColumn="0" w:oddVBand="1" w:evenVBand="0" w:oddHBand="0" w:evenHBand="0" w:firstRowFirstColumn="0" w:firstRowLastColumn="0" w:lastRowFirstColumn="0" w:lastRowLastColumn="0"/>
            <w:tcW w:w="2001" w:type="dxa"/>
            <w:shd w:val="clear" w:color="auto" w:fill="auto"/>
          </w:tcPr>
          <w:p w:rsidR="001B3496" w:rsidRPr="00106B8C" w:rsidRDefault="001B3496" w:rsidP="00B546D4">
            <w:pPr>
              <w:pStyle w:val="AralkYok"/>
              <w:ind w:right="-57"/>
              <w:jc w:val="both"/>
              <w:rPr>
                <w:rFonts w:ascii="Times New Roman" w:hAnsi="Times New Roman"/>
                <w:sz w:val="20"/>
                <w:szCs w:val="20"/>
                <w:lang w:eastAsia="tr-TR"/>
              </w:rPr>
            </w:pPr>
            <w:r w:rsidRPr="00106B8C">
              <w:rPr>
                <w:rFonts w:ascii="Times New Roman" w:hAnsi="Times New Roman"/>
                <w:sz w:val="20"/>
                <w:szCs w:val="20"/>
                <w:lang w:eastAsia="tr-TR"/>
              </w:rPr>
              <w:t>20,3</w:t>
            </w:r>
          </w:p>
        </w:tc>
      </w:tr>
      <w:tr w:rsidR="001B3496" w:rsidRPr="00106B8C" w:rsidTr="00106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tcPr>
          <w:p w:rsidR="001B3496" w:rsidRPr="00106B8C" w:rsidRDefault="001B3496" w:rsidP="00B546D4">
            <w:pPr>
              <w:pStyle w:val="AralkYok"/>
              <w:jc w:val="both"/>
              <w:rPr>
                <w:rFonts w:ascii="Times New Roman" w:hAnsi="Times New Roman"/>
                <w:sz w:val="20"/>
                <w:szCs w:val="20"/>
                <w:lang w:eastAsia="tr-TR"/>
              </w:rPr>
            </w:pPr>
            <w:proofErr w:type="spellStart"/>
            <w:r w:rsidRPr="00106B8C">
              <w:rPr>
                <w:rFonts w:ascii="Times New Roman" w:hAnsi="Times New Roman"/>
                <w:sz w:val="20"/>
                <w:szCs w:val="20"/>
                <w:lang w:eastAsia="tr-TR"/>
              </w:rPr>
              <w:t>Kuveyt</w:t>
            </w:r>
            <w:proofErr w:type="spellEnd"/>
            <w:r w:rsidRPr="00106B8C">
              <w:rPr>
                <w:rFonts w:ascii="Times New Roman" w:hAnsi="Times New Roman"/>
                <w:sz w:val="20"/>
                <w:szCs w:val="20"/>
                <w:lang w:eastAsia="tr-TR"/>
              </w:rPr>
              <w:t xml:space="preserve"> </w:t>
            </w:r>
            <w:proofErr w:type="spellStart"/>
            <w:r w:rsidRPr="00106B8C">
              <w:rPr>
                <w:rFonts w:ascii="Times New Roman" w:hAnsi="Times New Roman"/>
                <w:sz w:val="20"/>
                <w:szCs w:val="20"/>
                <w:lang w:eastAsia="tr-TR"/>
              </w:rPr>
              <w:t>Türk</w:t>
            </w:r>
            <w:proofErr w:type="spellEnd"/>
          </w:p>
        </w:tc>
        <w:tc>
          <w:tcPr>
            <w:cnfStyle w:val="000010000000" w:firstRow="0" w:lastRow="0" w:firstColumn="0" w:lastColumn="0" w:oddVBand="1" w:evenVBand="0" w:oddHBand="0" w:evenHBand="0" w:firstRowFirstColumn="0" w:firstRowLastColumn="0" w:lastRowFirstColumn="0" w:lastRowLastColumn="0"/>
            <w:tcW w:w="2184" w:type="dxa"/>
            <w:shd w:val="clear" w:color="auto" w:fill="auto"/>
          </w:tcPr>
          <w:p w:rsidR="001B3496" w:rsidRPr="00106B8C" w:rsidRDefault="001B3496" w:rsidP="00B546D4">
            <w:pPr>
              <w:pStyle w:val="AralkYok"/>
              <w:jc w:val="both"/>
              <w:rPr>
                <w:rFonts w:ascii="Times New Roman" w:hAnsi="Times New Roman"/>
                <w:sz w:val="20"/>
                <w:szCs w:val="20"/>
                <w:lang w:eastAsia="tr-TR"/>
              </w:rPr>
            </w:pPr>
            <w:r w:rsidRPr="00106B8C">
              <w:rPr>
                <w:rFonts w:ascii="Times New Roman" w:hAnsi="Times New Roman"/>
                <w:sz w:val="20"/>
                <w:szCs w:val="20"/>
                <w:lang w:eastAsia="tr-TR"/>
              </w:rPr>
              <w:t>2012(3.939/221)</w:t>
            </w:r>
          </w:p>
        </w:tc>
        <w:tc>
          <w:tcPr>
            <w:tcW w:w="2038" w:type="dxa"/>
            <w:shd w:val="clear" w:color="auto" w:fill="auto"/>
          </w:tcPr>
          <w:p w:rsidR="001B3496" w:rsidRPr="00106B8C" w:rsidRDefault="001B3496" w:rsidP="00B546D4">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tr-TR"/>
              </w:rPr>
            </w:pPr>
            <w:r w:rsidRPr="00106B8C">
              <w:rPr>
                <w:rFonts w:ascii="Times New Roman" w:hAnsi="Times New Roman"/>
                <w:sz w:val="20"/>
                <w:szCs w:val="20"/>
                <w:lang w:eastAsia="tr-TR"/>
              </w:rPr>
              <w:t>18,5</w:t>
            </w:r>
          </w:p>
        </w:tc>
        <w:tc>
          <w:tcPr>
            <w:cnfStyle w:val="000010000000" w:firstRow="0" w:lastRow="0" w:firstColumn="0" w:lastColumn="0" w:oddVBand="1" w:evenVBand="0" w:oddHBand="0" w:evenHBand="0" w:firstRowFirstColumn="0" w:firstRowLastColumn="0" w:lastRowFirstColumn="0" w:lastRowLastColumn="0"/>
            <w:tcW w:w="2001" w:type="dxa"/>
            <w:shd w:val="clear" w:color="auto" w:fill="auto"/>
          </w:tcPr>
          <w:p w:rsidR="001B3496" w:rsidRPr="00106B8C" w:rsidRDefault="001B3496" w:rsidP="00B546D4">
            <w:pPr>
              <w:pStyle w:val="AralkYok"/>
              <w:ind w:right="-57"/>
              <w:jc w:val="both"/>
              <w:rPr>
                <w:rFonts w:ascii="Times New Roman" w:hAnsi="Times New Roman"/>
                <w:sz w:val="20"/>
                <w:szCs w:val="20"/>
                <w:lang w:eastAsia="tr-TR"/>
              </w:rPr>
            </w:pPr>
            <w:r w:rsidRPr="00106B8C">
              <w:rPr>
                <w:rFonts w:ascii="Times New Roman" w:hAnsi="Times New Roman"/>
                <w:sz w:val="20"/>
                <w:szCs w:val="20"/>
                <w:lang w:eastAsia="tr-TR"/>
              </w:rPr>
              <w:t>17,8</w:t>
            </w:r>
          </w:p>
        </w:tc>
      </w:tr>
      <w:tr w:rsidR="001B3496" w:rsidRPr="00106B8C" w:rsidTr="00106B8C">
        <w:tc>
          <w:tcPr>
            <w:cnfStyle w:val="001000000000" w:firstRow="0" w:lastRow="0" w:firstColumn="1" w:lastColumn="0" w:oddVBand="0" w:evenVBand="0" w:oddHBand="0" w:evenHBand="0" w:firstRowFirstColumn="0" w:firstRowLastColumn="0" w:lastRowFirstColumn="0" w:lastRowLastColumn="0"/>
            <w:tcW w:w="2130" w:type="dxa"/>
            <w:shd w:val="clear" w:color="auto" w:fill="auto"/>
          </w:tcPr>
          <w:p w:rsidR="001B3496" w:rsidRPr="00106B8C" w:rsidRDefault="001B3496" w:rsidP="00B546D4">
            <w:pPr>
              <w:pStyle w:val="AralkYok"/>
              <w:jc w:val="both"/>
              <w:rPr>
                <w:rFonts w:ascii="Times New Roman" w:hAnsi="Times New Roman"/>
                <w:sz w:val="20"/>
                <w:szCs w:val="20"/>
                <w:lang w:eastAsia="tr-TR"/>
              </w:rPr>
            </w:pPr>
            <w:proofErr w:type="spellStart"/>
            <w:r w:rsidRPr="00106B8C">
              <w:rPr>
                <w:rFonts w:ascii="Times New Roman" w:hAnsi="Times New Roman"/>
                <w:sz w:val="20"/>
                <w:szCs w:val="20"/>
                <w:lang w:eastAsia="tr-TR"/>
              </w:rPr>
              <w:t>Türkiye</w:t>
            </w:r>
            <w:proofErr w:type="spellEnd"/>
            <w:r w:rsidRPr="00106B8C">
              <w:rPr>
                <w:rFonts w:ascii="Times New Roman" w:hAnsi="Times New Roman"/>
                <w:sz w:val="20"/>
                <w:szCs w:val="20"/>
                <w:lang w:eastAsia="tr-TR"/>
              </w:rPr>
              <w:t xml:space="preserve"> </w:t>
            </w:r>
            <w:proofErr w:type="spellStart"/>
            <w:r w:rsidRPr="00106B8C">
              <w:rPr>
                <w:rFonts w:ascii="Times New Roman" w:hAnsi="Times New Roman"/>
                <w:sz w:val="20"/>
                <w:szCs w:val="20"/>
                <w:lang w:eastAsia="tr-TR"/>
              </w:rPr>
              <w:t>Finans</w:t>
            </w:r>
            <w:proofErr w:type="spellEnd"/>
          </w:p>
        </w:tc>
        <w:tc>
          <w:tcPr>
            <w:cnfStyle w:val="000010000000" w:firstRow="0" w:lastRow="0" w:firstColumn="0" w:lastColumn="0" w:oddVBand="1" w:evenVBand="0" w:oddHBand="0" w:evenHBand="0" w:firstRowFirstColumn="0" w:firstRowLastColumn="0" w:lastRowFirstColumn="0" w:lastRowLastColumn="0"/>
            <w:tcW w:w="2184" w:type="dxa"/>
            <w:shd w:val="clear" w:color="auto" w:fill="auto"/>
          </w:tcPr>
          <w:p w:rsidR="001B3496" w:rsidRPr="00106B8C" w:rsidRDefault="001B3496" w:rsidP="00B546D4">
            <w:pPr>
              <w:pStyle w:val="AralkYok"/>
              <w:jc w:val="both"/>
              <w:rPr>
                <w:rFonts w:ascii="Times New Roman" w:hAnsi="Times New Roman"/>
                <w:sz w:val="20"/>
                <w:szCs w:val="20"/>
                <w:lang w:eastAsia="tr-TR"/>
              </w:rPr>
            </w:pPr>
            <w:r w:rsidRPr="00106B8C">
              <w:rPr>
                <w:rFonts w:ascii="Times New Roman" w:hAnsi="Times New Roman"/>
                <w:sz w:val="20"/>
                <w:szCs w:val="20"/>
                <w:lang w:eastAsia="tr-TR"/>
              </w:rPr>
              <w:t>2012(3.595/220)</w:t>
            </w:r>
          </w:p>
        </w:tc>
        <w:tc>
          <w:tcPr>
            <w:tcW w:w="2038" w:type="dxa"/>
            <w:shd w:val="clear" w:color="auto" w:fill="auto"/>
          </w:tcPr>
          <w:p w:rsidR="001B3496" w:rsidRPr="00106B8C" w:rsidRDefault="001B3496" w:rsidP="00B546D4">
            <w:pPr>
              <w:pStyle w:val="AralkYok"/>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tr-TR"/>
              </w:rPr>
            </w:pPr>
            <w:r w:rsidRPr="00106B8C">
              <w:rPr>
                <w:rFonts w:ascii="Times New Roman" w:hAnsi="Times New Roman"/>
                <w:sz w:val="20"/>
                <w:szCs w:val="20"/>
                <w:lang w:eastAsia="tr-TR"/>
              </w:rPr>
              <w:t>18,6</w:t>
            </w:r>
          </w:p>
        </w:tc>
        <w:tc>
          <w:tcPr>
            <w:cnfStyle w:val="000010000000" w:firstRow="0" w:lastRow="0" w:firstColumn="0" w:lastColumn="0" w:oddVBand="1" w:evenVBand="0" w:oddHBand="0" w:evenHBand="0" w:firstRowFirstColumn="0" w:firstRowLastColumn="0" w:lastRowFirstColumn="0" w:lastRowLastColumn="0"/>
            <w:tcW w:w="2001" w:type="dxa"/>
            <w:shd w:val="clear" w:color="auto" w:fill="auto"/>
          </w:tcPr>
          <w:p w:rsidR="001B3496" w:rsidRPr="00106B8C" w:rsidRDefault="001B3496" w:rsidP="00B546D4">
            <w:pPr>
              <w:pStyle w:val="AralkYok"/>
              <w:ind w:right="-57"/>
              <w:jc w:val="both"/>
              <w:rPr>
                <w:rFonts w:ascii="Times New Roman" w:hAnsi="Times New Roman"/>
                <w:sz w:val="20"/>
                <w:szCs w:val="20"/>
                <w:lang w:eastAsia="tr-TR"/>
              </w:rPr>
            </w:pPr>
            <w:r w:rsidRPr="00106B8C">
              <w:rPr>
                <w:rFonts w:ascii="Times New Roman" w:hAnsi="Times New Roman"/>
                <w:sz w:val="20"/>
                <w:szCs w:val="20"/>
                <w:lang w:eastAsia="tr-TR"/>
              </w:rPr>
              <w:t>16,3</w:t>
            </w:r>
          </w:p>
        </w:tc>
      </w:tr>
      <w:tr w:rsidR="001B3496" w:rsidRPr="00106B8C" w:rsidTr="00106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0" w:type="dxa"/>
            <w:shd w:val="clear" w:color="auto" w:fill="auto"/>
          </w:tcPr>
          <w:p w:rsidR="001B3496" w:rsidRPr="00106B8C" w:rsidRDefault="001B3496" w:rsidP="00B546D4">
            <w:pPr>
              <w:pStyle w:val="AralkYok"/>
              <w:jc w:val="both"/>
              <w:rPr>
                <w:rFonts w:ascii="Times New Roman" w:hAnsi="Times New Roman"/>
                <w:sz w:val="20"/>
                <w:szCs w:val="20"/>
                <w:lang w:eastAsia="tr-TR"/>
              </w:rPr>
            </w:pPr>
            <w:r w:rsidRPr="00106B8C">
              <w:rPr>
                <w:rFonts w:ascii="Times New Roman" w:hAnsi="Times New Roman"/>
                <w:sz w:val="20"/>
                <w:szCs w:val="20"/>
                <w:lang w:eastAsia="tr-TR"/>
              </w:rPr>
              <w:t>Total Sum</w:t>
            </w:r>
          </w:p>
        </w:tc>
        <w:tc>
          <w:tcPr>
            <w:cnfStyle w:val="000010000000" w:firstRow="0" w:lastRow="0" w:firstColumn="0" w:lastColumn="0" w:oddVBand="1" w:evenVBand="0" w:oddHBand="0" w:evenHBand="0" w:firstRowFirstColumn="0" w:firstRowLastColumn="0" w:lastRowFirstColumn="0" w:lastRowLastColumn="0"/>
            <w:tcW w:w="2184" w:type="dxa"/>
            <w:shd w:val="clear" w:color="auto" w:fill="auto"/>
          </w:tcPr>
          <w:p w:rsidR="001B3496" w:rsidRPr="00106B8C" w:rsidRDefault="001B3496" w:rsidP="00B546D4">
            <w:pPr>
              <w:pStyle w:val="AralkYok"/>
              <w:jc w:val="both"/>
              <w:rPr>
                <w:rFonts w:ascii="Times New Roman" w:hAnsi="Times New Roman"/>
                <w:sz w:val="20"/>
                <w:szCs w:val="20"/>
                <w:lang w:eastAsia="tr-TR"/>
              </w:rPr>
            </w:pPr>
            <w:r w:rsidRPr="00106B8C">
              <w:rPr>
                <w:rFonts w:ascii="Times New Roman" w:hAnsi="Times New Roman"/>
                <w:sz w:val="20"/>
                <w:szCs w:val="20"/>
                <w:lang w:eastAsia="tr-TR"/>
              </w:rPr>
              <w:t>2012(15.356/828)</w:t>
            </w:r>
          </w:p>
        </w:tc>
        <w:tc>
          <w:tcPr>
            <w:tcW w:w="2038" w:type="dxa"/>
            <w:shd w:val="clear" w:color="auto" w:fill="auto"/>
          </w:tcPr>
          <w:p w:rsidR="001B3496" w:rsidRPr="00106B8C" w:rsidRDefault="001B3496" w:rsidP="00B546D4">
            <w:pPr>
              <w:pStyle w:val="AralkYok"/>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tr-TR"/>
              </w:rPr>
            </w:pPr>
            <w:r w:rsidRPr="00106B8C">
              <w:rPr>
                <w:rFonts w:ascii="Times New Roman" w:hAnsi="Times New Roman"/>
                <w:sz w:val="20"/>
                <w:szCs w:val="20"/>
                <w:lang w:eastAsia="tr-TR"/>
              </w:rPr>
              <w:t>20,2</w:t>
            </w:r>
          </w:p>
        </w:tc>
        <w:tc>
          <w:tcPr>
            <w:cnfStyle w:val="000010000000" w:firstRow="0" w:lastRow="0" w:firstColumn="0" w:lastColumn="0" w:oddVBand="1" w:evenVBand="0" w:oddHBand="0" w:evenHBand="0" w:firstRowFirstColumn="0" w:firstRowLastColumn="0" w:lastRowFirstColumn="0" w:lastRowLastColumn="0"/>
            <w:tcW w:w="2001" w:type="dxa"/>
            <w:shd w:val="clear" w:color="auto" w:fill="auto"/>
          </w:tcPr>
          <w:p w:rsidR="001B3496" w:rsidRPr="00106B8C" w:rsidRDefault="001B3496" w:rsidP="00B546D4">
            <w:pPr>
              <w:pStyle w:val="AralkYok"/>
              <w:ind w:right="-57"/>
              <w:jc w:val="both"/>
              <w:rPr>
                <w:rFonts w:ascii="Times New Roman" w:hAnsi="Times New Roman"/>
                <w:sz w:val="20"/>
                <w:szCs w:val="20"/>
                <w:lang w:eastAsia="tr-TR"/>
              </w:rPr>
            </w:pPr>
            <w:r w:rsidRPr="00106B8C">
              <w:rPr>
                <w:rFonts w:ascii="Times New Roman" w:hAnsi="Times New Roman"/>
                <w:sz w:val="20"/>
                <w:szCs w:val="20"/>
                <w:lang w:eastAsia="tr-TR"/>
              </w:rPr>
              <w:t>18,5</w:t>
            </w:r>
          </w:p>
        </w:tc>
      </w:tr>
      <w:tr w:rsidR="001B3496" w:rsidRPr="00106B8C" w:rsidTr="00106B8C">
        <w:tc>
          <w:tcPr>
            <w:cnfStyle w:val="001000000000" w:firstRow="0" w:lastRow="0" w:firstColumn="1" w:lastColumn="0" w:oddVBand="0" w:evenVBand="0" w:oddHBand="0" w:evenHBand="0" w:firstRowFirstColumn="0" w:firstRowLastColumn="0" w:lastRowFirstColumn="0" w:lastRowLastColumn="0"/>
            <w:tcW w:w="2130" w:type="dxa"/>
            <w:shd w:val="clear" w:color="auto" w:fill="auto"/>
          </w:tcPr>
          <w:p w:rsidR="001B3496" w:rsidRPr="00106B8C" w:rsidRDefault="001B3496" w:rsidP="00B546D4">
            <w:pPr>
              <w:pStyle w:val="AralkYok"/>
              <w:jc w:val="both"/>
              <w:rPr>
                <w:rFonts w:ascii="Times New Roman" w:hAnsi="Times New Roman"/>
                <w:sz w:val="20"/>
                <w:szCs w:val="20"/>
                <w:lang w:eastAsia="tr-TR"/>
              </w:rPr>
            </w:pPr>
            <w:r w:rsidRPr="00106B8C">
              <w:rPr>
                <w:rFonts w:ascii="Times New Roman" w:hAnsi="Times New Roman"/>
                <w:sz w:val="20"/>
                <w:szCs w:val="20"/>
                <w:lang w:eastAsia="tr-TR"/>
              </w:rPr>
              <w:t>Deposit Banks</w:t>
            </w:r>
          </w:p>
        </w:tc>
        <w:tc>
          <w:tcPr>
            <w:cnfStyle w:val="000010000000" w:firstRow="0" w:lastRow="0" w:firstColumn="0" w:lastColumn="0" w:oddVBand="1" w:evenVBand="0" w:oddHBand="0" w:evenHBand="0" w:firstRowFirstColumn="0" w:firstRowLastColumn="0" w:lastRowFirstColumn="0" w:lastRowLastColumn="0"/>
            <w:tcW w:w="2184" w:type="dxa"/>
            <w:shd w:val="clear" w:color="auto" w:fill="auto"/>
          </w:tcPr>
          <w:p w:rsidR="001B3496" w:rsidRPr="00106B8C" w:rsidRDefault="001B3496" w:rsidP="00B546D4">
            <w:pPr>
              <w:pStyle w:val="AralkYok"/>
              <w:jc w:val="both"/>
              <w:rPr>
                <w:rFonts w:ascii="Times New Roman" w:hAnsi="Times New Roman"/>
                <w:sz w:val="20"/>
                <w:szCs w:val="20"/>
                <w:lang w:eastAsia="tr-TR"/>
              </w:rPr>
            </w:pPr>
            <w:r w:rsidRPr="00106B8C">
              <w:rPr>
                <w:rFonts w:ascii="Times New Roman" w:hAnsi="Times New Roman"/>
                <w:sz w:val="20"/>
                <w:szCs w:val="20"/>
                <w:lang w:eastAsia="tr-TR"/>
              </w:rPr>
              <w:t>2012(181.197/10.192)</w:t>
            </w:r>
          </w:p>
        </w:tc>
        <w:tc>
          <w:tcPr>
            <w:tcW w:w="2038" w:type="dxa"/>
            <w:shd w:val="clear" w:color="auto" w:fill="auto"/>
          </w:tcPr>
          <w:p w:rsidR="001B3496" w:rsidRPr="00106B8C" w:rsidRDefault="001B3496" w:rsidP="00B546D4">
            <w:pPr>
              <w:pStyle w:val="AralkYok"/>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tr-TR"/>
              </w:rPr>
            </w:pPr>
            <w:r w:rsidRPr="00106B8C">
              <w:rPr>
                <w:rFonts w:ascii="Times New Roman" w:hAnsi="Times New Roman"/>
                <w:sz w:val="20"/>
                <w:szCs w:val="20"/>
                <w:lang w:eastAsia="tr-TR"/>
              </w:rPr>
              <w:t>18,0</w:t>
            </w:r>
          </w:p>
        </w:tc>
        <w:tc>
          <w:tcPr>
            <w:cnfStyle w:val="000010000000" w:firstRow="0" w:lastRow="0" w:firstColumn="0" w:lastColumn="0" w:oddVBand="1" w:evenVBand="0" w:oddHBand="0" w:evenHBand="0" w:firstRowFirstColumn="0" w:firstRowLastColumn="0" w:lastRowFirstColumn="0" w:lastRowLastColumn="0"/>
            <w:tcW w:w="2001" w:type="dxa"/>
            <w:shd w:val="clear" w:color="auto" w:fill="auto"/>
          </w:tcPr>
          <w:p w:rsidR="001B3496" w:rsidRPr="00106B8C" w:rsidRDefault="001B3496" w:rsidP="00B546D4">
            <w:pPr>
              <w:pStyle w:val="AralkYok"/>
              <w:ind w:right="-57"/>
              <w:jc w:val="both"/>
              <w:rPr>
                <w:rFonts w:ascii="Times New Roman" w:hAnsi="Times New Roman"/>
                <w:sz w:val="20"/>
                <w:szCs w:val="20"/>
                <w:lang w:eastAsia="tr-TR"/>
              </w:rPr>
            </w:pPr>
            <w:r w:rsidRPr="00106B8C">
              <w:rPr>
                <w:rFonts w:ascii="Times New Roman" w:hAnsi="Times New Roman"/>
                <w:sz w:val="20"/>
                <w:szCs w:val="20"/>
                <w:lang w:eastAsia="tr-TR"/>
              </w:rPr>
              <w:t>17,8</w:t>
            </w:r>
          </w:p>
        </w:tc>
      </w:tr>
    </w:tbl>
    <w:p w:rsidR="00B546D4" w:rsidRPr="00106B8C" w:rsidRDefault="00B546D4" w:rsidP="00B546D4">
      <w:pPr>
        <w:pStyle w:val="AralkYok"/>
        <w:jc w:val="both"/>
        <w:rPr>
          <w:rFonts w:ascii="Times New Roman" w:hAnsi="Times New Roman"/>
          <w:sz w:val="24"/>
          <w:szCs w:val="24"/>
        </w:rPr>
      </w:pPr>
    </w:p>
    <w:p w:rsidR="00B546D4" w:rsidRPr="00106B8C" w:rsidRDefault="00B546D4" w:rsidP="00B546D4">
      <w:pPr>
        <w:pStyle w:val="AralkYok"/>
        <w:jc w:val="both"/>
        <w:rPr>
          <w:rFonts w:ascii="Times New Roman" w:hAnsi="Times New Roman"/>
          <w:sz w:val="24"/>
          <w:szCs w:val="24"/>
        </w:rPr>
      </w:pPr>
    </w:p>
    <w:p w:rsidR="001B3496" w:rsidRPr="00106B8C" w:rsidRDefault="001B3496" w:rsidP="00B546D4">
      <w:pPr>
        <w:pStyle w:val="AralkYok"/>
        <w:jc w:val="both"/>
        <w:rPr>
          <w:rFonts w:ascii="Times New Roman" w:hAnsi="Times New Roman"/>
          <w:sz w:val="24"/>
          <w:szCs w:val="24"/>
        </w:rPr>
      </w:pPr>
      <w:r w:rsidRPr="00106B8C">
        <w:rPr>
          <w:rFonts w:ascii="Times New Roman" w:hAnsi="Times New Roman"/>
          <w:sz w:val="24"/>
          <w:szCs w:val="24"/>
        </w:rPr>
        <w:t xml:space="preserve">Actually, Bank </w:t>
      </w:r>
      <w:proofErr w:type="spellStart"/>
      <w:r w:rsidRPr="00106B8C">
        <w:rPr>
          <w:rFonts w:ascii="Times New Roman" w:hAnsi="Times New Roman"/>
          <w:sz w:val="24"/>
          <w:szCs w:val="24"/>
        </w:rPr>
        <w:t>Asya</w:t>
      </w:r>
      <w:proofErr w:type="spellEnd"/>
      <w:r w:rsidRPr="00106B8C">
        <w:rPr>
          <w:rFonts w:ascii="Times New Roman" w:hAnsi="Times New Roman"/>
          <w:sz w:val="24"/>
          <w:szCs w:val="24"/>
        </w:rPr>
        <w:t xml:space="preserve"> Participation Bank has the biggest personnel number and average personnel number. Apart from Bank </w:t>
      </w:r>
      <w:proofErr w:type="spellStart"/>
      <w:r w:rsidRPr="00106B8C">
        <w:rPr>
          <w:rFonts w:ascii="Times New Roman" w:hAnsi="Times New Roman"/>
          <w:sz w:val="24"/>
          <w:szCs w:val="24"/>
        </w:rPr>
        <w:t>Asya</w:t>
      </w:r>
      <w:proofErr w:type="spellEnd"/>
      <w:r w:rsidRPr="00106B8C">
        <w:rPr>
          <w:rFonts w:ascii="Times New Roman" w:hAnsi="Times New Roman"/>
          <w:sz w:val="24"/>
          <w:szCs w:val="24"/>
        </w:rPr>
        <w:t xml:space="preserve">, </w:t>
      </w:r>
      <w:proofErr w:type="spellStart"/>
      <w:r w:rsidRPr="00106B8C">
        <w:rPr>
          <w:rFonts w:ascii="Times New Roman" w:hAnsi="Times New Roman"/>
          <w:sz w:val="24"/>
          <w:szCs w:val="24"/>
        </w:rPr>
        <w:t>Albaraka’s</w:t>
      </w:r>
      <w:proofErr w:type="spellEnd"/>
      <w:r w:rsidRPr="00106B8C">
        <w:rPr>
          <w:rFonts w:ascii="Times New Roman" w:hAnsi="Times New Roman"/>
          <w:sz w:val="24"/>
          <w:szCs w:val="24"/>
        </w:rPr>
        <w:t xml:space="preserve"> average is high. In deposit banks, average personnel number reached by dividing the total personnel number to the branch number is 18 in the end of 2011. The same average is 20</w:t>
      </w:r>
      <w:proofErr w:type="gramStart"/>
      <w:r w:rsidRPr="00106B8C">
        <w:rPr>
          <w:rFonts w:ascii="Times New Roman" w:hAnsi="Times New Roman"/>
          <w:sz w:val="24"/>
          <w:szCs w:val="24"/>
        </w:rPr>
        <w:t>,2</w:t>
      </w:r>
      <w:proofErr w:type="gramEnd"/>
      <w:r w:rsidRPr="00106B8C">
        <w:rPr>
          <w:rFonts w:ascii="Times New Roman" w:hAnsi="Times New Roman"/>
          <w:sz w:val="24"/>
          <w:szCs w:val="24"/>
        </w:rPr>
        <w:t xml:space="preserve"> in participation banks. This means that participation banks employ 12 % more employees for branch than deposit banks for 2011. But both of them </w:t>
      </w:r>
      <w:proofErr w:type="gramStart"/>
      <w:r w:rsidRPr="00106B8C">
        <w:rPr>
          <w:rFonts w:ascii="Times New Roman" w:hAnsi="Times New Roman"/>
          <w:sz w:val="24"/>
          <w:szCs w:val="24"/>
        </w:rPr>
        <w:t>is</w:t>
      </w:r>
      <w:proofErr w:type="gramEnd"/>
      <w:r w:rsidRPr="00106B8C">
        <w:rPr>
          <w:rFonts w:ascii="Times New Roman" w:hAnsi="Times New Roman"/>
          <w:sz w:val="24"/>
          <w:szCs w:val="24"/>
        </w:rPr>
        <w:t xml:space="preserve"> equal almost in the end of 2012. The average personal decreased in the end 2012 for participation banks. Rapidly increase in the brunch number seems the cause of the decrease for average brunch personnel number. </w:t>
      </w:r>
    </w:p>
    <w:p w:rsidR="00B546D4" w:rsidRPr="00106B8C" w:rsidRDefault="00B546D4" w:rsidP="00B546D4">
      <w:pPr>
        <w:pStyle w:val="AralkYok"/>
        <w:jc w:val="both"/>
        <w:rPr>
          <w:rFonts w:ascii="Times New Roman" w:hAnsi="Times New Roman"/>
          <w:sz w:val="24"/>
          <w:szCs w:val="24"/>
        </w:rPr>
      </w:pPr>
    </w:p>
    <w:p w:rsidR="001B3496" w:rsidRPr="00106B8C" w:rsidRDefault="00B546D4" w:rsidP="00B546D4">
      <w:pPr>
        <w:spacing w:after="120"/>
        <w:jc w:val="center"/>
        <w:rPr>
          <w:bCs/>
          <w:lang w:val="en-US"/>
        </w:rPr>
      </w:pPr>
      <w:r w:rsidRPr="00106B8C">
        <w:rPr>
          <w:bCs/>
          <w:lang w:val="en-US"/>
        </w:rPr>
        <w:t>Table 3/a</w:t>
      </w:r>
      <w:r w:rsidR="001B3496" w:rsidRPr="00106B8C">
        <w:rPr>
          <w:bCs/>
          <w:lang w:val="en-US"/>
        </w:rPr>
        <w:t xml:space="preserve"> Growth of Personnel Number (Participation Banks), 2007-2012</w:t>
      </w:r>
    </w:p>
    <w:p w:rsidR="00B546D4" w:rsidRPr="00106B8C" w:rsidRDefault="00B546D4" w:rsidP="00B546D4">
      <w:pPr>
        <w:spacing w:after="120"/>
        <w:jc w:val="center"/>
        <w:rPr>
          <w:bCs/>
          <w:lang w:val="en-US"/>
        </w:rPr>
      </w:pPr>
    </w:p>
    <w:tbl>
      <w:tblPr>
        <w:tblStyle w:val="AkGlgeleme"/>
        <w:tblW w:w="4322" w:type="pct"/>
        <w:jc w:val="center"/>
        <w:tblLook w:val="04A0" w:firstRow="1" w:lastRow="0" w:firstColumn="1" w:lastColumn="0" w:noHBand="0" w:noVBand="1"/>
      </w:tblPr>
      <w:tblGrid>
        <w:gridCol w:w="1814"/>
        <w:gridCol w:w="1356"/>
        <w:gridCol w:w="1169"/>
        <w:gridCol w:w="990"/>
        <w:gridCol w:w="1146"/>
        <w:gridCol w:w="1307"/>
      </w:tblGrid>
      <w:tr w:rsidR="001B3496" w:rsidRPr="00106B8C" w:rsidTr="00106B8C">
        <w:trPr>
          <w:cnfStyle w:val="100000000000" w:firstRow="1" w:lastRow="0" w:firstColumn="0" w:lastColumn="0" w:oddVBand="0" w:evenVBand="0" w:oddHBand="0"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1166" w:type="pct"/>
            <w:shd w:val="clear" w:color="auto" w:fill="auto"/>
            <w:hideMark/>
          </w:tcPr>
          <w:p w:rsidR="001B3496" w:rsidRPr="00106B8C" w:rsidRDefault="00106B8C" w:rsidP="00106B8C">
            <w:pPr>
              <w:rPr>
                <w:b w:val="0"/>
                <w:bCs w:val="0"/>
                <w:sz w:val="20"/>
                <w:szCs w:val="20"/>
                <w:lang w:val="en-US"/>
              </w:rPr>
            </w:pPr>
            <w:r w:rsidRPr="00106B8C">
              <w:rPr>
                <w:b w:val="0"/>
                <w:bCs w:val="0"/>
                <w:sz w:val="20"/>
                <w:szCs w:val="20"/>
                <w:lang w:val="en-US"/>
              </w:rPr>
              <w:t>End of year</w:t>
            </w:r>
          </w:p>
        </w:tc>
        <w:tc>
          <w:tcPr>
            <w:tcW w:w="871" w:type="pct"/>
            <w:shd w:val="clear" w:color="auto" w:fill="auto"/>
            <w:hideMark/>
          </w:tcPr>
          <w:p w:rsidR="001B3496" w:rsidRPr="00106B8C" w:rsidRDefault="00106B8C" w:rsidP="00B546D4">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proofErr w:type="spellStart"/>
            <w:r w:rsidRPr="00106B8C">
              <w:rPr>
                <w:b w:val="0"/>
                <w:bCs w:val="0"/>
                <w:sz w:val="20"/>
                <w:szCs w:val="20"/>
                <w:lang w:val="en-US"/>
              </w:rPr>
              <w:t>Albaraka</w:t>
            </w:r>
            <w:proofErr w:type="spellEnd"/>
            <w:r w:rsidRPr="00106B8C">
              <w:rPr>
                <w:b w:val="0"/>
                <w:bCs w:val="0"/>
                <w:sz w:val="20"/>
                <w:szCs w:val="20"/>
                <w:lang w:val="en-US"/>
              </w:rPr>
              <w:t xml:space="preserve"> Turk</w:t>
            </w:r>
          </w:p>
        </w:tc>
        <w:tc>
          <w:tcPr>
            <w:tcW w:w="751" w:type="pct"/>
            <w:shd w:val="clear" w:color="auto" w:fill="auto"/>
            <w:hideMark/>
          </w:tcPr>
          <w:p w:rsidR="001B3496" w:rsidRPr="00106B8C" w:rsidRDefault="00106B8C" w:rsidP="00106B8C">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106B8C">
              <w:rPr>
                <w:b w:val="0"/>
                <w:bCs w:val="0"/>
                <w:sz w:val="20"/>
                <w:szCs w:val="20"/>
                <w:lang w:val="en-US"/>
              </w:rPr>
              <w:t xml:space="preserve">Bank </w:t>
            </w:r>
            <w:proofErr w:type="spellStart"/>
            <w:r w:rsidRPr="00106B8C">
              <w:rPr>
                <w:b w:val="0"/>
                <w:bCs w:val="0"/>
                <w:sz w:val="20"/>
                <w:szCs w:val="20"/>
                <w:lang w:val="en-US"/>
              </w:rPr>
              <w:t>Asya</w:t>
            </w:r>
            <w:proofErr w:type="spellEnd"/>
          </w:p>
        </w:tc>
        <w:tc>
          <w:tcPr>
            <w:tcW w:w="636" w:type="pct"/>
            <w:shd w:val="clear" w:color="auto" w:fill="auto"/>
            <w:hideMark/>
          </w:tcPr>
          <w:p w:rsidR="001B3496" w:rsidRPr="00106B8C" w:rsidRDefault="00106B8C" w:rsidP="00B546D4">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proofErr w:type="spellStart"/>
            <w:r w:rsidRPr="00106B8C">
              <w:rPr>
                <w:b w:val="0"/>
                <w:bCs w:val="0"/>
                <w:sz w:val="20"/>
                <w:szCs w:val="20"/>
                <w:lang w:val="en-US"/>
              </w:rPr>
              <w:t>Kuveyt</w:t>
            </w:r>
            <w:proofErr w:type="spellEnd"/>
            <w:r w:rsidRPr="00106B8C">
              <w:rPr>
                <w:b w:val="0"/>
                <w:bCs w:val="0"/>
                <w:sz w:val="20"/>
                <w:szCs w:val="20"/>
                <w:lang w:val="en-US"/>
              </w:rPr>
              <w:t xml:space="preserve"> Turk</w:t>
            </w:r>
          </w:p>
        </w:tc>
        <w:tc>
          <w:tcPr>
            <w:tcW w:w="736" w:type="pct"/>
            <w:shd w:val="clear" w:color="auto" w:fill="auto"/>
            <w:hideMark/>
          </w:tcPr>
          <w:p w:rsidR="001B3496" w:rsidRPr="00106B8C" w:rsidRDefault="00106B8C" w:rsidP="00B546D4">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proofErr w:type="spellStart"/>
            <w:r w:rsidRPr="00106B8C">
              <w:rPr>
                <w:b w:val="0"/>
                <w:bCs w:val="0"/>
                <w:sz w:val="20"/>
                <w:szCs w:val="20"/>
                <w:lang w:val="en-US"/>
              </w:rPr>
              <w:t>Türkiye</w:t>
            </w:r>
            <w:proofErr w:type="spellEnd"/>
            <w:r w:rsidRPr="00106B8C">
              <w:rPr>
                <w:b w:val="0"/>
                <w:bCs w:val="0"/>
                <w:sz w:val="20"/>
                <w:szCs w:val="20"/>
                <w:lang w:val="en-US"/>
              </w:rPr>
              <w:t xml:space="preserve"> finance</w:t>
            </w:r>
          </w:p>
        </w:tc>
        <w:tc>
          <w:tcPr>
            <w:tcW w:w="840" w:type="pct"/>
            <w:shd w:val="clear" w:color="auto" w:fill="auto"/>
            <w:hideMark/>
          </w:tcPr>
          <w:p w:rsidR="001B3496" w:rsidRPr="00106B8C" w:rsidRDefault="00106B8C" w:rsidP="00B546D4">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106B8C">
              <w:rPr>
                <w:b w:val="0"/>
                <w:bCs w:val="0"/>
                <w:sz w:val="20"/>
                <w:szCs w:val="20"/>
                <w:lang w:val="en-US"/>
              </w:rPr>
              <w:t>Total sum</w:t>
            </w:r>
          </w:p>
        </w:tc>
      </w:tr>
      <w:tr w:rsidR="001B3496" w:rsidRPr="00106B8C" w:rsidTr="00106B8C">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1166"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Average 2007-2012</w:t>
            </w:r>
          </w:p>
        </w:tc>
        <w:tc>
          <w:tcPr>
            <w:tcW w:w="87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106B8C">
              <w:rPr>
                <w:bCs/>
                <w:sz w:val="20"/>
                <w:szCs w:val="20"/>
                <w:lang w:val="en-US"/>
              </w:rPr>
              <w:t>2.124</w:t>
            </w:r>
          </w:p>
        </w:tc>
        <w:tc>
          <w:tcPr>
            <w:tcW w:w="75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106B8C">
              <w:rPr>
                <w:bCs/>
                <w:sz w:val="20"/>
                <w:szCs w:val="20"/>
                <w:lang w:val="en-US"/>
              </w:rPr>
              <w:t>4.181</w:t>
            </w:r>
          </w:p>
        </w:tc>
        <w:tc>
          <w:tcPr>
            <w:tcW w:w="636"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106B8C">
              <w:rPr>
                <w:bCs/>
                <w:sz w:val="20"/>
                <w:szCs w:val="20"/>
                <w:lang w:val="en-US"/>
              </w:rPr>
              <w:t>2.767</w:t>
            </w:r>
          </w:p>
        </w:tc>
        <w:tc>
          <w:tcPr>
            <w:tcW w:w="736"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106B8C">
              <w:rPr>
                <w:bCs/>
                <w:sz w:val="20"/>
                <w:szCs w:val="20"/>
                <w:lang w:val="en-US"/>
              </w:rPr>
              <w:t>3.254</w:t>
            </w:r>
          </w:p>
        </w:tc>
        <w:tc>
          <w:tcPr>
            <w:tcW w:w="840"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106B8C">
              <w:rPr>
                <w:bCs/>
                <w:sz w:val="20"/>
                <w:szCs w:val="20"/>
                <w:lang w:val="en-US"/>
              </w:rPr>
              <w:t>12.326</w:t>
            </w:r>
          </w:p>
        </w:tc>
      </w:tr>
      <w:tr w:rsidR="001B3496" w:rsidRPr="00106B8C" w:rsidTr="00106B8C">
        <w:trPr>
          <w:trHeight w:val="217"/>
          <w:jc w:val="center"/>
        </w:trPr>
        <w:tc>
          <w:tcPr>
            <w:cnfStyle w:val="001000000000" w:firstRow="0" w:lastRow="0" w:firstColumn="1" w:lastColumn="0" w:oddVBand="0" w:evenVBand="0" w:oddHBand="0" w:evenHBand="0" w:firstRowFirstColumn="0" w:firstRowLastColumn="0" w:lastRowFirstColumn="0" w:lastRowLastColumn="0"/>
            <w:tcW w:w="1166"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2012</w:t>
            </w:r>
          </w:p>
        </w:tc>
        <w:tc>
          <w:tcPr>
            <w:tcW w:w="871"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2.758</w:t>
            </w:r>
          </w:p>
        </w:tc>
        <w:tc>
          <w:tcPr>
            <w:tcW w:w="751"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5.064</w:t>
            </w:r>
          </w:p>
        </w:tc>
        <w:tc>
          <w:tcPr>
            <w:tcW w:w="636"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3.939</w:t>
            </w:r>
          </w:p>
        </w:tc>
        <w:tc>
          <w:tcPr>
            <w:tcW w:w="736"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3.595</w:t>
            </w:r>
          </w:p>
        </w:tc>
        <w:tc>
          <w:tcPr>
            <w:tcW w:w="840"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15.356</w:t>
            </w:r>
          </w:p>
        </w:tc>
      </w:tr>
      <w:tr w:rsidR="001B3496" w:rsidRPr="00106B8C" w:rsidTr="00106B8C">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166"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2011</w:t>
            </w:r>
          </w:p>
        </w:tc>
        <w:tc>
          <w:tcPr>
            <w:tcW w:w="87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2.601</w:t>
            </w:r>
          </w:p>
        </w:tc>
        <w:tc>
          <w:tcPr>
            <w:tcW w:w="75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4.548</w:t>
            </w:r>
          </w:p>
        </w:tc>
        <w:tc>
          <w:tcPr>
            <w:tcW w:w="636"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3.326</w:t>
            </w:r>
          </w:p>
        </w:tc>
        <w:tc>
          <w:tcPr>
            <w:tcW w:w="736"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3.382</w:t>
            </w:r>
          </w:p>
        </w:tc>
        <w:tc>
          <w:tcPr>
            <w:tcW w:w="840"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13.857</w:t>
            </w:r>
          </w:p>
        </w:tc>
      </w:tr>
      <w:tr w:rsidR="001B3496" w:rsidRPr="00106B8C" w:rsidTr="00106B8C">
        <w:trPr>
          <w:trHeight w:val="232"/>
          <w:jc w:val="center"/>
        </w:trPr>
        <w:tc>
          <w:tcPr>
            <w:cnfStyle w:val="001000000000" w:firstRow="0" w:lastRow="0" w:firstColumn="1" w:lastColumn="0" w:oddVBand="0" w:evenVBand="0" w:oddHBand="0" w:evenHBand="0" w:firstRowFirstColumn="0" w:firstRowLastColumn="0" w:lastRowFirstColumn="0" w:lastRowLastColumn="0"/>
            <w:tcW w:w="1166"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2010</w:t>
            </w:r>
          </w:p>
        </w:tc>
        <w:tc>
          <w:tcPr>
            <w:tcW w:w="871"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2.175</w:t>
            </w:r>
          </w:p>
        </w:tc>
        <w:tc>
          <w:tcPr>
            <w:tcW w:w="751"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4.266</w:t>
            </w:r>
          </w:p>
        </w:tc>
        <w:tc>
          <w:tcPr>
            <w:tcW w:w="636"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2.850</w:t>
            </w:r>
          </w:p>
        </w:tc>
        <w:tc>
          <w:tcPr>
            <w:tcW w:w="736"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3.403</w:t>
            </w:r>
          </w:p>
        </w:tc>
        <w:tc>
          <w:tcPr>
            <w:tcW w:w="840"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12.694</w:t>
            </w:r>
          </w:p>
        </w:tc>
      </w:tr>
      <w:tr w:rsidR="001B3496" w:rsidRPr="00106B8C" w:rsidTr="00106B8C">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166"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2009</w:t>
            </w:r>
          </w:p>
        </w:tc>
        <w:tc>
          <w:tcPr>
            <w:tcW w:w="87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1.935</w:t>
            </w:r>
          </w:p>
        </w:tc>
        <w:tc>
          <w:tcPr>
            <w:tcW w:w="75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4.074</w:t>
            </w:r>
          </w:p>
        </w:tc>
        <w:tc>
          <w:tcPr>
            <w:tcW w:w="636"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2.447</w:t>
            </w:r>
          </w:p>
        </w:tc>
        <w:tc>
          <w:tcPr>
            <w:tcW w:w="736"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3.346</w:t>
            </w:r>
          </w:p>
        </w:tc>
        <w:tc>
          <w:tcPr>
            <w:tcW w:w="840"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11.802</w:t>
            </w:r>
          </w:p>
        </w:tc>
      </w:tr>
      <w:tr w:rsidR="001B3496" w:rsidRPr="00106B8C" w:rsidTr="00106B8C">
        <w:trPr>
          <w:trHeight w:val="232"/>
          <w:jc w:val="center"/>
        </w:trPr>
        <w:tc>
          <w:tcPr>
            <w:cnfStyle w:val="001000000000" w:firstRow="0" w:lastRow="0" w:firstColumn="1" w:lastColumn="0" w:oddVBand="0" w:evenVBand="0" w:oddHBand="0" w:evenHBand="0" w:firstRowFirstColumn="0" w:firstRowLastColumn="0" w:lastRowFirstColumn="0" w:lastRowLastColumn="0"/>
            <w:tcW w:w="1166"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2008</w:t>
            </w:r>
          </w:p>
        </w:tc>
        <w:tc>
          <w:tcPr>
            <w:tcW w:w="871"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1.796</w:t>
            </w:r>
          </w:p>
        </w:tc>
        <w:tc>
          <w:tcPr>
            <w:tcW w:w="751"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3.806</w:t>
            </w:r>
          </w:p>
        </w:tc>
        <w:tc>
          <w:tcPr>
            <w:tcW w:w="636"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2.245</w:t>
            </w:r>
          </w:p>
        </w:tc>
        <w:tc>
          <w:tcPr>
            <w:tcW w:w="736"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3.185</w:t>
            </w:r>
          </w:p>
        </w:tc>
        <w:tc>
          <w:tcPr>
            <w:tcW w:w="840" w:type="pct"/>
            <w:shd w:val="clear" w:color="auto" w:fill="auto"/>
            <w:noWrap/>
            <w:hideMark/>
          </w:tcPr>
          <w:p w:rsidR="001B3496" w:rsidRPr="00106B8C"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106B8C">
              <w:rPr>
                <w:sz w:val="20"/>
                <w:szCs w:val="20"/>
                <w:lang w:val="en-US"/>
              </w:rPr>
              <w:t>11.032</w:t>
            </w:r>
          </w:p>
        </w:tc>
      </w:tr>
      <w:tr w:rsidR="001B3496" w:rsidRPr="00106B8C" w:rsidTr="00106B8C">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1166" w:type="pct"/>
            <w:shd w:val="clear" w:color="auto" w:fill="auto"/>
            <w:hideMark/>
          </w:tcPr>
          <w:p w:rsidR="001B3496" w:rsidRPr="00106B8C" w:rsidRDefault="001B3496" w:rsidP="00B546D4">
            <w:pPr>
              <w:jc w:val="both"/>
              <w:rPr>
                <w:b w:val="0"/>
                <w:bCs w:val="0"/>
                <w:sz w:val="20"/>
                <w:szCs w:val="20"/>
                <w:lang w:val="en-US"/>
              </w:rPr>
            </w:pPr>
            <w:r w:rsidRPr="00106B8C">
              <w:rPr>
                <w:b w:val="0"/>
                <w:bCs w:val="0"/>
                <w:sz w:val="20"/>
                <w:szCs w:val="20"/>
                <w:lang w:val="en-US"/>
              </w:rPr>
              <w:t>2007</w:t>
            </w:r>
          </w:p>
        </w:tc>
        <w:tc>
          <w:tcPr>
            <w:tcW w:w="87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1.481</w:t>
            </w:r>
          </w:p>
        </w:tc>
        <w:tc>
          <w:tcPr>
            <w:tcW w:w="751"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3.329</w:t>
            </w:r>
          </w:p>
        </w:tc>
        <w:tc>
          <w:tcPr>
            <w:tcW w:w="636"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1.794</w:t>
            </w:r>
          </w:p>
        </w:tc>
        <w:tc>
          <w:tcPr>
            <w:tcW w:w="736"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2.611</w:t>
            </w:r>
          </w:p>
        </w:tc>
        <w:tc>
          <w:tcPr>
            <w:tcW w:w="840" w:type="pct"/>
            <w:shd w:val="clear" w:color="auto" w:fill="auto"/>
            <w:noWrap/>
            <w:hideMark/>
          </w:tcPr>
          <w:p w:rsidR="001B3496" w:rsidRPr="00106B8C"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106B8C">
              <w:rPr>
                <w:sz w:val="20"/>
                <w:szCs w:val="20"/>
                <w:lang w:val="en-US"/>
              </w:rPr>
              <w:t>9.215</w:t>
            </w:r>
          </w:p>
        </w:tc>
      </w:tr>
    </w:tbl>
    <w:p w:rsidR="001B3496" w:rsidRDefault="001B3496" w:rsidP="00106B8C">
      <w:pPr>
        <w:pStyle w:val="AralkYok"/>
        <w:rPr>
          <w:rFonts w:ascii="Times New Roman" w:hAnsi="Times New Roman"/>
          <w:sz w:val="20"/>
          <w:szCs w:val="24"/>
        </w:rPr>
      </w:pPr>
      <w:r w:rsidRPr="00106B8C">
        <w:rPr>
          <w:rFonts w:ascii="Times New Roman" w:hAnsi="Times New Roman"/>
          <w:sz w:val="20"/>
          <w:szCs w:val="24"/>
        </w:rPr>
        <w:t>Source: Collected from data provided by (BAT, The Bank Association of Turkey, 2011) (BAT, The Bank Association of Turkey, 2012-13) (PBAT, The Participation Banks Association of Turkey, 2012-13).</w:t>
      </w:r>
    </w:p>
    <w:p w:rsidR="00106B8C" w:rsidRDefault="00106B8C" w:rsidP="00106B8C">
      <w:pPr>
        <w:pStyle w:val="AralkYok"/>
        <w:rPr>
          <w:rFonts w:ascii="Times New Roman" w:hAnsi="Times New Roman"/>
          <w:sz w:val="20"/>
          <w:szCs w:val="24"/>
        </w:rPr>
      </w:pPr>
    </w:p>
    <w:p w:rsidR="00106B8C" w:rsidRPr="00106B8C" w:rsidRDefault="00106B8C" w:rsidP="00B546D4">
      <w:pPr>
        <w:pStyle w:val="AralkYok"/>
        <w:jc w:val="both"/>
        <w:rPr>
          <w:rFonts w:ascii="Times New Roman" w:hAnsi="Times New Roman"/>
          <w:sz w:val="20"/>
          <w:szCs w:val="24"/>
        </w:rPr>
      </w:pPr>
    </w:p>
    <w:p w:rsidR="001B3496" w:rsidRPr="00106B8C" w:rsidRDefault="00106B8C" w:rsidP="00106B8C">
      <w:pPr>
        <w:spacing w:after="120"/>
        <w:jc w:val="center"/>
        <w:rPr>
          <w:bCs/>
          <w:lang w:val="en-US"/>
        </w:rPr>
      </w:pPr>
      <w:r>
        <w:rPr>
          <w:bCs/>
          <w:lang w:val="en-US"/>
        </w:rPr>
        <w:lastRenderedPageBreak/>
        <w:t>Table 3/b</w:t>
      </w:r>
      <w:r w:rsidR="001B3496" w:rsidRPr="00106B8C">
        <w:rPr>
          <w:bCs/>
          <w:lang w:val="en-US"/>
        </w:rPr>
        <w:t xml:space="preserve"> Increase Rate from Previous Year at Personnel Number (Participation Banks), 2007-2012</w:t>
      </w:r>
    </w:p>
    <w:tbl>
      <w:tblPr>
        <w:tblStyle w:val="AkGlgeleme"/>
        <w:tblW w:w="3893" w:type="pct"/>
        <w:jc w:val="center"/>
        <w:tblLook w:val="04A0" w:firstRow="1" w:lastRow="0" w:firstColumn="1" w:lastColumn="0" w:noHBand="0" w:noVBand="1"/>
      </w:tblPr>
      <w:tblGrid>
        <w:gridCol w:w="1360"/>
        <w:gridCol w:w="1005"/>
        <w:gridCol w:w="896"/>
        <w:gridCol w:w="1005"/>
        <w:gridCol w:w="1002"/>
        <w:gridCol w:w="1742"/>
      </w:tblGrid>
      <w:tr w:rsidR="001B3496" w:rsidRPr="007F17EB" w:rsidTr="007F17EB">
        <w:trPr>
          <w:cnfStyle w:val="100000000000" w:firstRow="1" w:lastRow="0" w:firstColumn="0" w:lastColumn="0" w:oddVBand="0" w:evenVBand="0" w:oddHBand="0"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785" w:type="pct"/>
            <w:shd w:val="clear" w:color="auto" w:fill="auto"/>
            <w:hideMark/>
          </w:tcPr>
          <w:p w:rsidR="001B3496" w:rsidRPr="007F17EB" w:rsidRDefault="00106B8C" w:rsidP="00B546D4">
            <w:pPr>
              <w:jc w:val="both"/>
              <w:rPr>
                <w:b w:val="0"/>
                <w:bCs w:val="0"/>
                <w:sz w:val="20"/>
                <w:szCs w:val="20"/>
                <w:lang w:val="en-US"/>
              </w:rPr>
            </w:pPr>
            <w:r w:rsidRPr="007F17EB">
              <w:rPr>
                <w:b w:val="0"/>
                <w:bCs w:val="0"/>
                <w:sz w:val="20"/>
                <w:szCs w:val="20"/>
                <w:lang w:val="en-US"/>
              </w:rPr>
              <w:t>End of year</w:t>
            </w:r>
          </w:p>
        </w:tc>
        <w:tc>
          <w:tcPr>
            <w:tcW w:w="754" w:type="pct"/>
            <w:shd w:val="clear" w:color="auto" w:fill="auto"/>
            <w:hideMark/>
          </w:tcPr>
          <w:p w:rsidR="001B3496" w:rsidRPr="007F17EB" w:rsidRDefault="00106B8C" w:rsidP="00B546D4">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proofErr w:type="spellStart"/>
            <w:r w:rsidRPr="007F17EB">
              <w:rPr>
                <w:b w:val="0"/>
                <w:bCs w:val="0"/>
                <w:sz w:val="20"/>
                <w:szCs w:val="20"/>
                <w:lang w:val="en-US"/>
              </w:rPr>
              <w:t>Albaraka</w:t>
            </w:r>
            <w:proofErr w:type="spellEnd"/>
            <w:r w:rsidRPr="007F17EB">
              <w:rPr>
                <w:b w:val="0"/>
                <w:bCs w:val="0"/>
                <w:sz w:val="20"/>
                <w:szCs w:val="20"/>
                <w:lang w:val="en-US"/>
              </w:rPr>
              <w:t xml:space="preserve"> Turk</w:t>
            </w:r>
          </w:p>
        </w:tc>
        <w:tc>
          <w:tcPr>
            <w:tcW w:w="676" w:type="pct"/>
            <w:shd w:val="clear" w:color="auto" w:fill="auto"/>
            <w:hideMark/>
          </w:tcPr>
          <w:p w:rsidR="001B3496" w:rsidRPr="007F17EB" w:rsidRDefault="00106B8C" w:rsidP="007F17EB">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7F17EB">
              <w:rPr>
                <w:b w:val="0"/>
                <w:bCs w:val="0"/>
                <w:sz w:val="20"/>
                <w:szCs w:val="20"/>
                <w:lang w:val="en-US"/>
              </w:rPr>
              <w:t xml:space="preserve">Bank </w:t>
            </w:r>
            <w:proofErr w:type="spellStart"/>
            <w:r w:rsidR="007F17EB" w:rsidRPr="007F17EB">
              <w:rPr>
                <w:b w:val="0"/>
                <w:bCs w:val="0"/>
                <w:sz w:val="20"/>
                <w:szCs w:val="20"/>
                <w:lang w:val="en-US"/>
              </w:rPr>
              <w:t>A</w:t>
            </w:r>
            <w:r w:rsidRPr="007F17EB">
              <w:rPr>
                <w:b w:val="0"/>
                <w:bCs w:val="0"/>
                <w:sz w:val="20"/>
                <w:szCs w:val="20"/>
                <w:lang w:val="en-US"/>
              </w:rPr>
              <w:t>sya</w:t>
            </w:r>
            <w:proofErr w:type="spellEnd"/>
          </w:p>
        </w:tc>
        <w:tc>
          <w:tcPr>
            <w:tcW w:w="754" w:type="pct"/>
            <w:shd w:val="clear" w:color="auto" w:fill="auto"/>
            <w:hideMark/>
          </w:tcPr>
          <w:p w:rsidR="001B3496" w:rsidRPr="007F17EB" w:rsidRDefault="00106B8C" w:rsidP="00B546D4">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proofErr w:type="spellStart"/>
            <w:r w:rsidRPr="007F17EB">
              <w:rPr>
                <w:b w:val="0"/>
                <w:bCs w:val="0"/>
                <w:sz w:val="20"/>
                <w:szCs w:val="20"/>
                <w:lang w:val="en-US"/>
              </w:rPr>
              <w:t>Kuveyt</w:t>
            </w:r>
            <w:proofErr w:type="spellEnd"/>
            <w:r w:rsidRPr="007F17EB">
              <w:rPr>
                <w:b w:val="0"/>
                <w:bCs w:val="0"/>
                <w:sz w:val="20"/>
                <w:szCs w:val="20"/>
                <w:lang w:val="en-US"/>
              </w:rPr>
              <w:t xml:space="preserve"> </w:t>
            </w:r>
            <w:r w:rsidR="007F17EB" w:rsidRPr="007F17EB">
              <w:rPr>
                <w:b w:val="0"/>
                <w:bCs w:val="0"/>
                <w:sz w:val="20"/>
                <w:szCs w:val="20"/>
                <w:lang w:val="en-US"/>
              </w:rPr>
              <w:t>Turk</w:t>
            </w:r>
          </w:p>
        </w:tc>
        <w:tc>
          <w:tcPr>
            <w:tcW w:w="752" w:type="pct"/>
            <w:shd w:val="clear" w:color="auto" w:fill="auto"/>
            <w:hideMark/>
          </w:tcPr>
          <w:p w:rsidR="001B3496" w:rsidRPr="007F17EB" w:rsidRDefault="00106B8C" w:rsidP="00B546D4">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proofErr w:type="spellStart"/>
            <w:r w:rsidRPr="007F17EB">
              <w:rPr>
                <w:b w:val="0"/>
                <w:bCs w:val="0"/>
                <w:sz w:val="20"/>
                <w:szCs w:val="20"/>
                <w:lang w:val="en-US"/>
              </w:rPr>
              <w:t>Türkiye</w:t>
            </w:r>
            <w:proofErr w:type="spellEnd"/>
            <w:r w:rsidRPr="007F17EB">
              <w:rPr>
                <w:b w:val="0"/>
                <w:bCs w:val="0"/>
                <w:sz w:val="20"/>
                <w:szCs w:val="20"/>
                <w:lang w:val="en-US"/>
              </w:rPr>
              <w:t xml:space="preserve"> </w:t>
            </w:r>
            <w:r w:rsidR="007F17EB" w:rsidRPr="007F17EB">
              <w:rPr>
                <w:b w:val="0"/>
                <w:bCs w:val="0"/>
                <w:sz w:val="20"/>
                <w:szCs w:val="20"/>
                <w:lang w:val="en-US"/>
              </w:rPr>
              <w:t>finance</w:t>
            </w:r>
          </w:p>
        </w:tc>
        <w:tc>
          <w:tcPr>
            <w:tcW w:w="1279" w:type="pct"/>
            <w:shd w:val="clear" w:color="auto" w:fill="auto"/>
            <w:hideMark/>
          </w:tcPr>
          <w:p w:rsidR="001B3496" w:rsidRPr="007F17EB" w:rsidRDefault="007F17EB" w:rsidP="00B546D4">
            <w:pPr>
              <w:jc w:val="both"/>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7F17EB">
              <w:rPr>
                <w:b w:val="0"/>
                <w:bCs w:val="0"/>
                <w:sz w:val="20"/>
                <w:szCs w:val="20"/>
                <w:lang w:val="en-US"/>
              </w:rPr>
              <w:t xml:space="preserve">Increase rate from </w:t>
            </w:r>
            <w:proofErr w:type="spellStart"/>
            <w:r w:rsidRPr="007F17EB">
              <w:rPr>
                <w:b w:val="0"/>
                <w:bCs w:val="0"/>
                <w:sz w:val="20"/>
                <w:szCs w:val="20"/>
                <w:lang w:val="en-US"/>
              </w:rPr>
              <w:t>prev.year</w:t>
            </w:r>
            <w:proofErr w:type="spellEnd"/>
            <w:r w:rsidRPr="007F17EB">
              <w:rPr>
                <w:b w:val="0"/>
                <w:bCs w:val="0"/>
                <w:sz w:val="20"/>
                <w:szCs w:val="20"/>
                <w:lang w:val="en-US"/>
              </w:rPr>
              <w:t xml:space="preserve"> </w:t>
            </w:r>
            <w:r w:rsidR="00106B8C" w:rsidRPr="007F17EB">
              <w:rPr>
                <w:b w:val="0"/>
                <w:bCs w:val="0"/>
                <w:sz w:val="20"/>
                <w:szCs w:val="20"/>
                <w:lang w:val="en-US"/>
              </w:rPr>
              <w:t>total sum</w:t>
            </w:r>
          </w:p>
        </w:tc>
      </w:tr>
      <w:tr w:rsidR="007F17EB" w:rsidRPr="007F17EB" w:rsidTr="007F17EB">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785" w:type="pct"/>
            <w:shd w:val="clear" w:color="auto" w:fill="auto"/>
            <w:hideMark/>
          </w:tcPr>
          <w:p w:rsidR="001B3496" w:rsidRPr="007F17EB" w:rsidRDefault="001B3496" w:rsidP="00B546D4">
            <w:pPr>
              <w:jc w:val="both"/>
              <w:rPr>
                <w:b w:val="0"/>
                <w:bCs w:val="0"/>
                <w:sz w:val="20"/>
                <w:szCs w:val="20"/>
                <w:lang w:val="en-US"/>
              </w:rPr>
            </w:pPr>
            <w:r w:rsidRPr="007F17EB">
              <w:rPr>
                <w:b w:val="0"/>
                <w:bCs w:val="0"/>
                <w:sz w:val="20"/>
                <w:szCs w:val="20"/>
                <w:lang w:val="en-US"/>
              </w:rPr>
              <w:t>Average2007-2012</w:t>
            </w:r>
          </w:p>
        </w:tc>
        <w:tc>
          <w:tcPr>
            <w:tcW w:w="754"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7F17EB">
              <w:rPr>
                <w:bCs/>
                <w:sz w:val="20"/>
                <w:szCs w:val="20"/>
                <w:lang w:val="en-US"/>
              </w:rPr>
              <w:t>16%</w:t>
            </w:r>
          </w:p>
        </w:tc>
        <w:tc>
          <w:tcPr>
            <w:tcW w:w="676"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7F17EB">
              <w:rPr>
                <w:bCs/>
                <w:sz w:val="20"/>
                <w:szCs w:val="20"/>
                <w:lang w:val="en-US"/>
              </w:rPr>
              <w:t>14%</w:t>
            </w:r>
          </w:p>
        </w:tc>
        <w:tc>
          <w:tcPr>
            <w:tcW w:w="754"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7F17EB">
              <w:rPr>
                <w:bCs/>
                <w:sz w:val="20"/>
                <w:szCs w:val="20"/>
                <w:lang w:val="en-US"/>
              </w:rPr>
              <w:t>19%</w:t>
            </w:r>
          </w:p>
        </w:tc>
        <w:tc>
          <w:tcPr>
            <w:tcW w:w="752"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7F17EB">
              <w:rPr>
                <w:bCs/>
                <w:sz w:val="20"/>
                <w:szCs w:val="20"/>
                <w:lang w:val="en-US"/>
              </w:rPr>
              <w:t>9%</w:t>
            </w:r>
          </w:p>
        </w:tc>
        <w:tc>
          <w:tcPr>
            <w:tcW w:w="1279"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7F17EB">
              <w:rPr>
                <w:bCs/>
                <w:sz w:val="20"/>
                <w:szCs w:val="20"/>
                <w:lang w:val="en-US"/>
              </w:rPr>
              <w:t>14%</w:t>
            </w:r>
          </w:p>
        </w:tc>
      </w:tr>
      <w:tr w:rsidR="001B3496" w:rsidRPr="007F17EB" w:rsidTr="007F17EB">
        <w:trPr>
          <w:trHeight w:val="215"/>
          <w:jc w:val="center"/>
        </w:trPr>
        <w:tc>
          <w:tcPr>
            <w:cnfStyle w:val="001000000000" w:firstRow="0" w:lastRow="0" w:firstColumn="1" w:lastColumn="0" w:oddVBand="0" w:evenVBand="0" w:oddHBand="0" w:evenHBand="0" w:firstRowFirstColumn="0" w:firstRowLastColumn="0" w:lastRowFirstColumn="0" w:lastRowLastColumn="0"/>
            <w:tcW w:w="785" w:type="pct"/>
            <w:shd w:val="clear" w:color="auto" w:fill="auto"/>
            <w:hideMark/>
          </w:tcPr>
          <w:p w:rsidR="001B3496" w:rsidRPr="007F17EB" w:rsidRDefault="001B3496" w:rsidP="00B546D4">
            <w:pPr>
              <w:jc w:val="both"/>
              <w:rPr>
                <w:b w:val="0"/>
                <w:bCs w:val="0"/>
                <w:sz w:val="20"/>
                <w:szCs w:val="20"/>
                <w:lang w:val="en-US"/>
              </w:rPr>
            </w:pPr>
            <w:r w:rsidRPr="007F17EB">
              <w:rPr>
                <w:b w:val="0"/>
                <w:bCs w:val="0"/>
                <w:sz w:val="20"/>
                <w:szCs w:val="20"/>
                <w:lang w:val="en-US"/>
              </w:rPr>
              <w:t>2012</w:t>
            </w:r>
          </w:p>
        </w:tc>
        <w:tc>
          <w:tcPr>
            <w:tcW w:w="754" w:type="pct"/>
            <w:shd w:val="clear" w:color="auto" w:fill="auto"/>
            <w:noWrap/>
            <w:hideMark/>
          </w:tcPr>
          <w:p w:rsidR="001B3496" w:rsidRPr="007F17EB"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F17EB">
              <w:rPr>
                <w:sz w:val="20"/>
                <w:szCs w:val="20"/>
                <w:lang w:val="en-US"/>
              </w:rPr>
              <w:t>6%</w:t>
            </w:r>
          </w:p>
        </w:tc>
        <w:tc>
          <w:tcPr>
            <w:tcW w:w="676" w:type="pct"/>
            <w:shd w:val="clear" w:color="auto" w:fill="auto"/>
            <w:noWrap/>
            <w:hideMark/>
          </w:tcPr>
          <w:p w:rsidR="001B3496" w:rsidRPr="007F17EB"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F17EB">
              <w:rPr>
                <w:sz w:val="20"/>
                <w:szCs w:val="20"/>
                <w:lang w:val="en-US"/>
              </w:rPr>
              <w:t>11%</w:t>
            </w:r>
          </w:p>
        </w:tc>
        <w:tc>
          <w:tcPr>
            <w:tcW w:w="754" w:type="pct"/>
            <w:shd w:val="clear" w:color="auto" w:fill="auto"/>
            <w:noWrap/>
            <w:hideMark/>
          </w:tcPr>
          <w:p w:rsidR="001B3496" w:rsidRPr="007F17EB"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F17EB">
              <w:rPr>
                <w:sz w:val="20"/>
                <w:szCs w:val="20"/>
                <w:lang w:val="en-US"/>
              </w:rPr>
              <w:t>18%</w:t>
            </w:r>
          </w:p>
        </w:tc>
        <w:tc>
          <w:tcPr>
            <w:tcW w:w="752" w:type="pct"/>
            <w:shd w:val="clear" w:color="auto" w:fill="auto"/>
            <w:noWrap/>
            <w:hideMark/>
          </w:tcPr>
          <w:p w:rsidR="001B3496" w:rsidRPr="007F17EB"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F17EB">
              <w:rPr>
                <w:sz w:val="20"/>
                <w:szCs w:val="20"/>
                <w:lang w:val="en-US"/>
              </w:rPr>
              <w:t>6%</w:t>
            </w:r>
          </w:p>
        </w:tc>
        <w:tc>
          <w:tcPr>
            <w:tcW w:w="1279" w:type="pct"/>
            <w:shd w:val="clear" w:color="auto" w:fill="auto"/>
            <w:noWrap/>
            <w:hideMark/>
          </w:tcPr>
          <w:p w:rsidR="001B3496" w:rsidRPr="007F17EB" w:rsidRDefault="001B3496" w:rsidP="00B546D4">
            <w:pPr>
              <w:jc w:val="both"/>
              <w:cnfStyle w:val="000000000000" w:firstRow="0" w:lastRow="0" w:firstColumn="0" w:lastColumn="0" w:oddVBand="0" w:evenVBand="0" w:oddHBand="0" w:evenHBand="0" w:firstRowFirstColumn="0" w:firstRowLastColumn="0" w:lastRowFirstColumn="0" w:lastRowLastColumn="0"/>
              <w:rPr>
                <w:bCs/>
                <w:sz w:val="20"/>
                <w:szCs w:val="20"/>
                <w:lang w:val="en-US"/>
              </w:rPr>
            </w:pPr>
            <w:r w:rsidRPr="007F17EB">
              <w:rPr>
                <w:bCs/>
                <w:sz w:val="20"/>
                <w:szCs w:val="20"/>
                <w:lang w:val="en-US"/>
              </w:rPr>
              <w:t>11%</w:t>
            </w:r>
          </w:p>
        </w:tc>
      </w:tr>
      <w:tr w:rsidR="007F17EB" w:rsidRPr="007F17EB" w:rsidTr="007F17EB">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785" w:type="pct"/>
            <w:shd w:val="clear" w:color="auto" w:fill="auto"/>
            <w:hideMark/>
          </w:tcPr>
          <w:p w:rsidR="001B3496" w:rsidRPr="007F17EB" w:rsidRDefault="001B3496" w:rsidP="00B546D4">
            <w:pPr>
              <w:jc w:val="both"/>
              <w:rPr>
                <w:b w:val="0"/>
                <w:bCs w:val="0"/>
                <w:sz w:val="20"/>
                <w:szCs w:val="20"/>
                <w:lang w:val="en-US"/>
              </w:rPr>
            </w:pPr>
            <w:r w:rsidRPr="007F17EB">
              <w:rPr>
                <w:b w:val="0"/>
                <w:bCs w:val="0"/>
                <w:sz w:val="20"/>
                <w:szCs w:val="20"/>
                <w:lang w:val="en-US"/>
              </w:rPr>
              <w:t>2011</w:t>
            </w:r>
          </w:p>
        </w:tc>
        <w:tc>
          <w:tcPr>
            <w:tcW w:w="754"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7F17EB">
              <w:rPr>
                <w:sz w:val="20"/>
                <w:szCs w:val="20"/>
                <w:lang w:val="en-US"/>
              </w:rPr>
              <w:t>20%</w:t>
            </w:r>
          </w:p>
        </w:tc>
        <w:tc>
          <w:tcPr>
            <w:tcW w:w="676"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7F17EB">
              <w:rPr>
                <w:sz w:val="20"/>
                <w:szCs w:val="20"/>
                <w:lang w:val="en-US"/>
              </w:rPr>
              <w:t>7%</w:t>
            </w:r>
          </w:p>
        </w:tc>
        <w:tc>
          <w:tcPr>
            <w:tcW w:w="754"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7F17EB">
              <w:rPr>
                <w:sz w:val="20"/>
                <w:szCs w:val="20"/>
                <w:lang w:val="en-US"/>
              </w:rPr>
              <w:t>17%</w:t>
            </w:r>
          </w:p>
        </w:tc>
        <w:tc>
          <w:tcPr>
            <w:tcW w:w="752"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7F17EB">
              <w:rPr>
                <w:sz w:val="20"/>
                <w:szCs w:val="20"/>
                <w:lang w:val="en-US"/>
              </w:rPr>
              <w:t>-1%</w:t>
            </w:r>
          </w:p>
        </w:tc>
        <w:tc>
          <w:tcPr>
            <w:tcW w:w="1279"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7F17EB">
              <w:rPr>
                <w:bCs/>
                <w:sz w:val="20"/>
                <w:szCs w:val="20"/>
                <w:lang w:val="en-US"/>
              </w:rPr>
              <w:t>9%</w:t>
            </w:r>
          </w:p>
        </w:tc>
      </w:tr>
      <w:tr w:rsidR="001B3496" w:rsidRPr="007F17EB" w:rsidTr="007F17EB">
        <w:trPr>
          <w:trHeight w:val="231"/>
          <w:jc w:val="center"/>
        </w:trPr>
        <w:tc>
          <w:tcPr>
            <w:cnfStyle w:val="001000000000" w:firstRow="0" w:lastRow="0" w:firstColumn="1" w:lastColumn="0" w:oddVBand="0" w:evenVBand="0" w:oddHBand="0" w:evenHBand="0" w:firstRowFirstColumn="0" w:firstRowLastColumn="0" w:lastRowFirstColumn="0" w:lastRowLastColumn="0"/>
            <w:tcW w:w="785" w:type="pct"/>
            <w:shd w:val="clear" w:color="auto" w:fill="auto"/>
            <w:hideMark/>
          </w:tcPr>
          <w:p w:rsidR="001B3496" w:rsidRPr="007F17EB" w:rsidRDefault="001B3496" w:rsidP="00B546D4">
            <w:pPr>
              <w:jc w:val="both"/>
              <w:rPr>
                <w:b w:val="0"/>
                <w:bCs w:val="0"/>
                <w:sz w:val="20"/>
                <w:szCs w:val="20"/>
                <w:lang w:val="en-US"/>
              </w:rPr>
            </w:pPr>
            <w:r w:rsidRPr="007F17EB">
              <w:rPr>
                <w:b w:val="0"/>
                <w:bCs w:val="0"/>
                <w:sz w:val="20"/>
                <w:szCs w:val="20"/>
                <w:lang w:val="en-US"/>
              </w:rPr>
              <w:t>2010</w:t>
            </w:r>
          </w:p>
        </w:tc>
        <w:tc>
          <w:tcPr>
            <w:tcW w:w="754" w:type="pct"/>
            <w:shd w:val="clear" w:color="auto" w:fill="auto"/>
            <w:noWrap/>
            <w:hideMark/>
          </w:tcPr>
          <w:p w:rsidR="001B3496" w:rsidRPr="007F17EB"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F17EB">
              <w:rPr>
                <w:sz w:val="20"/>
                <w:szCs w:val="20"/>
                <w:lang w:val="en-US"/>
              </w:rPr>
              <w:t>12%</w:t>
            </w:r>
          </w:p>
        </w:tc>
        <w:tc>
          <w:tcPr>
            <w:tcW w:w="676" w:type="pct"/>
            <w:shd w:val="clear" w:color="auto" w:fill="auto"/>
            <w:noWrap/>
            <w:hideMark/>
          </w:tcPr>
          <w:p w:rsidR="001B3496" w:rsidRPr="007F17EB"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F17EB">
              <w:rPr>
                <w:sz w:val="20"/>
                <w:szCs w:val="20"/>
                <w:lang w:val="en-US"/>
              </w:rPr>
              <w:t>5%</w:t>
            </w:r>
          </w:p>
        </w:tc>
        <w:tc>
          <w:tcPr>
            <w:tcW w:w="754" w:type="pct"/>
            <w:shd w:val="clear" w:color="auto" w:fill="auto"/>
            <w:noWrap/>
            <w:hideMark/>
          </w:tcPr>
          <w:p w:rsidR="001B3496" w:rsidRPr="007F17EB"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F17EB">
              <w:rPr>
                <w:sz w:val="20"/>
                <w:szCs w:val="20"/>
                <w:lang w:val="en-US"/>
              </w:rPr>
              <w:t>16%</w:t>
            </w:r>
          </w:p>
        </w:tc>
        <w:tc>
          <w:tcPr>
            <w:tcW w:w="752" w:type="pct"/>
            <w:shd w:val="clear" w:color="auto" w:fill="auto"/>
            <w:noWrap/>
            <w:hideMark/>
          </w:tcPr>
          <w:p w:rsidR="001B3496" w:rsidRPr="007F17EB"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F17EB">
              <w:rPr>
                <w:sz w:val="20"/>
                <w:szCs w:val="20"/>
                <w:lang w:val="en-US"/>
              </w:rPr>
              <w:t>2%</w:t>
            </w:r>
          </w:p>
        </w:tc>
        <w:tc>
          <w:tcPr>
            <w:tcW w:w="1279" w:type="pct"/>
            <w:shd w:val="clear" w:color="auto" w:fill="auto"/>
            <w:noWrap/>
            <w:hideMark/>
          </w:tcPr>
          <w:p w:rsidR="001B3496" w:rsidRPr="007F17EB" w:rsidRDefault="001B3496" w:rsidP="00B546D4">
            <w:pPr>
              <w:jc w:val="both"/>
              <w:cnfStyle w:val="000000000000" w:firstRow="0" w:lastRow="0" w:firstColumn="0" w:lastColumn="0" w:oddVBand="0" w:evenVBand="0" w:oddHBand="0" w:evenHBand="0" w:firstRowFirstColumn="0" w:firstRowLastColumn="0" w:lastRowFirstColumn="0" w:lastRowLastColumn="0"/>
              <w:rPr>
                <w:bCs/>
                <w:sz w:val="20"/>
                <w:szCs w:val="20"/>
                <w:lang w:val="en-US"/>
              </w:rPr>
            </w:pPr>
            <w:r w:rsidRPr="007F17EB">
              <w:rPr>
                <w:bCs/>
                <w:sz w:val="20"/>
                <w:szCs w:val="20"/>
                <w:lang w:val="en-US"/>
              </w:rPr>
              <w:t>8%</w:t>
            </w:r>
          </w:p>
        </w:tc>
      </w:tr>
      <w:tr w:rsidR="007F17EB" w:rsidRPr="007F17EB" w:rsidTr="007F17EB">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785" w:type="pct"/>
            <w:shd w:val="clear" w:color="auto" w:fill="auto"/>
            <w:hideMark/>
          </w:tcPr>
          <w:p w:rsidR="001B3496" w:rsidRPr="007F17EB" w:rsidRDefault="001B3496" w:rsidP="00B546D4">
            <w:pPr>
              <w:jc w:val="both"/>
              <w:rPr>
                <w:b w:val="0"/>
                <w:bCs w:val="0"/>
                <w:sz w:val="20"/>
                <w:szCs w:val="20"/>
                <w:lang w:val="en-US"/>
              </w:rPr>
            </w:pPr>
            <w:r w:rsidRPr="007F17EB">
              <w:rPr>
                <w:b w:val="0"/>
                <w:bCs w:val="0"/>
                <w:sz w:val="20"/>
                <w:szCs w:val="20"/>
                <w:lang w:val="en-US"/>
              </w:rPr>
              <w:t>2009</w:t>
            </w:r>
          </w:p>
        </w:tc>
        <w:tc>
          <w:tcPr>
            <w:tcW w:w="754"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7F17EB">
              <w:rPr>
                <w:sz w:val="20"/>
                <w:szCs w:val="20"/>
                <w:lang w:val="en-US"/>
              </w:rPr>
              <w:t>8%</w:t>
            </w:r>
          </w:p>
        </w:tc>
        <w:tc>
          <w:tcPr>
            <w:tcW w:w="676"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7F17EB">
              <w:rPr>
                <w:sz w:val="20"/>
                <w:szCs w:val="20"/>
                <w:lang w:val="en-US"/>
              </w:rPr>
              <w:t>7%</w:t>
            </w:r>
          </w:p>
        </w:tc>
        <w:tc>
          <w:tcPr>
            <w:tcW w:w="754"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7F17EB">
              <w:rPr>
                <w:sz w:val="20"/>
                <w:szCs w:val="20"/>
                <w:lang w:val="en-US"/>
              </w:rPr>
              <w:t>9%</w:t>
            </w:r>
          </w:p>
        </w:tc>
        <w:tc>
          <w:tcPr>
            <w:tcW w:w="752"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7F17EB">
              <w:rPr>
                <w:sz w:val="20"/>
                <w:szCs w:val="20"/>
                <w:lang w:val="en-US"/>
              </w:rPr>
              <w:t>5%</w:t>
            </w:r>
          </w:p>
        </w:tc>
        <w:tc>
          <w:tcPr>
            <w:tcW w:w="1279"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7F17EB">
              <w:rPr>
                <w:bCs/>
                <w:sz w:val="20"/>
                <w:szCs w:val="20"/>
                <w:lang w:val="en-US"/>
              </w:rPr>
              <w:t>7%</w:t>
            </w:r>
          </w:p>
        </w:tc>
      </w:tr>
      <w:tr w:rsidR="001B3496" w:rsidRPr="007F17EB" w:rsidTr="007F17EB">
        <w:trPr>
          <w:trHeight w:val="231"/>
          <w:jc w:val="center"/>
        </w:trPr>
        <w:tc>
          <w:tcPr>
            <w:cnfStyle w:val="001000000000" w:firstRow="0" w:lastRow="0" w:firstColumn="1" w:lastColumn="0" w:oddVBand="0" w:evenVBand="0" w:oddHBand="0" w:evenHBand="0" w:firstRowFirstColumn="0" w:firstRowLastColumn="0" w:lastRowFirstColumn="0" w:lastRowLastColumn="0"/>
            <w:tcW w:w="785" w:type="pct"/>
            <w:shd w:val="clear" w:color="auto" w:fill="auto"/>
            <w:hideMark/>
          </w:tcPr>
          <w:p w:rsidR="001B3496" w:rsidRPr="007F17EB" w:rsidRDefault="001B3496" w:rsidP="00B546D4">
            <w:pPr>
              <w:jc w:val="both"/>
              <w:rPr>
                <w:b w:val="0"/>
                <w:bCs w:val="0"/>
                <w:sz w:val="20"/>
                <w:szCs w:val="20"/>
                <w:lang w:val="en-US"/>
              </w:rPr>
            </w:pPr>
            <w:r w:rsidRPr="007F17EB">
              <w:rPr>
                <w:b w:val="0"/>
                <w:bCs w:val="0"/>
                <w:sz w:val="20"/>
                <w:szCs w:val="20"/>
                <w:lang w:val="en-US"/>
              </w:rPr>
              <w:t>2008</w:t>
            </w:r>
          </w:p>
        </w:tc>
        <w:tc>
          <w:tcPr>
            <w:tcW w:w="754" w:type="pct"/>
            <w:shd w:val="clear" w:color="auto" w:fill="auto"/>
            <w:noWrap/>
            <w:hideMark/>
          </w:tcPr>
          <w:p w:rsidR="001B3496" w:rsidRPr="007F17EB"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F17EB">
              <w:rPr>
                <w:sz w:val="20"/>
                <w:szCs w:val="20"/>
                <w:lang w:val="en-US"/>
              </w:rPr>
              <w:t>21%</w:t>
            </w:r>
          </w:p>
        </w:tc>
        <w:tc>
          <w:tcPr>
            <w:tcW w:w="676" w:type="pct"/>
            <w:shd w:val="clear" w:color="auto" w:fill="auto"/>
            <w:noWrap/>
            <w:hideMark/>
          </w:tcPr>
          <w:p w:rsidR="001B3496" w:rsidRPr="007F17EB"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F17EB">
              <w:rPr>
                <w:sz w:val="20"/>
                <w:szCs w:val="20"/>
                <w:lang w:val="en-US"/>
              </w:rPr>
              <w:t>14%</w:t>
            </w:r>
          </w:p>
        </w:tc>
        <w:tc>
          <w:tcPr>
            <w:tcW w:w="754" w:type="pct"/>
            <w:shd w:val="clear" w:color="auto" w:fill="auto"/>
            <w:noWrap/>
            <w:hideMark/>
          </w:tcPr>
          <w:p w:rsidR="001B3496" w:rsidRPr="007F17EB"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F17EB">
              <w:rPr>
                <w:sz w:val="20"/>
                <w:szCs w:val="20"/>
                <w:lang w:val="en-US"/>
              </w:rPr>
              <w:t>25%</w:t>
            </w:r>
          </w:p>
        </w:tc>
        <w:tc>
          <w:tcPr>
            <w:tcW w:w="752" w:type="pct"/>
            <w:shd w:val="clear" w:color="auto" w:fill="auto"/>
            <w:noWrap/>
            <w:hideMark/>
          </w:tcPr>
          <w:p w:rsidR="001B3496" w:rsidRPr="007F17EB" w:rsidRDefault="001B3496" w:rsidP="00B546D4">
            <w:pPr>
              <w:jc w:val="both"/>
              <w:cnfStyle w:val="000000000000" w:firstRow="0" w:lastRow="0" w:firstColumn="0" w:lastColumn="0" w:oddVBand="0" w:evenVBand="0" w:oddHBand="0" w:evenHBand="0" w:firstRowFirstColumn="0" w:firstRowLastColumn="0" w:lastRowFirstColumn="0" w:lastRowLastColumn="0"/>
              <w:rPr>
                <w:sz w:val="20"/>
                <w:szCs w:val="20"/>
                <w:lang w:val="en-US"/>
              </w:rPr>
            </w:pPr>
            <w:r w:rsidRPr="007F17EB">
              <w:rPr>
                <w:sz w:val="20"/>
                <w:szCs w:val="20"/>
                <w:lang w:val="en-US"/>
              </w:rPr>
              <w:t>22%</w:t>
            </w:r>
          </w:p>
        </w:tc>
        <w:tc>
          <w:tcPr>
            <w:tcW w:w="1279" w:type="pct"/>
            <w:shd w:val="clear" w:color="auto" w:fill="auto"/>
            <w:noWrap/>
            <w:hideMark/>
          </w:tcPr>
          <w:p w:rsidR="001B3496" w:rsidRPr="007F17EB" w:rsidRDefault="001B3496" w:rsidP="00B546D4">
            <w:pPr>
              <w:jc w:val="both"/>
              <w:cnfStyle w:val="000000000000" w:firstRow="0" w:lastRow="0" w:firstColumn="0" w:lastColumn="0" w:oddVBand="0" w:evenVBand="0" w:oddHBand="0" w:evenHBand="0" w:firstRowFirstColumn="0" w:firstRowLastColumn="0" w:lastRowFirstColumn="0" w:lastRowLastColumn="0"/>
              <w:rPr>
                <w:bCs/>
                <w:sz w:val="20"/>
                <w:szCs w:val="20"/>
                <w:lang w:val="en-US"/>
              </w:rPr>
            </w:pPr>
            <w:r w:rsidRPr="007F17EB">
              <w:rPr>
                <w:bCs/>
                <w:sz w:val="20"/>
                <w:szCs w:val="20"/>
                <w:lang w:val="en-US"/>
              </w:rPr>
              <w:t>20%</w:t>
            </w:r>
          </w:p>
        </w:tc>
      </w:tr>
      <w:tr w:rsidR="007F17EB" w:rsidRPr="007F17EB" w:rsidTr="007F17EB">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785" w:type="pct"/>
            <w:shd w:val="clear" w:color="auto" w:fill="auto"/>
            <w:hideMark/>
          </w:tcPr>
          <w:p w:rsidR="001B3496" w:rsidRPr="007F17EB" w:rsidRDefault="001B3496" w:rsidP="00B546D4">
            <w:pPr>
              <w:jc w:val="both"/>
              <w:rPr>
                <w:b w:val="0"/>
                <w:bCs w:val="0"/>
                <w:sz w:val="20"/>
                <w:szCs w:val="20"/>
                <w:lang w:val="en-US"/>
              </w:rPr>
            </w:pPr>
            <w:r w:rsidRPr="007F17EB">
              <w:rPr>
                <w:b w:val="0"/>
                <w:bCs w:val="0"/>
                <w:sz w:val="20"/>
                <w:szCs w:val="20"/>
                <w:lang w:val="en-US"/>
              </w:rPr>
              <w:t>2007</w:t>
            </w:r>
          </w:p>
        </w:tc>
        <w:tc>
          <w:tcPr>
            <w:tcW w:w="754"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7F17EB">
              <w:rPr>
                <w:sz w:val="20"/>
                <w:szCs w:val="20"/>
                <w:lang w:val="en-US"/>
              </w:rPr>
              <w:t>28%</w:t>
            </w:r>
          </w:p>
        </w:tc>
        <w:tc>
          <w:tcPr>
            <w:tcW w:w="676"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7F17EB">
              <w:rPr>
                <w:sz w:val="20"/>
                <w:szCs w:val="20"/>
                <w:lang w:val="en-US"/>
              </w:rPr>
              <w:t>40%</w:t>
            </w:r>
          </w:p>
        </w:tc>
        <w:tc>
          <w:tcPr>
            <w:tcW w:w="754"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7F17EB">
              <w:rPr>
                <w:sz w:val="20"/>
                <w:szCs w:val="20"/>
                <w:lang w:val="en-US"/>
              </w:rPr>
              <w:t>29%</w:t>
            </w:r>
          </w:p>
        </w:tc>
        <w:tc>
          <w:tcPr>
            <w:tcW w:w="752"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7F17EB">
              <w:rPr>
                <w:sz w:val="20"/>
                <w:szCs w:val="20"/>
                <w:lang w:val="en-US"/>
              </w:rPr>
              <w:t>19%</w:t>
            </w:r>
          </w:p>
        </w:tc>
        <w:tc>
          <w:tcPr>
            <w:tcW w:w="1279" w:type="pct"/>
            <w:shd w:val="clear" w:color="auto" w:fill="auto"/>
            <w:noWrap/>
            <w:hideMark/>
          </w:tcPr>
          <w:p w:rsidR="001B3496" w:rsidRPr="007F17EB" w:rsidRDefault="001B3496" w:rsidP="00B546D4">
            <w:pPr>
              <w:jc w:val="both"/>
              <w:cnfStyle w:val="000000100000" w:firstRow="0" w:lastRow="0" w:firstColumn="0" w:lastColumn="0" w:oddVBand="0" w:evenVBand="0" w:oddHBand="1" w:evenHBand="0" w:firstRowFirstColumn="0" w:firstRowLastColumn="0" w:lastRowFirstColumn="0" w:lastRowLastColumn="0"/>
              <w:rPr>
                <w:bCs/>
                <w:sz w:val="20"/>
                <w:szCs w:val="20"/>
                <w:lang w:val="en-US"/>
              </w:rPr>
            </w:pPr>
            <w:r w:rsidRPr="007F17EB">
              <w:rPr>
                <w:bCs/>
                <w:sz w:val="20"/>
                <w:szCs w:val="20"/>
                <w:lang w:val="en-US"/>
              </w:rPr>
              <w:t>30%</w:t>
            </w:r>
          </w:p>
        </w:tc>
      </w:tr>
    </w:tbl>
    <w:p w:rsidR="007F17EB" w:rsidRDefault="007F17EB" w:rsidP="007F17EB">
      <w:pPr>
        <w:pStyle w:val="Balk1"/>
        <w:numPr>
          <w:ilvl w:val="0"/>
          <w:numId w:val="0"/>
        </w:numPr>
        <w:rPr>
          <w:caps/>
        </w:rPr>
      </w:pPr>
    </w:p>
    <w:p w:rsidR="007F17EB" w:rsidRPr="007F17EB" w:rsidRDefault="007F17EB" w:rsidP="007F17EB">
      <w:pPr>
        <w:jc w:val="both"/>
        <w:rPr>
          <w:sz w:val="28"/>
          <w:lang w:val="en-US" w:eastAsia="lt-LT"/>
        </w:rPr>
      </w:pPr>
    </w:p>
    <w:p w:rsidR="001B3496" w:rsidRDefault="001B3496" w:rsidP="007F17EB">
      <w:pPr>
        <w:pStyle w:val="Balk1"/>
        <w:numPr>
          <w:ilvl w:val="0"/>
          <w:numId w:val="29"/>
        </w:numPr>
        <w:tabs>
          <w:tab w:val="clear" w:pos="720"/>
          <w:tab w:val="num" w:pos="450"/>
        </w:tabs>
        <w:ind w:left="0" w:firstLine="270"/>
        <w:rPr>
          <w:sz w:val="24"/>
        </w:rPr>
      </w:pPr>
      <w:r w:rsidRPr="007F17EB">
        <w:rPr>
          <w:sz w:val="24"/>
        </w:rPr>
        <w:t xml:space="preserve">Evaluation of </w:t>
      </w:r>
      <w:r w:rsidR="007F17EB" w:rsidRPr="007F17EB">
        <w:rPr>
          <w:sz w:val="24"/>
        </w:rPr>
        <w:t>Sectorial</w:t>
      </w:r>
      <w:r w:rsidRPr="007F17EB">
        <w:rPr>
          <w:sz w:val="24"/>
        </w:rPr>
        <w:t xml:space="preserve"> Quantitative Data</w:t>
      </w:r>
    </w:p>
    <w:p w:rsidR="004C5E03" w:rsidRPr="004C5E03" w:rsidRDefault="004C5E03" w:rsidP="004C5E03">
      <w:pPr>
        <w:rPr>
          <w:lang w:val="en-US" w:eastAsia="lt-LT"/>
        </w:rPr>
      </w:pPr>
    </w:p>
    <w:p w:rsidR="001B3496" w:rsidRPr="007F17EB" w:rsidRDefault="001B3496" w:rsidP="007F17EB">
      <w:pPr>
        <w:pStyle w:val="Balk2"/>
        <w:numPr>
          <w:ilvl w:val="0"/>
          <w:numId w:val="0"/>
        </w:numPr>
        <w:rPr>
          <w:sz w:val="24"/>
        </w:rPr>
      </w:pPr>
      <w:r w:rsidRPr="007F17EB">
        <w:rPr>
          <w:sz w:val="24"/>
        </w:rPr>
        <w:t xml:space="preserve">Turkish Currency Funds </w:t>
      </w:r>
    </w:p>
    <w:p w:rsidR="001B3496" w:rsidRDefault="001B3496" w:rsidP="007F17EB">
      <w:pPr>
        <w:pStyle w:val="AralkYok"/>
        <w:jc w:val="both"/>
        <w:rPr>
          <w:rFonts w:ascii="Times New Roman" w:hAnsi="Times New Roman"/>
          <w:sz w:val="24"/>
        </w:rPr>
      </w:pPr>
      <w:r w:rsidRPr="007F17EB">
        <w:rPr>
          <w:rFonts w:ascii="Times New Roman" w:hAnsi="Times New Roman"/>
          <w:sz w:val="24"/>
        </w:rPr>
        <w:t xml:space="preserve">Participation banks showed a quite better performance as of the end of 2012 compared to 2007 in funds of Turkish currency. As of the end </w:t>
      </w:r>
      <w:r w:rsidR="007F17EB" w:rsidRPr="007F17EB">
        <w:rPr>
          <w:rFonts w:ascii="Times New Roman" w:hAnsi="Times New Roman"/>
          <w:sz w:val="24"/>
        </w:rPr>
        <w:t>of 2012</w:t>
      </w:r>
      <w:r w:rsidRPr="007F17EB">
        <w:rPr>
          <w:rFonts w:ascii="Times New Roman" w:hAnsi="Times New Roman"/>
          <w:sz w:val="24"/>
        </w:rPr>
        <w:t xml:space="preserve">, deposits of Turkish currency reached to approximately 29 billion Turkish Lira after an increase of </w:t>
      </w:r>
      <w:r w:rsidRPr="007F17EB">
        <w:rPr>
          <w:rFonts w:ascii="Times New Roman" w:hAnsi="Times New Roman"/>
          <w:b/>
          <w:bCs/>
          <w:sz w:val="24"/>
        </w:rPr>
        <w:t>265 %.</w:t>
      </w:r>
      <w:r w:rsidRPr="007F17EB">
        <w:rPr>
          <w:rFonts w:ascii="Times New Roman" w:hAnsi="Times New Roman"/>
          <w:sz w:val="24"/>
        </w:rPr>
        <w:t xml:space="preserve"> </w:t>
      </w:r>
      <w:r w:rsidRPr="007F17EB">
        <w:rPr>
          <w:rFonts w:ascii="Times New Roman" w:hAnsi="Times New Roman"/>
          <w:b/>
          <w:bCs/>
          <w:sz w:val="24"/>
        </w:rPr>
        <w:t xml:space="preserve">Among participation banks, Bank </w:t>
      </w:r>
      <w:proofErr w:type="spellStart"/>
      <w:r w:rsidRPr="007F17EB">
        <w:rPr>
          <w:rFonts w:ascii="Times New Roman" w:hAnsi="Times New Roman"/>
          <w:b/>
          <w:bCs/>
          <w:sz w:val="24"/>
        </w:rPr>
        <w:t>Asya</w:t>
      </w:r>
      <w:proofErr w:type="spellEnd"/>
      <w:r w:rsidRPr="007F17EB">
        <w:rPr>
          <w:rFonts w:ascii="Times New Roman" w:hAnsi="Times New Roman"/>
          <w:b/>
          <w:bCs/>
          <w:sz w:val="24"/>
        </w:rPr>
        <w:t xml:space="preserve"> has the biggest fund of Turkish currency. But highest average grown rate owner is </w:t>
      </w:r>
      <w:proofErr w:type="spellStart"/>
      <w:r w:rsidRPr="007F17EB">
        <w:rPr>
          <w:rFonts w:ascii="Times New Roman" w:hAnsi="Times New Roman"/>
          <w:b/>
          <w:bCs/>
          <w:sz w:val="24"/>
        </w:rPr>
        <w:t>Kuveyt</w:t>
      </w:r>
      <w:proofErr w:type="spellEnd"/>
      <w:r w:rsidRPr="007F17EB">
        <w:rPr>
          <w:rFonts w:ascii="Times New Roman" w:hAnsi="Times New Roman"/>
          <w:b/>
          <w:bCs/>
          <w:sz w:val="24"/>
        </w:rPr>
        <w:t xml:space="preserve"> Turk.</w:t>
      </w:r>
      <w:r w:rsidRPr="007F17EB">
        <w:rPr>
          <w:rFonts w:ascii="Times New Roman" w:hAnsi="Times New Roman"/>
          <w:sz w:val="24"/>
        </w:rPr>
        <w:t xml:space="preserve"> The second high performance belongs to the </w:t>
      </w:r>
      <w:proofErr w:type="spellStart"/>
      <w:r w:rsidRPr="007F17EB">
        <w:rPr>
          <w:rFonts w:ascii="Times New Roman" w:hAnsi="Times New Roman"/>
          <w:sz w:val="24"/>
        </w:rPr>
        <w:t>Albaraka</w:t>
      </w:r>
      <w:proofErr w:type="spellEnd"/>
      <w:r w:rsidRPr="007F17EB">
        <w:rPr>
          <w:rFonts w:ascii="Times New Roman" w:hAnsi="Times New Roman"/>
          <w:sz w:val="24"/>
        </w:rPr>
        <w:t xml:space="preserve"> </w:t>
      </w:r>
      <w:proofErr w:type="spellStart"/>
      <w:r w:rsidRPr="007F17EB">
        <w:rPr>
          <w:rFonts w:ascii="Times New Roman" w:hAnsi="Times New Roman"/>
          <w:sz w:val="24"/>
        </w:rPr>
        <w:t>Türk</w:t>
      </w:r>
      <w:proofErr w:type="spellEnd"/>
      <w:r w:rsidRPr="007F17EB">
        <w:rPr>
          <w:rFonts w:ascii="Times New Roman" w:hAnsi="Times New Roman"/>
          <w:sz w:val="24"/>
        </w:rPr>
        <w:t>.</w:t>
      </w:r>
    </w:p>
    <w:p w:rsidR="000140D5" w:rsidRPr="000140D5" w:rsidRDefault="000140D5" w:rsidP="000140D5">
      <w:pPr>
        <w:pStyle w:val="AralkYok"/>
        <w:jc w:val="center"/>
        <w:rPr>
          <w:rFonts w:ascii="Times New Roman" w:hAnsi="Times New Roman"/>
        </w:rPr>
      </w:pPr>
    </w:p>
    <w:p w:rsidR="001B3496" w:rsidRPr="000140D5" w:rsidRDefault="000140D5" w:rsidP="000140D5">
      <w:pPr>
        <w:spacing w:after="120"/>
        <w:jc w:val="center"/>
        <w:rPr>
          <w:bCs/>
          <w:sz w:val="22"/>
          <w:szCs w:val="22"/>
          <w:lang w:val="en-US"/>
        </w:rPr>
      </w:pPr>
      <w:r>
        <w:rPr>
          <w:bCs/>
          <w:sz w:val="22"/>
          <w:szCs w:val="22"/>
          <w:lang w:val="en-US"/>
        </w:rPr>
        <w:t>Table 4</w:t>
      </w:r>
      <w:r w:rsidR="001B3496" w:rsidRPr="000140D5">
        <w:rPr>
          <w:bCs/>
          <w:sz w:val="22"/>
          <w:szCs w:val="22"/>
          <w:lang w:val="en-US"/>
        </w:rPr>
        <w:t xml:space="preserve"> Collected Turkish Currency Funds in Participation Banks, 2007-2012 (1000TL)</w:t>
      </w:r>
    </w:p>
    <w:tbl>
      <w:tblPr>
        <w:tblStyle w:val="AkGlgeleme"/>
        <w:tblW w:w="4116" w:type="pct"/>
        <w:jc w:val="center"/>
        <w:tblLook w:val="04A0" w:firstRow="1" w:lastRow="0" w:firstColumn="1" w:lastColumn="0" w:noHBand="0" w:noVBand="1"/>
      </w:tblPr>
      <w:tblGrid>
        <w:gridCol w:w="1367"/>
        <w:gridCol w:w="1439"/>
        <w:gridCol w:w="1096"/>
        <w:gridCol w:w="1121"/>
        <w:gridCol w:w="1182"/>
        <w:gridCol w:w="1206"/>
      </w:tblGrid>
      <w:tr w:rsidR="001B3496" w:rsidRPr="00106B8C" w:rsidTr="000140D5">
        <w:trPr>
          <w:cnfStyle w:val="100000000000" w:firstRow="1" w:lastRow="0" w:firstColumn="0" w:lastColumn="0" w:oddVBand="0" w:evenVBand="0" w:oddHBand="0"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1101" w:type="pct"/>
            <w:shd w:val="clear" w:color="auto" w:fill="auto"/>
            <w:hideMark/>
          </w:tcPr>
          <w:p w:rsidR="001B3496" w:rsidRPr="00106B8C" w:rsidRDefault="001B3496" w:rsidP="000140D5">
            <w:pPr>
              <w:jc w:val="both"/>
              <w:rPr>
                <w:b w:val="0"/>
                <w:bCs w:val="0"/>
                <w:sz w:val="22"/>
                <w:szCs w:val="22"/>
                <w:lang w:val="en-US"/>
              </w:rPr>
            </w:pPr>
            <w:r w:rsidRPr="00106B8C">
              <w:rPr>
                <w:b w:val="0"/>
                <w:bCs w:val="0"/>
                <w:sz w:val="22"/>
                <w:szCs w:val="22"/>
                <w:lang w:val="en-US"/>
              </w:rPr>
              <w:t>END OF YEAR</w:t>
            </w:r>
          </w:p>
        </w:tc>
        <w:tc>
          <w:tcPr>
            <w:tcW w:w="836" w:type="pct"/>
            <w:shd w:val="clear" w:color="auto" w:fill="auto"/>
            <w:hideMark/>
          </w:tcPr>
          <w:p w:rsidR="001B3496" w:rsidRPr="00106B8C"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106B8C">
              <w:rPr>
                <w:b w:val="0"/>
                <w:bCs w:val="0"/>
                <w:sz w:val="22"/>
                <w:szCs w:val="22"/>
                <w:lang w:val="en-US"/>
              </w:rPr>
              <w:t>ALBARAKA TÜRK</w:t>
            </w:r>
          </w:p>
        </w:tc>
        <w:tc>
          <w:tcPr>
            <w:tcW w:w="692" w:type="pct"/>
            <w:shd w:val="clear" w:color="auto" w:fill="auto"/>
            <w:hideMark/>
          </w:tcPr>
          <w:p w:rsidR="001B3496" w:rsidRPr="00106B8C"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106B8C">
              <w:rPr>
                <w:b w:val="0"/>
                <w:bCs w:val="0"/>
                <w:sz w:val="22"/>
                <w:szCs w:val="22"/>
                <w:lang w:val="en-US"/>
              </w:rPr>
              <w:t>BANK ASYA</w:t>
            </w:r>
          </w:p>
        </w:tc>
        <w:tc>
          <w:tcPr>
            <w:tcW w:w="723" w:type="pct"/>
            <w:shd w:val="clear" w:color="auto" w:fill="auto"/>
            <w:hideMark/>
          </w:tcPr>
          <w:p w:rsidR="001B3496" w:rsidRPr="00106B8C"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106B8C">
              <w:rPr>
                <w:b w:val="0"/>
                <w:bCs w:val="0"/>
                <w:sz w:val="22"/>
                <w:szCs w:val="22"/>
                <w:lang w:val="en-US"/>
              </w:rPr>
              <w:t>KUVEYT TÜRK</w:t>
            </w:r>
          </w:p>
        </w:tc>
        <w:tc>
          <w:tcPr>
            <w:tcW w:w="779" w:type="pct"/>
            <w:shd w:val="clear" w:color="auto" w:fill="auto"/>
            <w:hideMark/>
          </w:tcPr>
          <w:p w:rsidR="001B3496" w:rsidRPr="00106B8C"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106B8C">
              <w:rPr>
                <w:b w:val="0"/>
                <w:bCs w:val="0"/>
                <w:sz w:val="22"/>
                <w:szCs w:val="22"/>
                <w:lang w:val="en-US"/>
              </w:rPr>
              <w:t>TÜRKİYE FİNANS</w:t>
            </w:r>
          </w:p>
        </w:tc>
        <w:tc>
          <w:tcPr>
            <w:tcW w:w="870" w:type="pct"/>
            <w:shd w:val="clear" w:color="auto" w:fill="auto"/>
            <w:hideMark/>
          </w:tcPr>
          <w:p w:rsidR="001B3496" w:rsidRPr="00106B8C"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2"/>
                <w:szCs w:val="22"/>
                <w:lang w:val="en-US"/>
              </w:rPr>
            </w:pPr>
            <w:r w:rsidRPr="00106B8C">
              <w:rPr>
                <w:b w:val="0"/>
                <w:bCs w:val="0"/>
                <w:sz w:val="22"/>
                <w:szCs w:val="22"/>
                <w:lang w:val="en-US"/>
              </w:rPr>
              <w:t>TOTAL SUM</w:t>
            </w:r>
          </w:p>
        </w:tc>
      </w:tr>
      <w:tr w:rsidR="001B3496" w:rsidRPr="00106B8C" w:rsidTr="000140D5">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101" w:type="pct"/>
            <w:shd w:val="clear" w:color="auto" w:fill="auto"/>
            <w:hideMark/>
          </w:tcPr>
          <w:p w:rsidR="001B3496" w:rsidRPr="00106B8C" w:rsidRDefault="001B3496" w:rsidP="001B3496">
            <w:pPr>
              <w:jc w:val="center"/>
              <w:rPr>
                <w:b w:val="0"/>
                <w:bCs w:val="0"/>
                <w:sz w:val="22"/>
                <w:szCs w:val="22"/>
                <w:lang w:val="en-US"/>
              </w:rPr>
            </w:pPr>
            <w:r w:rsidRPr="00106B8C">
              <w:rPr>
                <w:b w:val="0"/>
                <w:bCs w:val="0"/>
                <w:sz w:val="22"/>
                <w:szCs w:val="22"/>
                <w:lang w:val="en-US"/>
              </w:rPr>
              <w:t>Average 2007-2012</w:t>
            </w:r>
          </w:p>
        </w:tc>
        <w:tc>
          <w:tcPr>
            <w:tcW w:w="836"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b/>
                <w:bCs/>
                <w:sz w:val="22"/>
                <w:szCs w:val="22"/>
                <w:lang w:val="en-US"/>
              </w:rPr>
            </w:pPr>
            <w:r w:rsidRPr="00106B8C">
              <w:rPr>
                <w:b/>
                <w:bCs/>
                <w:sz w:val="22"/>
                <w:szCs w:val="22"/>
                <w:lang w:val="en-US"/>
              </w:rPr>
              <w:t>3.586.632</w:t>
            </w:r>
          </w:p>
        </w:tc>
        <w:tc>
          <w:tcPr>
            <w:tcW w:w="692"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b/>
                <w:bCs/>
                <w:sz w:val="22"/>
                <w:szCs w:val="22"/>
                <w:lang w:val="en-US"/>
              </w:rPr>
            </w:pPr>
            <w:r w:rsidRPr="00106B8C">
              <w:rPr>
                <w:b/>
                <w:bCs/>
                <w:sz w:val="22"/>
                <w:szCs w:val="22"/>
                <w:lang w:val="en-US"/>
              </w:rPr>
              <w:t>6.143.803</w:t>
            </w:r>
          </w:p>
        </w:tc>
        <w:tc>
          <w:tcPr>
            <w:tcW w:w="723"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b/>
                <w:bCs/>
                <w:sz w:val="22"/>
                <w:szCs w:val="22"/>
                <w:lang w:val="en-US"/>
              </w:rPr>
            </w:pPr>
            <w:r w:rsidRPr="00106B8C">
              <w:rPr>
                <w:b/>
                <w:bCs/>
                <w:sz w:val="22"/>
                <w:szCs w:val="22"/>
                <w:lang w:val="en-US"/>
              </w:rPr>
              <w:t>3.819.808</w:t>
            </w:r>
          </w:p>
        </w:tc>
        <w:tc>
          <w:tcPr>
            <w:tcW w:w="779"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b/>
                <w:bCs/>
                <w:sz w:val="22"/>
                <w:szCs w:val="22"/>
                <w:lang w:val="en-US"/>
              </w:rPr>
            </w:pPr>
            <w:r w:rsidRPr="00106B8C">
              <w:rPr>
                <w:b/>
                <w:bCs/>
                <w:sz w:val="22"/>
                <w:szCs w:val="22"/>
                <w:lang w:val="en-US"/>
              </w:rPr>
              <w:t>4.980.901</w:t>
            </w:r>
          </w:p>
        </w:tc>
        <w:tc>
          <w:tcPr>
            <w:tcW w:w="870"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b/>
                <w:bCs/>
                <w:sz w:val="22"/>
                <w:szCs w:val="22"/>
                <w:lang w:val="en-US"/>
              </w:rPr>
            </w:pPr>
            <w:r w:rsidRPr="00106B8C">
              <w:rPr>
                <w:b/>
                <w:bCs/>
                <w:sz w:val="22"/>
                <w:szCs w:val="22"/>
                <w:lang w:val="en-US"/>
              </w:rPr>
              <w:t>18.531.143</w:t>
            </w:r>
          </w:p>
        </w:tc>
      </w:tr>
      <w:tr w:rsidR="001B3496" w:rsidRPr="00106B8C" w:rsidTr="000140D5">
        <w:trPr>
          <w:trHeight w:val="275"/>
          <w:jc w:val="center"/>
        </w:trPr>
        <w:tc>
          <w:tcPr>
            <w:cnfStyle w:val="001000000000" w:firstRow="0" w:lastRow="0" w:firstColumn="1" w:lastColumn="0" w:oddVBand="0" w:evenVBand="0" w:oddHBand="0" w:evenHBand="0" w:firstRowFirstColumn="0" w:firstRowLastColumn="0" w:lastRowFirstColumn="0" w:lastRowLastColumn="0"/>
            <w:tcW w:w="1101" w:type="pct"/>
            <w:shd w:val="clear" w:color="auto" w:fill="auto"/>
            <w:hideMark/>
          </w:tcPr>
          <w:p w:rsidR="001B3496" w:rsidRPr="00106B8C" w:rsidRDefault="001B3496" w:rsidP="001B3496">
            <w:pPr>
              <w:jc w:val="center"/>
              <w:rPr>
                <w:b w:val="0"/>
                <w:bCs w:val="0"/>
                <w:sz w:val="22"/>
                <w:szCs w:val="22"/>
                <w:lang w:val="en-US"/>
              </w:rPr>
            </w:pPr>
            <w:r w:rsidRPr="00106B8C">
              <w:rPr>
                <w:b w:val="0"/>
                <w:bCs w:val="0"/>
                <w:sz w:val="22"/>
                <w:szCs w:val="22"/>
                <w:lang w:val="en-US"/>
              </w:rPr>
              <w:t>2012</w:t>
            </w:r>
          </w:p>
        </w:tc>
        <w:tc>
          <w:tcPr>
            <w:tcW w:w="836" w:type="pct"/>
            <w:shd w:val="clear" w:color="auto" w:fill="auto"/>
            <w:noWrap/>
            <w:hideMark/>
          </w:tcPr>
          <w:p w:rsidR="001B3496" w:rsidRPr="00106B8C" w:rsidRDefault="001B3496" w:rsidP="001B3496">
            <w:pPr>
              <w:jc w:val="right"/>
              <w:cnfStyle w:val="000000000000" w:firstRow="0" w:lastRow="0" w:firstColumn="0" w:lastColumn="0" w:oddVBand="0" w:evenVBand="0" w:oddHBand="0" w:evenHBand="0" w:firstRowFirstColumn="0" w:firstRowLastColumn="0" w:lastRowFirstColumn="0" w:lastRowLastColumn="0"/>
              <w:rPr>
                <w:sz w:val="22"/>
                <w:szCs w:val="22"/>
                <w:lang w:val="en-US"/>
              </w:rPr>
            </w:pPr>
            <w:r w:rsidRPr="00106B8C">
              <w:rPr>
                <w:sz w:val="22"/>
                <w:szCs w:val="22"/>
                <w:lang w:val="en-US"/>
              </w:rPr>
              <w:t>5.535.572</w:t>
            </w:r>
          </w:p>
        </w:tc>
        <w:tc>
          <w:tcPr>
            <w:tcW w:w="692" w:type="pct"/>
            <w:shd w:val="clear" w:color="auto" w:fill="auto"/>
            <w:noWrap/>
            <w:hideMark/>
          </w:tcPr>
          <w:p w:rsidR="001B3496" w:rsidRPr="00106B8C" w:rsidRDefault="001B3496" w:rsidP="001B3496">
            <w:pPr>
              <w:jc w:val="right"/>
              <w:cnfStyle w:val="000000000000" w:firstRow="0" w:lastRow="0" w:firstColumn="0" w:lastColumn="0" w:oddVBand="0" w:evenVBand="0" w:oddHBand="0" w:evenHBand="0" w:firstRowFirstColumn="0" w:firstRowLastColumn="0" w:lastRowFirstColumn="0" w:lastRowLastColumn="0"/>
              <w:rPr>
                <w:sz w:val="22"/>
                <w:szCs w:val="22"/>
                <w:lang w:val="en-US"/>
              </w:rPr>
            </w:pPr>
            <w:r w:rsidRPr="00106B8C">
              <w:rPr>
                <w:sz w:val="22"/>
                <w:szCs w:val="22"/>
                <w:lang w:val="en-US"/>
              </w:rPr>
              <w:t>9.241.391</w:t>
            </w:r>
          </w:p>
        </w:tc>
        <w:tc>
          <w:tcPr>
            <w:tcW w:w="723" w:type="pct"/>
            <w:shd w:val="clear" w:color="auto" w:fill="auto"/>
            <w:noWrap/>
            <w:hideMark/>
          </w:tcPr>
          <w:p w:rsidR="001B3496" w:rsidRPr="00106B8C" w:rsidRDefault="001B3496" w:rsidP="001B3496">
            <w:pPr>
              <w:jc w:val="right"/>
              <w:cnfStyle w:val="000000000000" w:firstRow="0" w:lastRow="0" w:firstColumn="0" w:lastColumn="0" w:oddVBand="0" w:evenVBand="0" w:oddHBand="0" w:evenHBand="0" w:firstRowFirstColumn="0" w:firstRowLastColumn="0" w:lastRowFirstColumn="0" w:lastRowLastColumn="0"/>
              <w:rPr>
                <w:sz w:val="22"/>
                <w:szCs w:val="22"/>
                <w:lang w:val="en-US"/>
              </w:rPr>
            </w:pPr>
            <w:r w:rsidRPr="00106B8C">
              <w:rPr>
                <w:sz w:val="22"/>
                <w:szCs w:val="22"/>
                <w:lang w:val="en-US"/>
              </w:rPr>
              <w:t>6.768.530</w:t>
            </w:r>
          </w:p>
        </w:tc>
        <w:tc>
          <w:tcPr>
            <w:tcW w:w="779" w:type="pct"/>
            <w:shd w:val="clear" w:color="auto" w:fill="auto"/>
            <w:noWrap/>
            <w:hideMark/>
          </w:tcPr>
          <w:p w:rsidR="001B3496" w:rsidRPr="00106B8C" w:rsidRDefault="001B3496" w:rsidP="001B3496">
            <w:pPr>
              <w:jc w:val="right"/>
              <w:cnfStyle w:val="000000000000" w:firstRow="0" w:lastRow="0" w:firstColumn="0" w:lastColumn="0" w:oddVBand="0" w:evenVBand="0" w:oddHBand="0" w:evenHBand="0" w:firstRowFirstColumn="0" w:firstRowLastColumn="0" w:lastRowFirstColumn="0" w:lastRowLastColumn="0"/>
              <w:rPr>
                <w:sz w:val="22"/>
                <w:szCs w:val="22"/>
                <w:lang w:val="en-US"/>
              </w:rPr>
            </w:pPr>
            <w:r w:rsidRPr="00106B8C">
              <w:rPr>
                <w:sz w:val="22"/>
                <w:szCs w:val="22"/>
                <w:lang w:val="en-US"/>
              </w:rPr>
              <w:t>7.444.772</w:t>
            </w:r>
          </w:p>
        </w:tc>
        <w:tc>
          <w:tcPr>
            <w:tcW w:w="870" w:type="pct"/>
            <w:shd w:val="clear" w:color="auto" w:fill="auto"/>
            <w:noWrap/>
            <w:hideMark/>
          </w:tcPr>
          <w:p w:rsidR="001B3496" w:rsidRPr="00106B8C" w:rsidRDefault="001B3496" w:rsidP="001B3496">
            <w:pPr>
              <w:jc w:val="right"/>
              <w:cnfStyle w:val="000000000000" w:firstRow="0" w:lastRow="0" w:firstColumn="0" w:lastColumn="0" w:oddVBand="0" w:evenVBand="0" w:oddHBand="0" w:evenHBand="0" w:firstRowFirstColumn="0" w:firstRowLastColumn="0" w:lastRowFirstColumn="0" w:lastRowLastColumn="0"/>
              <w:rPr>
                <w:sz w:val="22"/>
                <w:szCs w:val="22"/>
                <w:lang w:val="en-US"/>
              </w:rPr>
            </w:pPr>
            <w:r w:rsidRPr="00106B8C">
              <w:rPr>
                <w:sz w:val="22"/>
                <w:szCs w:val="22"/>
                <w:lang w:val="en-US"/>
              </w:rPr>
              <w:t>28.990.265</w:t>
            </w:r>
          </w:p>
        </w:tc>
      </w:tr>
      <w:tr w:rsidR="001B3496" w:rsidRPr="00106B8C" w:rsidTr="000140D5">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101" w:type="pct"/>
            <w:shd w:val="clear" w:color="auto" w:fill="auto"/>
            <w:hideMark/>
          </w:tcPr>
          <w:p w:rsidR="001B3496" w:rsidRPr="00106B8C" w:rsidRDefault="001B3496" w:rsidP="001B3496">
            <w:pPr>
              <w:jc w:val="center"/>
              <w:rPr>
                <w:b w:val="0"/>
                <w:bCs w:val="0"/>
                <w:sz w:val="22"/>
                <w:szCs w:val="22"/>
                <w:lang w:val="en-US"/>
              </w:rPr>
            </w:pPr>
            <w:r w:rsidRPr="00106B8C">
              <w:rPr>
                <w:b w:val="0"/>
                <w:bCs w:val="0"/>
                <w:sz w:val="22"/>
                <w:szCs w:val="22"/>
                <w:lang w:val="en-US"/>
              </w:rPr>
              <w:t>2011</w:t>
            </w:r>
          </w:p>
        </w:tc>
        <w:tc>
          <w:tcPr>
            <w:tcW w:w="836"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sz w:val="22"/>
                <w:szCs w:val="22"/>
                <w:lang w:val="en-US"/>
              </w:rPr>
            </w:pPr>
            <w:r w:rsidRPr="00106B8C">
              <w:rPr>
                <w:sz w:val="22"/>
                <w:szCs w:val="22"/>
                <w:lang w:val="en-US"/>
              </w:rPr>
              <w:t>4.797.751</w:t>
            </w:r>
          </w:p>
        </w:tc>
        <w:tc>
          <w:tcPr>
            <w:tcW w:w="692"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sz w:val="22"/>
                <w:szCs w:val="22"/>
                <w:lang w:val="en-US"/>
              </w:rPr>
            </w:pPr>
            <w:r w:rsidRPr="00106B8C">
              <w:rPr>
                <w:sz w:val="22"/>
                <w:szCs w:val="22"/>
                <w:lang w:val="en-US"/>
              </w:rPr>
              <w:t>7.813.463</w:t>
            </w:r>
          </w:p>
        </w:tc>
        <w:tc>
          <w:tcPr>
            <w:tcW w:w="723"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sz w:val="22"/>
                <w:szCs w:val="22"/>
                <w:lang w:val="en-US"/>
              </w:rPr>
            </w:pPr>
            <w:r w:rsidRPr="00106B8C">
              <w:rPr>
                <w:sz w:val="22"/>
                <w:szCs w:val="22"/>
                <w:lang w:val="en-US"/>
              </w:rPr>
              <w:t>5.215.357</w:t>
            </w:r>
          </w:p>
        </w:tc>
        <w:tc>
          <w:tcPr>
            <w:tcW w:w="779"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sz w:val="22"/>
                <w:szCs w:val="22"/>
                <w:lang w:val="en-US"/>
              </w:rPr>
            </w:pPr>
            <w:r w:rsidRPr="00106B8C">
              <w:rPr>
                <w:sz w:val="22"/>
                <w:szCs w:val="22"/>
                <w:lang w:val="en-US"/>
              </w:rPr>
              <w:t>6.233.354</w:t>
            </w:r>
          </w:p>
        </w:tc>
        <w:tc>
          <w:tcPr>
            <w:tcW w:w="870"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sz w:val="22"/>
                <w:szCs w:val="22"/>
                <w:lang w:val="en-US"/>
              </w:rPr>
            </w:pPr>
            <w:r w:rsidRPr="00106B8C">
              <w:rPr>
                <w:sz w:val="22"/>
                <w:szCs w:val="22"/>
                <w:lang w:val="en-US"/>
              </w:rPr>
              <w:t>24.059.925</w:t>
            </w:r>
          </w:p>
        </w:tc>
      </w:tr>
      <w:tr w:rsidR="001B3496" w:rsidRPr="00106B8C" w:rsidTr="000140D5">
        <w:trPr>
          <w:trHeight w:val="243"/>
          <w:jc w:val="center"/>
        </w:trPr>
        <w:tc>
          <w:tcPr>
            <w:cnfStyle w:val="001000000000" w:firstRow="0" w:lastRow="0" w:firstColumn="1" w:lastColumn="0" w:oddVBand="0" w:evenVBand="0" w:oddHBand="0" w:evenHBand="0" w:firstRowFirstColumn="0" w:firstRowLastColumn="0" w:lastRowFirstColumn="0" w:lastRowLastColumn="0"/>
            <w:tcW w:w="1101" w:type="pct"/>
            <w:shd w:val="clear" w:color="auto" w:fill="auto"/>
            <w:hideMark/>
          </w:tcPr>
          <w:p w:rsidR="001B3496" w:rsidRPr="00106B8C" w:rsidRDefault="001B3496" w:rsidP="001B3496">
            <w:pPr>
              <w:jc w:val="center"/>
              <w:rPr>
                <w:b w:val="0"/>
                <w:bCs w:val="0"/>
                <w:sz w:val="22"/>
                <w:szCs w:val="22"/>
                <w:lang w:val="en-US"/>
              </w:rPr>
            </w:pPr>
            <w:r w:rsidRPr="00106B8C">
              <w:rPr>
                <w:b w:val="0"/>
                <w:bCs w:val="0"/>
                <w:sz w:val="22"/>
                <w:szCs w:val="22"/>
                <w:lang w:val="en-US"/>
              </w:rPr>
              <w:t>2010</w:t>
            </w:r>
          </w:p>
        </w:tc>
        <w:tc>
          <w:tcPr>
            <w:tcW w:w="836" w:type="pct"/>
            <w:shd w:val="clear" w:color="auto" w:fill="auto"/>
            <w:noWrap/>
            <w:hideMark/>
          </w:tcPr>
          <w:p w:rsidR="001B3496" w:rsidRPr="00106B8C" w:rsidRDefault="001B3496" w:rsidP="001B3496">
            <w:pPr>
              <w:jc w:val="right"/>
              <w:cnfStyle w:val="000000000000" w:firstRow="0" w:lastRow="0" w:firstColumn="0" w:lastColumn="0" w:oddVBand="0" w:evenVBand="0" w:oddHBand="0" w:evenHBand="0" w:firstRowFirstColumn="0" w:firstRowLastColumn="0" w:lastRowFirstColumn="0" w:lastRowLastColumn="0"/>
              <w:rPr>
                <w:sz w:val="22"/>
                <w:szCs w:val="22"/>
                <w:lang w:val="en-US"/>
              </w:rPr>
            </w:pPr>
            <w:r w:rsidRPr="00106B8C">
              <w:rPr>
                <w:sz w:val="22"/>
                <w:szCs w:val="22"/>
                <w:lang w:val="en-US"/>
              </w:rPr>
              <w:t>4.358.934</w:t>
            </w:r>
          </w:p>
        </w:tc>
        <w:tc>
          <w:tcPr>
            <w:tcW w:w="692" w:type="pct"/>
            <w:shd w:val="clear" w:color="auto" w:fill="auto"/>
            <w:noWrap/>
            <w:hideMark/>
          </w:tcPr>
          <w:p w:rsidR="001B3496" w:rsidRPr="00106B8C" w:rsidRDefault="001B3496" w:rsidP="001B3496">
            <w:pPr>
              <w:jc w:val="right"/>
              <w:cnfStyle w:val="000000000000" w:firstRow="0" w:lastRow="0" w:firstColumn="0" w:lastColumn="0" w:oddVBand="0" w:evenVBand="0" w:oddHBand="0" w:evenHBand="0" w:firstRowFirstColumn="0" w:firstRowLastColumn="0" w:lastRowFirstColumn="0" w:lastRowLastColumn="0"/>
              <w:rPr>
                <w:sz w:val="22"/>
                <w:szCs w:val="22"/>
                <w:lang w:val="en-US"/>
              </w:rPr>
            </w:pPr>
            <w:r w:rsidRPr="00106B8C">
              <w:rPr>
                <w:sz w:val="22"/>
                <w:szCs w:val="22"/>
                <w:lang w:val="en-US"/>
              </w:rPr>
              <w:t>7.662.288</w:t>
            </w:r>
          </w:p>
        </w:tc>
        <w:tc>
          <w:tcPr>
            <w:tcW w:w="723" w:type="pct"/>
            <w:shd w:val="clear" w:color="auto" w:fill="auto"/>
            <w:noWrap/>
            <w:hideMark/>
          </w:tcPr>
          <w:p w:rsidR="001B3496" w:rsidRPr="00106B8C" w:rsidRDefault="001B3496" w:rsidP="001B3496">
            <w:pPr>
              <w:jc w:val="right"/>
              <w:cnfStyle w:val="000000000000" w:firstRow="0" w:lastRow="0" w:firstColumn="0" w:lastColumn="0" w:oddVBand="0" w:evenVBand="0" w:oddHBand="0" w:evenHBand="0" w:firstRowFirstColumn="0" w:firstRowLastColumn="0" w:lastRowFirstColumn="0" w:lastRowLastColumn="0"/>
              <w:rPr>
                <w:sz w:val="22"/>
                <w:szCs w:val="22"/>
                <w:lang w:val="en-US"/>
              </w:rPr>
            </w:pPr>
            <w:r w:rsidRPr="00106B8C">
              <w:rPr>
                <w:sz w:val="22"/>
                <w:szCs w:val="22"/>
                <w:lang w:val="en-US"/>
              </w:rPr>
              <w:t>4.496.126</w:t>
            </w:r>
          </w:p>
        </w:tc>
        <w:tc>
          <w:tcPr>
            <w:tcW w:w="779" w:type="pct"/>
            <w:shd w:val="clear" w:color="auto" w:fill="auto"/>
            <w:noWrap/>
            <w:hideMark/>
          </w:tcPr>
          <w:p w:rsidR="001B3496" w:rsidRPr="00106B8C" w:rsidRDefault="001B3496" w:rsidP="001B3496">
            <w:pPr>
              <w:jc w:val="right"/>
              <w:cnfStyle w:val="000000000000" w:firstRow="0" w:lastRow="0" w:firstColumn="0" w:lastColumn="0" w:oddVBand="0" w:evenVBand="0" w:oddHBand="0" w:evenHBand="0" w:firstRowFirstColumn="0" w:firstRowLastColumn="0" w:lastRowFirstColumn="0" w:lastRowLastColumn="0"/>
              <w:rPr>
                <w:sz w:val="22"/>
                <w:szCs w:val="22"/>
                <w:lang w:val="en-US"/>
              </w:rPr>
            </w:pPr>
            <w:r w:rsidRPr="00106B8C">
              <w:rPr>
                <w:sz w:val="22"/>
                <w:szCs w:val="22"/>
                <w:lang w:val="en-US"/>
              </w:rPr>
              <w:t>5.712.662</w:t>
            </w:r>
          </w:p>
        </w:tc>
        <w:tc>
          <w:tcPr>
            <w:tcW w:w="870" w:type="pct"/>
            <w:shd w:val="clear" w:color="auto" w:fill="auto"/>
            <w:noWrap/>
            <w:hideMark/>
          </w:tcPr>
          <w:p w:rsidR="001B3496" w:rsidRPr="00106B8C" w:rsidRDefault="001B3496" w:rsidP="001B3496">
            <w:pPr>
              <w:jc w:val="right"/>
              <w:cnfStyle w:val="000000000000" w:firstRow="0" w:lastRow="0" w:firstColumn="0" w:lastColumn="0" w:oddVBand="0" w:evenVBand="0" w:oddHBand="0" w:evenHBand="0" w:firstRowFirstColumn="0" w:firstRowLastColumn="0" w:lastRowFirstColumn="0" w:lastRowLastColumn="0"/>
              <w:rPr>
                <w:sz w:val="22"/>
                <w:szCs w:val="22"/>
                <w:lang w:val="en-US"/>
              </w:rPr>
            </w:pPr>
            <w:r w:rsidRPr="00106B8C">
              <w:rPr>
                <w:sz w:val="22"/>
                <w:szCs w:val="22"/>
                <w:lang w:val="en-US"/>
              </w:rPr>
              <w:t>22.230.010</w:t>
            </w:r>
          </w:p>
        </w:tc>
      </w:tr>
      <w:tr w:rsidR="001B3496" w:rsidRPr="00106B8C" w:rsidTr="000140D5">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101" w:type="pct"/>
            <w:shd w:val="clear" w:color="auto" w:fill="auto"/>
            <w:hideMark/>
          </w:tcPr>
          <w:p w:rsidR="001B3496" w:rsidRPr="00106B8C" w:rsidRDefault="001B3496" w:rsidP="001B3496">
            <w:pPr>
              <w:jc w:val="center"/>
              <w:rPr>
                <w:b w:val="0"/>
                <w:bCs w:val="0"/>
                <w:sz w:val="22"/>
                <w:szCs w:val="22"/>
                <w:lang w:val="en-US"/>
              </w:rPr>
            </w:pPr>
            <w:r w:rsidRPr="00106B8C">
              <w:rPr>
                <w:b w:val="0"/>
                <w:bCs w:val="0"/>
                <w:sz w:val="22"/>
                <w:szCs w:val="22"/>
                <w:lang w:val="en-US"/>
              </w:rPr>
              <w:t>2009</w:t>
            </w:r>
          </w:p>
        </w:tc>
        <w:tc>
          <w:tcPr>
            <w:tcW w:w="836"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sz w:val="22"/>
                <w:szCs w:val="22"/>
                <w:lang w:val="en-US"/>
              </w:rPr>
            </w:pPr>
            <w:r w:rsidRPr="00106B8C">
              <w:rPr>
                <w:sz w:val="22"/>
                <w:szCs w:val="22"/>
                <w:lang w:val="en-US"/>
              </w:rPr>
              <w:t>3.290.809</w:t>
            </w:r>
          </w:p>
        </w:tc>
        <w:tc>
          <w:tcPr>
            <w:tcW w:w="692"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sz w:val="22"/>
                <w:szCs w:val="22"/>
                <w:lang w:val="en-US"/>
              </w:rPr>
            </w:pPr>
            <w:r w:rsidRPr="00106B8C">
              <w:rPr>
                <w:sz w:val="22"/>
                <w:szCs w:val="22"/>
                <w:lang w:val="en-US"/>
              </w:rPr>
              <w:t>5.979.825</w:t>
            </w:r>
          </w:p>
        </w:tc>
        <w:tc>
          <w:tcPr>
            <w:tcW w:w="723"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sz w:val="22"/>
                <w:szCs w:val="22"/>
                <w:lang w:val="en-US"/>
              </w:rPr>
            </w:pPr>
            <w:r w:rsidRPr="00106B8C">
              <w:rPr>
                <w:sz w:val="22"/>
                <w:szCs w:val="22"/>
                <w:lang w:val="en-US"/>
              </w:rPr>
              <w:t>2.987.415</w:t>
            </w:r>
          </w:p>
        </w:tc>
        <w:tc>
          <w:tcPr>
            <w:tcW w:w="779"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sz w:val="22"/>
                <w:szCs w:val="22"/>
                <w:lang w:val="en-US"/>
              </w:rPr>
            </w:pPr>
            <w:r w:rsidRPr="00106B8C">
              <w:rPr>
                <w:sz w:val="22"/>
                <w:szCs w:val="22"/>
                <w:lang w:val="en-US"/>
              </w:rPr>
              <w:t>4.660.035</w:t>
            </w:r>
          </w:p>
        </w:tc>
        <w:tc>
          <w:tcPr>
            <w:tcW w:w="870"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sz w:val="22"/>
                <w:szCs w:val="22"/>
                <w:lang w:val="en-US"/>
              </w:rPr>
            </w:pPr>
            <w:r w:rsidRPr="00106B8C">
              <w:rPr>
                <w:sz w:val="22"/>
                <w:szCs w:val="22"/>
                <w:lang w:val="en-US"/>
              </w:rPr>
              <w:t>16.918.084</w:t>
            </w:r>
          </w:p>
        </w:tc>
      </w:tr>
      <w:tr w:rsidR="001B3496" w:rsidRPr="00106B8C" w:rsidTr="000140D5">
        <w:trPr>
          <w:trHeight w:val="243"/>
          <w:jc w:val="center"/>
        </w:trPr>
        <w:tc>
          <w:tcPr>
            <w:cnfStyle w:val="001000000000" w:firstRow="0" w:lastRow="0" w:firstColumn="1" w:lastColumn="0" w:oddVBand="0" w:evenVBand="0" w:oddHBand="0" w:evenHBand="0" w:firstRowFirstColumn="0" w:firstRowLastColumn="0" w:lastRowFirstColumn="0" w:lastRowLastColumn="0"/>
            <w:tcW w:w="1101" w:type="pct"/>
            <w:shd w:val="clear" w:color="auto" w:fill="auto"/>
            <w:hideMark/>
          </w:tcPr>
          <w:p w:rsidR="001B3496" w:rsidRPr="00106B8C" w:rsidRDefault="001B3496" w:rsidP="001B3496">
            <w:pPr>
              <w:jc w:val="center"/>
              <w:rPr>
                <w:b w:val="0"/>
                <w:bCs w:val="0"/>
                <w:sz w:val="22"/>
                <w:szCs w:val="22"/>
                <w:lang w:val="en-US"/>
              </w:rPr>
            </w:pPr>
            <w:r w:rsidRPr="00106B8C">
              <w:rPr>
                <w:b w:val="0"/>
                <w:bCs w:val="0"/>
                <w:sz w:val="22"/>
                <w:szCs w:val="22"/>
                <w:lang w:val="en-US"/>
              </w:rPr>
              <w:t>2008</w:t>
            </w:r>
          </w:p>
        </w:tc>
        <w:tc>
          <w:tcPr>
            <w:tcW w:w="836" w:type="pct"/>
            <w:shd w:val="clear" w:color="auto" w:fill="auto"/>
            <w:noWrap/>
            <w:hideMark/>
          </w:tcPr>
          <w:p w:rsidR="001B3496" w:rsidRPr="00106B8C" w:rsidRDefault="001B3496" w:rsidP="001B3496">
            <w:pPr>
              <w:jc w:val="right"/>
              <w:cnfStyle w:val="000000000000" w:firstRow="0" w:lastRow="0" w:firstColumn="0" w:lastColumn="0" w:oddVBand="0" w:evenVBand="0" w:oddHBand="0" w:evenHBand="0" w:firstRowFirstColumn="0" w:firstRowLastColumn="0" w:lastRowFirstColumn="0" w:lastRowLastColumn="0"/>
              <w:rPr>
                <w:sz w:val="22"/>
                <w:szCs w:val="22"/>
                <w:lang w:val="en-US"/>
              </w:rPr>
            </w:pPr>
            <w:r w:rsidRPr="00106B8C">
              <w:rPr>
                <w:sz w:val="22"/>
                <w:szCs w:val="22"/>
                <w:lang w:val="en-US"/>
              </w:rPr>
              <w:t>2.029.617</w:t>
            </w:r>
          </w:p>
        </w:tc>
        <w:tc>
          <w:tcPr>
            <w:tcW w:w="692" w:type="pct"/>
            <w:shd w:val="clear" w:color="auto" w:fill="auto"/>
            <w:noWrap/>
            <w:hideMark/>
          </w:tcPr>
          <w:p w:rsidR="001B3496" w:rsidRPr="00106B8C" w:rsidRDefault="001B3496" w:rsidP="001B3496">
            <w:pPr>
              <w:jc w:val="right"/>
              <w:cnfStyle w:val="000000000000" w:firstRow="0" w:lastRow="0" w:firstColumn="0" w:lastColumn="0" w:oddVBand="0" w:evenVBand="0" w:oddHBand="0" w:evenHBand="0" w:firstRowFirstColumn="0" w:firstRowLastColumn="0" w:lastRowFirstColumn="0" w:lastRowLastColumn="0"/>
              <w:rPr>
                <w:sz w:val="22"/>
                <w:szCs w:val="22"/>
                <w:lang w:val="en-US"/>
              </w:rPr>
            </w:pPr>
            <w:r w:rsidRPr="00106B8C">
              <w:rPr>
                <w:sz w:val="22"/>
                <w:szCs w:val="22"/>
                <w:lang w:val="en-US"/>
              </w:rPr>
              <w:t>3.603.487</w:t>
            </w:r>
          </w:p>
        </w:tc>
        <w:tc>
          <w:tcPr>
            <w:tcW w:w="723" w:type="pct"/>
            <w:shd w:val="clear" w:color="auto" w:fill="auto"/>
            <w:noWrap/>
            <w:hideMark/>
          </w:tcPr>
          <w:p w:rsidR="001B3496" w:rsidRPr="00106B8C" w:rsidRDefault="001B3496" w:rsidP="001B3496">
            <w:pPr>
              <w:jc w:val="right"/>
              <w:cnfStyle w:val="000000000000" w:firstRow="0" w:lastRow="0" w:firstColumn="0" w:lastColumn="0" w:oddVBand="0" w:evenVBand="0" w:oddHBand="0" w:evenHBand="0" w:firstRowFirstColumn="0" w:firstRowLastColumn="0" w:lastRowFirstColumn="0" w:lastRowLastColumn="0"/>
              <w:rPr>
                <w:sz w:val="22"/>
                <w:szCs w:val="22"/>
                <w:lang w:val="en-US"/>
              </w:rPr>
            </w:pPr>
            <w:r w:rsidRPr="00106B8C">
              <w:rPr>
                <w:sz w:val="22"/>
                <w:szCs w:val="22"/>
                <w:lang w:val="en-US"/>
              </w:rPr>
              <w:t>2.111.414</w:t>
            </w:r>
          </w:p>
        </w:tc>
        <w:tc>
          <w:tcPr>
            <w:tcW w:w="779" w:type="pct"/>
            <w:shd w:val="clear" w:color="auto" w:fill="auto"/>
            <w:noWrap/>
            <w:hideMark/>
          </w:tcPr>
          <w:p w:rsidR="001B3496" w:rsidRPr="00106B8C" w:rsidRDefault="001B3496" w:rsidP="001B3496">
            <w:pPr>
              <w:jc w:val="right"/>
              <w:cnfStyle w:val="000000000000" w:firstRow="0" w:lastRow="0" w:firstColumn="0" w:lastColumn="0" w:oddVBand="0" w:evenVBand="0" w:oddHBand="0" w:evenHBand="0" w:firstRowFirstColumn="0" w:firstRowLastColumn="0" w:lastRowFirstColumn="0" w:lastRowLastColumn="0"/>
              <w:rPr>
                <w:sz w:val="22"/>
                <w:szCs w:val="22"/>
                <w:lang w:val="en-US"/>
              </w:rPr>
            </w:pPr>
            <w:r w:rsidRPr="00106B8C">
              <w:rPr>
                <w:sz w:val="22"/>
                <w:szCs w:val="22"/>
                <w:lang w:val="en-US"/>
              </w:rPr>
              <w:t>3.300.252</w:t>
            </w:r>
          </w:p>
        </w:tc>
        <w:tc>
          <w:tcPr>
            <w:tcW w:w="870" w:type="pct"/>
            <w:shd w:val="clear" w:color="auto" w:fill="auto"/>
            <w:noWrap/>
            <w:hideMark/>
          </w:tcPr>
          <w:p w:rsidR="001B3496" w:rsidRPr="00106B8C" w:rsidRDefault="001B3496" w:rsidP="001B3496">
            <w:pPr>
              <w:jc w:val="right"/>
              <w:cnfStyle w:val="000000000000" w:firstRow="0" w:lastRow="0" w:firstColumn="0" w:lastColumn="0" w:oddVBand="0" w:evenVBand="0" w:oddHBand="0" w:evenHBand="0" w:firstRowFirstColumn="0" w:firstRowLastColumn="0" w:lastRowFirstColumn="0" w:lastRowLastColumn="0"/>
              <w:rPr>
                <w:sz w:val="22"/>
                <w:szCs w:val="22"/>
                <w:lang w:val="en-US"/>
              </w:rPr>
            </w:pPr>
            <w:r w:rsidRPr="00106B8C">
              <w:rPr>
                <w:sz w:val="22"/>
                <w:szCs w:val="22"/>
                <w:lang w:val="en-US"/>
              </w:rPr>
              <w:t>11.044.770</w:t>
            </w:r>
          </w:p>
        </w:tc>
      </w:tr>
      <w:tr w:rsidR="001B3496" w:rsidRPr="00106B8C" w:rsidTr="000140D5">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1101" w:type="pct"/>
            <w:shd w:val="clear" w:color="auto" w:fill="auto"/>
            <w:hideMark/>
          </w:tcPr>
          <w:p w:rsidR="001B3496" w:rsidRPr="00106B8C" w:rsidRDefault="001B3496" w:rsidP="001B3496">
            <w:pPr>
              <w:jc w:val="center"/>
              <w:rPr>
                <w:b w:val="0"/>
                <w:bCs w:val="0"/>
                <w:sz w:val="22"/>
                <w:szCs w:val="22"/>
                <w:lang w:val="en-US"/>
              </w:rPr>
            </w:pPr>
            <w:r w:rsidRPr="00106B8C">
              <w:rPr>
                <w:b w:val="0"/>
                <w:bCs w:val="0"/>
                <w:sz w:val="22"/>
                <w:szCs w:val="22"/>
                <w:lang w:val="en-US"/>
              </w:rPr>
              <w:t>2007</w:t>
            </w:r>
          </w:p>
        </w:tc>
        <w:tc>
          <w:tcPr>
            <w:tcW w:w="836"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sz w:val="22"/>
                <w:szCs w:val="22"/>
                <w:lang w:val="en-US"/>
              </w:rPr>
            </w:pPr>
            <w:r w:rsidRPr="00106B8C">
              <w:rPr>
                <w:sz w:val="22"/>
                <w:szCs w:val="22"/>
                <w:lang w:val="en-US"/>
              </w:rPr>
              <w:t>1.507.109</w:t>
            </w:r>
          </w:p>
        </w:tc>
        <w:tc>
          <w:tcPr>
            <w:tcW w:w="692"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sz w:val="22"/>
                <w:szCs w:val="22"/>
                <w:lang w:val="en-US"/>
              </w:rPr>
            </w:pPr>
            <w:r w:rsidRPr="00106B8C">
              <w:rPr>
                <w:sz w:val="22"/>
                <w:szCs w:val="22"/>
                <w:lang w:val="en-US"/>
              </w:rPr>
              <w:t>2.562.363</w:t>
            </w:r>
          </w:p>
        </w:tc>
        <w:tc>
          <w:tcPr>
            <w:tcW w:w="723"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sz w:val="22"/>
                <w:szCs w:val="22"/>
                <w:lang w:val="en-US"/>
              </w:rPr>
            </w:pPr>
            <w:r w:rsidRPr="00106B8C">
              <w:rPr>
                <w:sz w:val="22"/>
                <w:szCs w:val="22"/>
                <w:lang w:val="en-US"/>
              </w:rPr>
              <w:t>1.340.003</w:t>
            </w:r>
          </w:p>
        </w:tc>
        <w:tc>
          <w:tcPr>
            <w:tcW w:w="779"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sz w:val="22"/>
                <w:szCs w:val="22"/>
                <w:lang w:val="en-US"/>
              </w:rPr>
            </w:pPr>
            <w:r w:rsidRPr="00106B8C">
              <w:rPr>
                <w:sz w:val="22"/>
                <w:szCs w:val="22"/>
                <w:lang w:val="en-US"/>
              </w:rPr>
              <w:t>2.534.330</w:t>
            </w:r>
          </w:p>
        </w:tc>
        <w:tc>
          <w:tcPr>
            <w:tcW w:w="870" w:type="pct"/>
            <w:shd w:val="clear" w:color="auto" w:fill="auto"/>
            <w:noWrap/>
            <w:hideMark/>
          </w:tcPr>
          <w:p w:rsidR="001B3496" w:rsidRPr="00106B8C" w:rsidRDefault="001B3496" w:rsidP="001B3496">
            <w:pPr>
              <w:jc w:val="right"/>
              <w:cnfStyle w:val="000000100000" w:firstRow="0" w:lastRow="0" w:firstColumn="0" w:lastColumn="0" w:oddVBand="0" w:evenVBand="0" w:oddHBand="1" w:evenHBand="0" w:firstRowFirstColumn="0" w:firstRowLastColumn="0" w:lastRowFirstColumn="0" w:lastRowLastColumn="0"/>
              <w:rPr>
                <w:sz w:val="22"/>
                <w:szCs w:val="22"/>
                <w:lang w:val="en-US"/>
              </w:rPr>
            </w:pPr>
            <w:r w:rsidRPr="00106B8C">
              <w:rPr>
                <w:sz w:val="22"/>
                <w:szCs w:val="22"/>
                <w:lang w:val="en-US"/>
              </w:rPr>
              <w:t>7.943.805</w:t>
            </w:r>
          </w:p>
        </w:tc>
      </w:tr>
    </w:tbl>
    <w:p w:rsidR="000140D5" w:rsidRDefault="000140D5" w:rsidP="001B3496">
      <w:pPr>
        <w:spacing w:after="120"/>
        <w:jc w:val="center"/>
        <w:rPr>
          <w:b/>
          <w:bCs/>
          <w:sz w:val="22"/>
          <w:szCs w:val="22"/>
          <w:lang w:val="en-US"/>
        </w:rPr>
      </w:pPr>
    </w:p>
    <w:p w:rsidR="001B3496" w:rsidRPr="000140D5" w:rsidRDefault="000140D5" w:rsidP="001B3496">
      <w:pPr>
        <w:spacing w:after="120"/>
        <w:jc w:val="center"/>
        <w:rPr>
          <w:bCs/>
          <w:sz w:val="22"/>
          <w:szCs w:val="22"/>
          <w:lang w:val="en-US"/>
        </w:rPr>
      </w:pPr>
      <w:r>
        <w:rPr>
          <w:bCs/>
          <w:sz w:val="22"/>
          <w:szCs w:val="22"/>
          <w:lang w:val="en-US"/>
        </w:rPr>
        <w:t>Table 4/b</w:t>
      </w:r>
      <w:r w:rsidR="001B3496" w:rsidRPr="000140D5">
        <w:rPr>
          <w:bCs/>
          <w:sz w:val="22"/>
          <w:szCs w:val="22"/>
          <w:lang w:val="en-US"/>
        </w:rPr>
        <w:t xml:space="preserve"> Increase Rate from Previous Year at Collected Turkish Currency Funds in Participation Banks, 2007-2012 (1000TL)</w:t>
      </w:r>
    </w:p>
    <w:tbl>
      <w:tblPr>
        <w:tblStyle w:val="AkGlgeleme"/>
        <w:tblW w:w="4338" w:type="pct"/>
        <w:jc w:val="center"/>
        <w:tblLook w:val="04A0" w:firstRow="1" w:lastRow="0" w:firstColumn="1" w:lastColumn="0" w:noHBand="0" w:noVBand="1"/>
      </w:tblPr>
      <w:tblGrid>
        <w:gridCol w:w="1782"/>
        <w:gridCol w:w="1328"/>
        <w:gridCol w:w="790"/>
        <w:gridCol w:w="1186"/>
        <w:gridCol w:w="1094"/>
        <w:gridCol w:w="1631"/>
      </w:tblGrid>
      <w:tr w:rsidR="001B3496" w:rsidRPr="000140D5" w:rsidTr="0093409F">
        <w:trPr>
          <w:cnfStyle w:val="100000000000" w:firstRow="1" w:lastRow="0" w:firstColumn="0" w:lastColumn="0" w:oddVBand="0" w:evenVBand="0" w:oddHBand="0" w:evenHBand="0" w:firstRowFirstColumn="0" w:firstRowLastColumn="0" w:lastRowFirstColumn="0" w:lastRowLastColumn="0"/>
          <w:trHeight w:val="384"/>
          <w:jc w:val="center"/>
        </w:trPr>
        <w:tc>
          <w:tcPr>
            <w:cnfStyle w:val="001000000000" w:firstRow="0" w:lastRow="0" w:firstColumn="1" w:lastColumn="0" w:oddVBand="0" w:evenVBand="0" w:oddHBand="0" w:evenHBand="0" w:firstRowFirstColumn="0" w:firstRowLastColumn="0" w:lastRowFirstColumn="0" w:lastRowLastColumn="0"/>
            <w:tcW w:w="1150"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END OF YEAR</w:t>
            </w:r>
          </w:p>
        </w:tc>
        <w:tc>
          <w:tcPr>
            <w:tcW w:w="825"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ALBARAKA TÜRK</w:t>
            </w:r>
          </w:p>
        </w:tc>
        <w:tc>
          <w:tcPr>
            <w:tcW w:w="515"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BANK ASYA</w:t>
            </w:r>
          </w:p>
        </w:tc>
        <w:tc>
          <w:tcPr>
            <w:tcW w:w="769"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KUVEYT TÜRK</w:t>
            </w:r>
          </w:p>
        </w:tc>
        <w:tc>
          <w:tcPr>
            <w:tcW w:w="688"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TÜRKİYE FİNANS</w:t>
            </w:r>
          </w:p>
        </w:tc>
        <w:tc>
          <w:tcPr>
            <w:tcW w:w="1054"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 xml:space="preserve">Increase Rate From </w:t>
            </w:r>
            <w:proofErr w:type="spellStart"/>
            <w:r w:rsidRPr="000140D5">
              <w:rPr>
                <w:b w:val="0"/>
                <w:bCs w:val="0"/>
                <w:sz w:val="20"/>
                <w:szCs w:val="20"/>
                <w:lang w:val="en-US"/>
              </w:rPr>
              <w:t>Prev.Year</w:t>
            </w:r>
            <w:proofErr w:type="spellEnd"/>
            <w:r w:rsidRPr="000140D5">
              <w:rPr>
                <w:b w:val="0"/>
                <w:bCs w:val="0"/>
                <w:sz w:val="20"/>
                <w:szCs w:val="20"/>
                <w:lang w:val="en-US"/>
              </w:rPr>
              <w:t xml:space="preserve"> Total Sum</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150"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Average 2007-2012</w:t>
            </w:r>
          </w:p>
        </w:tc>
        <w:tc>
          <w:tcPr>
            <w:tcW w:w="82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36%</w:t>
            </w:r>
          </w:p>
        </w:tc>
        <w:tc>
          <w:tcPr>
            <w:tcW w:w="51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35%</w:t>
            </w:r>
          </w:p>
        </w:tc>
        <w:tc>
          <w:tcPr>
            <w:tcW w:w="76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41%</w:t>
            </w:r>
          </w:p>
        </w:tc>
        <w:tc>
          <w:tcPr>
            <w:tcW w:w="688"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28%</w:t>
            </w:r>
          </w:p>
        </w:tc>
        <w:tc>
          <w:tcPr>
            <w:tcW w:w="1054"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34%</w:t>
            </w:r>
          </w:p>
        </w:tc>
      </w:tr>
      <w:tr w:rsidR="001B3496" w:rsidRPr="000140D5" w:rsidTr="0093409F">
        <w:trPr>
          <w:trHeight w:val="210"/>
          <w:jc w:val="center"/>
        </w:trPr>
        <w:tc>
          <w:tcPr>
            <w:cnfStyle w:val="001000000000" w:firstRow="0" w:lastRow="0" w:firstColumn="1" w:lastColumn="0" w:oddVBand="0" w:evenVBand="0" w:oddHBand="0" w:evenHBand="0" w:firstRowFirstColumn="0" w:firstRowLastColumn="0" w:lastRowFirstColumn="0" w:lastRowLastColumn="0"/>
            <w:tcW w:w="1150"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2012</w:t>
            </w:r>
          </w:p>
        </w:tc>
        <w:tc>
          <w:tcPr>
            <w:tcW w:w="825"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15%</w:t>
            </w:r>
          </w:p>
        </w:tc>
        <w:tc>
          <w:tcPr>
            <w:tcW w:w="515"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18%</w:t>
            </w:r>
          </w:p>
        </w:tc>
        <w:tc>
          <w:tcPr>
            <w:tcW w:w="769"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30%</w:t>
            </w:r>
          </w:p>
        </w:tc>
        <w:tc>
          <w:tcPr>
            <w:tcW w:w="688"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19%</w:t>
            </w:r>
          </w:p>
        </w:tc>
        <w:tc>
          <w:tcPr>
            <w:tcW w:w="1054"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20%</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150"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2011</w:t>
            </w:r>
          </w:p>
        </w:tc>
        <w:tc>
          <w:tcPr>
            <w:tcW w:w="82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10%</w:t>
            </w:r>
          </w:p>
        </w:tc>
        <w:tc>
          <w:tcPr>
            <w:tcW w:w="51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2%</w:t>
            </w:r>
          </w:p>
        </w:tc>
        <w:tc>
          <w:tcPr>
            <w:tcW w:w="76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16%</w:t>
            </w:r>
          </w:p>
        </w:tc>
        <w:tc>
          <w:tcPr>
            <w:tcW w:w="688"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9%</w:t>
            </w:r>
          </w:p>
        </w:tc>
        <w:tc>
          <w:tcPr>
            <w:tcW w:w="1054"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8%</w:t>
            </w:r>
          </w:p>
        </w:tc>
      </w:tr>
      <w:tr w:rsidR="001B3496" w:rsidRPr="000140D5" w:rsidTr="0093409F">
        <w:trPr>
          <w:trHeight w:val="225"/>
          <w:jc w:val="center"/>
        </w:trPr>
        <w:tc>
          <w:tcPr>
            <w:cnfStyle w:val="001000000000" w:firstRow="0" w:lastRow="0" w:firstColumn="1" w:lastColumn="0" w:oddVBand="0" w:evenVBand="0" w:oddHBand="0" w:evenHBand="0" w:firstRowFirstColumn="0" w:firstRowLastColumn="0" w:lastRowFirstColumn="0" w:lastRowLastColumn="0"/>
            <w:tcW w:w="1150"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2010</w:t>
            </w:r>
          </w:p>
        </w:tc>
        <w:tc>
          <w:tcPr>
            <w:tcW w:w="825"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32%</w:t>
            </w:r>
          </w:p>
        </w:tc>
        <w:tc>
          <w:tcPr>
            <w:tcW w:w="515"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28%</w:t>
            </w:r>
          </w:p>
        </w:tc>
        <w:tc>
          <w:tcPr>
            <w:tcW w:w="769"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51%</w:t>
            </w:r>
          </w:p>
        </w:tc>
        <w:tc>
          <w:tcPr>
            <w:tcW w:w="688"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23%</w:t>
            </w:r>
          </w:p>
        </w:tc>
        <w:tc>
          <w:tcPr>
            <w:tcW w:w="1054"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bCs/>
                <w:sz w:val="20"/>
                <w:szCs w:val="20"/>
                <w:lang w:val="en-US"/>
              </w:rPr>
            </w:pPr>
            <w:r w:rsidRPr="000140D5">
              <w:rPr>
                <w:bCs/>
                <w:sz w:val="20"/>
                <w:szCs w:val="20"/>
                <w:lang w:val="en-US"/>
              </w:rPr>
              <w:t>31%</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150"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2009</w:t>
            </w:r>
          </w:p>
        </w:tc>
        <w:tc>
          <w:tcPr>
            <w:tcW w:w="82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62%</w:t>
            </w:r>
          </w:p>
        </w:tc>
        <w:tc>
          <w:tcPr>
            <w:tcW w:w="51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66%</w:t>
            </w:r>
          </w:p>
        </w:tc>
        <w:tc>
          <w:tcPr>
            <w:tcW w:w="76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41%</w:t>
            </w:r>
          </w:p>
        </w:tc>
        <w:tc>
          <w:tcPr>
            <w:tcW w:w="688"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41%</w:t>
            </w:r>
          </w:p>
        </w:tc>
        <w:tc>
          <w:tcPr>
            <w:tcW w:w="1054"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53%</w:t>
            </w:r>
          </w:p>
        </w:tc>
      </w:tr>
      <w:tr w:rsidR="001B3496" w:rsidRPr="000140D5" w:rsidTr="0093409F">
        <w:trPr>
          <w:trHeight w:val="225"/>
          <w:jc w:val="center"/>
        </w:trPr>
        <w:tc>
          <w:tcPr>
            <w:cnfStyle w:val="001000000000" w:firstRow="0" w:lastRow="0" w:firstColumn="1" w:lastColumn="0" w:oddVBand="0" w:evenVBand="0" w:oddHBand="0" w:evenHBand="0" w:firstRowFirstColumn="0" w:firstRowLastColumn="0" w:lastRowFirstColumn="0" w:lastRowLastColumn="0"/>
            <w:tcW w:w="1150"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2008</w:t>
            </w:r>
          </w:p>
        </w:tc>
        <w:tc>
          <w:tcPr>
            <w:tcW w:w="825"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35%</w:t>
            </w:r>
          </w:p>
        </w:tc>
        <w:tc>
          <w:tcPr>
            <w:tcW w:w="515"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41%</w:t>
            </w:r>
          </w:p>
        </w:tc>
        <w:tc>
          <w:tcPr>
            <w:tcW w:w="769"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58%</w:t>
            </w:r>
          </w:p>
        </w:tc>
        <w:tc>
          <w:tcPr>
            <w:tcW w:w="688"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30%</w:t>
            </w:r>
          </w:p>
        </w:tc>
        <w:tc>
          <w:tcPr>
            <w:tcW w:w="1054"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bCs/>
                <w:sz w:val="20"/>
                <w:szCs w:val="20"/>
                <w:lang w:val="en-US"/>
              </w:rPr>
            </w:pPr>
            <w:r w:rsidRPr="000140D5">
              <w:rPr>
                <w:bCs/>
                <w:sz w:val="20"/>
                <w:szCs w:val="20"/>
                <w:lang w:val="en-US"/>
              </w:rPr>
              <w:t>39%</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150"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2007</w:t>
            </w:r>
          </w:p>
        </w:tc>
        <w:tc>
          <w:tcPr>
            <w:tcW w:w="82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60%</w:t>
            </w:r>
          </w:p>
        </w:tc>
        <w:tc>
          <w:tcPr>
            <w:tcW w:w="51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56%</w:t>
            </w:r>
          </w:p>
        </w:tc>
        <w:tc>
          <w:tcPr>
            <w:tcW w:w="76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48%</w:t>
            </w:r>
          </w:p>
        </w:tc>
        <w:tc>
          <w:tcPr>
            <w:tcW w:w="688"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44%</w:t>
            </w:r>
          </w:p>
        </w:tc>
        <w:tc>
          <w:tcPr>
            <w:tcW w:w="1054"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51%</w:t>
            </w:r>
          </w:p>
        </w:tc>
      </w:tr>
    </w:tbl>
    <w:p w:rsidR="001B3496" w:rsidRPr="000140D5" w:rsidRDefault="001B3496" w:rsidP="000140D5">
      <w:pPr>
        <w:pStyle w:val="AralkYok"/>
        <w:jc w:val="center"/>
        <w:rPr>
          <w:sz w:val="20"/>
        </w:rPr>
      </w:pPr>
      <w:r w:rsidRPr="000140D5">
        <w:rPr>
          <w:sz w:val="20"/>
        </w:rPr>
        <w:t>Source: Collected from data provided by (BAT, The Bank Association of Turkey, 2011) (BAT, The Bank Association of Turkey, 2012-13) (PBAT, The Participation Banks Association of Turkey, 2012-13).</w:t>
      </w:r>
    </w:p>
    <w:p w:rsidR="001B3496" w:rsidRDefault="001B3496" w:rsidP="001B3496">
      <w:pPr>
        <w:pStyle w:val="Balk2"/>
        <w:numPr>
          <w:ilvl w:val="0"/>
          <w:numId w:val="0"/>
        </w:numPr>
        <w:ind w:left="284"/>
      </w:pPr>
      <w:r w:rsidRPr="00106B8C">
        <w:lastRenderedPageBreak/>
        <w:t>Foreign Currency Funds, 2007-2012</w:t>
      </w:r>
    </w:p>
    <w:p w:rsidR="000140D5" w:rsidRPr="000140D5" w:rsidRDefault="000140D5" w:rsidP="000140D5">
      <w:pPr>
        <w:rPr>
          <w:lang w:val="en-US" w:eastAsia="en-US"/>
        </w:rPr>
      </w:pPr>
    </w:p>
    <w:p w:rsidR="001B3496" w:rsidRPr="000140D5" w:rsidRDefault="001B3496" w:rsidP="001B3496">
      <w:pPr>
        <w:spacing w:after="120"/>
        <w:jc w:val="center"/>
        <w:rPr>
          <w:bCs/>
          <w:sz w:val="22"/>
          <w:szCs w:val="22"/>
          <w:lang w:val="en-US"/>
        </w:rPr>
      </w:pPr>
      <w:r w:rsidRPr="000140D5">
        <w:rPr>
          <w:bCs/>
          <w:sz w:val="22"/>
          <w:szCs w:val="22"/>
          <w:lang w:val="en-US"/>
        </w:rPr>
        <w:t>Table 5/a</w:t>
      </w:r>
      <w:r w:rsidR="000140D5">
        <w:rPr>
          <w:bCs/>
          <w:sz w:val="22"/>
          <w:szCs w:val="22"/>
          <w:lang w:val="en-US"/>
        </w:rPr>
        <w:t xml:space="preserve"> </w:t>
      </w:r>
      <w:r w:rsidRPr="000140D5">
        <w:rPr>
          <w:bCs/>
          <w:sz w:val="22"/>
          <w:szCs w:val="22"/>
          <w:lang w:val="en-US"/>
        </w:rPr>
        <w:t>Foreign Currency Funds, 2007-2012 (1.000TL)</w:t>
      </w:r>
    </w:p>
    <w:tbl>
      <w:tblPr>
        <w:tblStyle w:val="AkGlgeleme"/>
        <w:tblW w:w="4258" w:type="pct"/>
        <w:jc w:val="center"/>
        <w:tblLook w:val="04A0" w:firstRow="1" w:lastRow="0" w:firstColumn="1" w:lastColumn="0" w:noHBand="0" w:noVBand="1"/>
      </w:tblPr>
      <w:tblGrid>
        <w:gridCol w:w="1985"/>
        <w:gridCol w:w="1328"/>
        <w:gridCol w:w="1016"/>
        <w:gridCol w:w="1039"/>
        <w:gridCol w:w="1094"/>
        <w:gridCol w:w="1205"/>
      </w:tblGrid>
      <w:tr w:rsidR="001B3496" w:rsidRPr="000140D5" w:rsidTr="0093409F">
        <w:trPr>
          <w:cnfStyle w:val="100000000000" w:firstRow="1" w:lastRow="0" w:firstColumn="0" w:lastColumn="0" w:oddVBand="0" w:evenVBand="0" w:oddHBand="0"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1350"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END OF YEAR</w:t>
            </w:r>
          </w:p>
        </w:tc>
        <w:tc>
          <w:tcPr>
            <w:tcW w:w="839"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ALBARAKA TÜRK</w:t>
            </w:r>
          </w:p>
        </w:tc>
        <w:tc>
          <w:tcPr>
            <w:tcW w:w="618"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BANK ASYA</w:t>
            </w:r>
          </w:p>
        </w:tc>
        <w:tc>
          <w:tcPr>
            <w:tcW w:w="649"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KUVEYT TÜRK</w:t>
            </w:r>
          </w:p>
        </w:tc>
        <w:tc>
          <w:tcPr>
            <w:tcW w:w="702"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TÜRKİYE FİNANS</w:t>
            </w:r>
          </w:p>
        </w:tc>
        <w:tc>
          <w:tcPr>
            <w:tcW w:w="841"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TOTAL SUM</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350"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Average 2007-2012</w:t>
            </w:r>
          </w:p>
        </w:tc>
        <w:tc>
          <w:tcPr>
            <w:tcW w:w="83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2.513.238</w:t>
            </w:r>
          </w:p>
        </w:tc>
        <w:tc>
          <w:tcPr>
            <w:tcW w:w="618"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3.686.636</w:t>
            </w:r>
          </w:p>
        </w:tc>
        <w:tc>
          <w:tcPr>
            <w:tcW w:w="64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3.248.656</w:t>
            </w:r>
          </w:p>
        </w:tc>
        <w:tc>
          <w:tcPr>
            <w:tcW w:w="702"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2.660.856</w:t>
            </w:r>
          </w:p>
        </w:tc>
        <w:tc>
          <w:tcPr>
            <w:tcW w:w="841"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12.109.385</w:t>
            </w:r>
          </w:p>
        </w:tc>
      </w:tr>
      <w:tr w:rsidR="001B3496" w:rsidRPr="000140D5" w:rsidTr="0093409F">
        <w:trPr>
          <w:trHeight w:val="210"/>
          <w:jc w:val="center"/>
        </w:trPr>
        <w:tc>
          <w:tcPr>
            <w:cnfStyle w:val="001000000000" w:firstRow="0" w:lastRow="0" w:firstColumn="1" w:lastColumn="0" w:oddVBand="0" w:evenVBand="0" w:oddHBand="0" w:evenHBand="0" w:firstRowFirstColumn="0" w:firstRowLastColumn="0" w:lastRowFirstColumn="0" w:lastRowLastColumn="0"/>
            <w:tcW w:w="1350"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2012</w:t>
            </w:r>
          </w:p>
        </w:tc>
        <w:tc>
          <w:tcPr>
            <w:tcW w:w="839"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3.689.446</w:t>
            </w:r>
          </w:p>
        </w:tc>
        <w:tc>
          <w:tcPr>
            <w:tcW w:w="618"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6.500.467</w:t>
            </w:r>
          </w:p>
        </w:tc>
        <w:tc>
          <w:tcPr>
            <w:tcW w:w="649"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5.986.513</w:t>
            </w:r>
          </w:p>
        </w:tc>
        <w:tc>
          <w:tcPr>
            <w:tcW w:w="702"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3.984.764</w:t>
            </w:r>
          </w:p>
        </w:tc>
        <w:tc>
          <w:tcPr>
            <w:tcW w:w="841"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20.161.190</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50"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2011</w:t>
            </w:r>
          </w:p>
        </w:tc>
        <w:tc>
          <w:tcPr>
            <w:tcW w:w="83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3.246.996</w:t>
            </w:r>
          </w:p>
        </w:tc>
        <w:tc>
          <w:tcPr>
            <w:tcW w:w="618"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4.583.580</w:t>
            </w:r>
          </w:p>
        </w:tc>
        <w:tc>
          <w:tcPr>
            <w:tcW w:w="64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4.702.970</w:t>
            </w:r>
          </w:p>
        </w:tc>
        <w:tc>
          <w:tcPr>
            <w:tcW w:w="702"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3.275.811</w:t>
            </w:r>
          </w:p>
        </w:tc>
        <w:tc>
          <w:tcPr>
            <w:tcW w:w="841"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15.809.357</w:t>
            </w:r>
          </w:p>
        </w:tc>
      </w:tr>
      <w:tr w:rsidR="001B3496" w:rsidRPr="000140D5" w:rsidTr="0093409F">
        <w:trPr>
          <w:trHeight w:val="225"/>
          <w:jc w:val="center"/>
        </w:trPr>
        <w:tc>
          <w:tcPr>
            <w:cnfStyle w:val="001000000000" w:firstRow="0" w:lastRow="0" w:firstColumn="1" w:lastColumn="0" w:oddVBand="0" w:evenVBand="0" w:oddHBand="0" w:evenHBand="0" w:firstRowFirstColumn="0" w:firstRowLastColumn="0" w:lastRowFirstColumn="0" w:lastRowLastColumn="0"/>
            <w:tcW w:w="1350"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2010</w:t>
            </w:r>
          </w:p>
        </w:tc>
        <w:tc>
          <w:tcPr>
            <w:tcW w:w="839"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2.522.656</w:t>
            </w:r>
          </w:p>
        </w:tc>
        <w:tc>
          <w:tcPr>
            <w:tcW w:w="618"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3.504.294</w:t>
            </w:r>
          </w:p>
        </w:tc>
        <w:tc>
          <w:tcPr>
            <w:tcW w:w="649"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2.885.347</w:t>
            </w:r>
          </w:p>
        </w:tc>
        <w:tc>
          <w:tcPr>
            <w:tcW w:w="702"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2.685.234</w:t>
            </w:r>
          </w:p>
        </w:tc>
        <w:tc>
          <w:tcPr>
            <w:tcW w:w="841"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11.597.531</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50"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2009</w:t>
            </w:r>
          </w:p>
        </w:tc>
        <w:tc>
          <w:tcPr>
            <w:tcW w:w="83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2.173.836</w:t>
            </w:r>
          </w:p>
        </w:tc>
        <w:tc>
          <w:tcPr>
            <w:tcW w:w="618"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3.156.753</w:t>
            </w:r>
          </w:p>
        </w:tc>
        <w:tc>
          <w:tcPr>
            <w:tcW w:w="64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2.370.842</w:t>
            </w:r>
          </w:p>
        </w:tc>
        <w:tc>
          <w:tcPr>
            <w:tcW w:w="702"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2.222.455</w:t>
            </w:r>
          </w:p>
        </w:tc>
        <w:tc>
          <w:tcPr>
            <w:tcW w:w="841"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9.923.886</w:t>
            </w:r>
          </w:p>
        </w:tc>
      </w:tr>
      <w:tr w:rsidR="001B3496" w:rsidRPr="000140D5" w:rsidTr="0093409F">
        <w:trPr>
          <w:trHeight w:val="225"/>
          <w:jc w:val="center"/>
        </w:trPr>
        <w:tc>
          <w:tcPr>
            <w:cnfStyle w:val="001000000000" w:firstRow="0" w:lastRow="0" w:firstColumn="1" w:lastColumn="0" w:oddVBand="0" w:evenVBand="0" w:oddHBand="0" w:evenHBand="0" w:firstRowFirstColumn="0" w:firstRowLastColumn="0" w:lastRowFirstColumn="0" w:lastRowLastColumn="0"/>
            <w:tcW w:w="1350"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2008</w:t>
            </w:r>
          </w:p>
        </w:tc>
        <w:tc>
          <w:tcPr>
            <w:tcW w:w="839"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1.955.493</w:t>
            </w:r>
          </w:p>
        </w:tc>
        <w:tc>
          <w:tcPr>
            <w:tcW w:w="618"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2.239.334</w:t>
            </w:r>
          </w:p>
        </w:tc>
        <w:tc>
          <w:tcPr>
            <w:tcW w:w="649"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1.957.958</w:t>
            </w:r>
          </w:p>
        </w:tc>
        <w:tc>
          <w:tcPr>
            <w:tcW w:w="702"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2.012.296</w:t>
            </w:r>
          </w:p>
        </w:tc>
        <w:tc>
          <w:tcPr>
            <w:tcW w:w="841"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8.165.081</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50"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2007</w:t>
            </w:r>
          </w:p>
        </w:tc>
        <w:tc>
          <w:tcPr>
            <w:tcW w:w="83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1.490.999</w:t>
            </w:r>
          </w:p>
        </w:tc>
        <w:tc>
          <w:tcPr>
            <w:tcW w:w="618"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2.135.387</w:t>
            </w:r>
          </w:p>
        </w:tc>
        <w:tc>
          <w:tcPr>
            <w:tcW w:w="64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1.588.305</w:t>
            </w:r>
          </w:p>
        </w:tc>
        <w:tc>
          <w:tcPr>
            <w:tcW w:w="702"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1.784.575</w:t>
            </w:r>
          </w:p>
        </w:tc>
        <w:tc>
          <w:tcPr>
            <w:tcW w:w="841"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6.999.266</w:t>
            </w:r>
          </w:p>
        </w:tc>
      </w:tr>
    </w:tbl>
    <w:p w:rsidR="000140D5" w:rsidRDefault="000140D5" w:rsidP="001B3496">
      <w:pPr>
        <w:spacing w:after="120"/>
        <w:jc w:val="center"/>
        <w:rPr>
          <w:b/>
          <w:bCs/>
          <w:sz w:val="22"/>
          <w:szCs w:val="22"/>
          <w:lang w:val="en-US"/>
        </w:rPr>
      </w:pPr>
    </w:p>
    <w:p w:rsidR="001B3496" w:rsidRDefault="000140D5" w:rsidP="001B3496">
      <w:pPr>
        <w:spacing w:after="120"/>
        <w:jc w:val="center"/>
        <w:rPr>
          <w:bCs/>
          <w:sz w:val="22"/>
          <w:szCs w:val="22"/>
          <w:lang w:val="en-US"/>
        </w:rPr>
      </w:pPr>
      <w:r w:rsidRPr="000140D5">
        <w:rPr>
          <w:bCs/>
          <w:sz w:val="22"/>
          <w:szCs w:val="22"/>
          <w:lang w:val="en-US"/>
        </w:rPr>
        <w:t>Table 5/b</w:t>
      </w:r>
      <w:r w:rsidR="001B3496" w:rsidRPr="000140D5">
        <w:rPr>
          <w:bCs/>
          <w:sz w:val="22"/>
          <w:szCs w:val="22"/>
          <w:lang w:val="en-US"/>
        </w:rPr>
        <w:t xml:space="preserve"> Increase Rate from Previous Year at Foreign Currency Funds, 2007-2012 (1.000TL)</w:t>
      </w:r>
    </w:p>
    <w:p w:rsidR="000140D5" w:rsidRPr="000140D5" w:rsidRDefault="000140D5" w:rsidP="001B3496">
      <w:pPr>
        <w:spacing w:after="120"/>
        <w:jc w:val="center"/>
        <w:rPr>
          <w:bCs/>
          <w:sz w:val="2"/>
          <w:szCs w:val="22"/>
          <w:lang w:val="en-US"/>
        </w:rPr>
      </w:pPr>
    </w:p>
    <w:tbl>
      <w:tblPr>
        <w:tblStyle w:val="AkGlgeleme"/>
        <w:tblW w:w="4487" w:type="pct"/>
        <w:jc w:val="center"/>
        <w:tblLook w:val="04A0" w:firstRow="1" w:lastRow="0" w:firstColumn="1" w:lastColumn="0" w:noHBand="0" w:noVBand="1"/>
      </w:tblPr>
      <w:tblGrid>
        <w:gridCol w:w="1676"/>
        <w:gridCol w:w="1328"/>
        <w:gridCol w:w="783"/>
        <w:gridCol w:w="1039"/>
        <w:gridCol w:w="1094"/>
        <w:gridCol w:w="2159"/>
      </w:tblGrid>
      <w:tr w:rsidR="001B3496" w:rsidRPr="000140D5" w:rsidTr="0093409F">
        <w:trPr>
          <w:cnfStyle w:val="100000000000" w:firstRow="1" w:lastRow="0" w:firstColumn="0" w:lastColumn="0" w:oddVBand="0" w:evenVBand="0" w:oddHBand="0" w:evenHBand="0" w:firstRowFirstColumn="0" w:firstRowLastColumn="0" w:lastRowFirstColumn="0" w:lastRowLastColumn="0"/>
          <w:trHeight w:val="415"/>
          <w:jc w:val="center"/>
        </w:trPr>
        <w:tc>
          <w:tcPr>
            <w:cnfStyle w:val="001000000000" w:firstRow="0" w:lastRow="0" w:firstColumn="1" w:lastColumn="0" w:oddVBand="0" w:evenVBand="0" w:oddHBand="0" w:evenHBand="0" w:firstRowFirstColumn="0" w:firstRowLastColumn="0" w:lastRowFirstColumn="0" w:lastRowLastColumn="0"/>
            <w:tcW w:w="1134"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END OF YEAR</w:t>
            </w:r>
          </w:p>
        </w:tc>
        <w:tc>
          <w:tcPr>
            <w:tcW w:w="755"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ALBARAKA TÜRK</w:t>
            </w:r>
          </w:p>
        </w:tc>
        <w:tc>
          <w:tcPr>
            <w:tcW w:w="441"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BANK ASYA</w:t>
            </w:r>
          </w:p>
        </w:tc>
        <w:tc>
          <w:tcPr>
            <w:tcW w:w="609"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KUVEYT TÜRK</w:t>
            </w:r>
          </w:p>
        </w:tc>
        <w:tc>
          <w:tcPr>
            <w:tcW w:w="629"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TÜRKİYE FİNANS</w:t>
            </w:r>
          </w:p>
        </w:tc>
        <w:tc>
          <w:tcPr>
            <w:tcW w:w="1433"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 xml:space="preserve">Increase Rate From </w:t>
            </w:r>
            <w:proofErr w:type="spellStart"/>
            <w:r w:rsidRPr="000140D5">
              <w:rPr>
                <w:b w:val="0"/>
                <w:bCs w:val="0"/>
                <w:sz w:val="20"/>
                <w:szCs w:val="20"/>
                <w:lang w:val="en-US"/>
              </w:rPr>
              <w:t>Prev.Year</w:t>
            </w:r>
            <w:proofErr w:type="spellEnd"/>
            <w:r w:rsidRPr="000140D5">
              <w:rPr>
                <w:b w:val="0"/>
                <w:bCs w:val="0"/>
                <w:sz w:val="20"/>
                <w:szCs w:val="20"/>
                <w:lang w:val="en-US"/>
              </w:rPr>
              <w:t xml:space="preserve"> Total Sum</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134"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Average 2007-2012</w:t>
            </w:r>
          </w:p>
        </w:tc>
        <w:tc>
          <w:tcPr>
            <w:tcW w:w="75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21%</w:t>
            </w:r>
          </w:p>
        </w:tc>
        <w:tc>
          <w:tcPr>
            <w:tcW w:w="441"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28%</w:t>
            </w:r>
          </w:p>
        </w:tc>
        <w:tc>
          <w:tcPr>
            <w:tcW w:w="60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28%</w:t>
            </w:r>
          </w:p>
        </w:tc>
        <w:tc>
          <w:tcPr>
            <w:tcW w:w="62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15%</w:t>
            </w:r>
          </w:p>
        </w:tc>
        <w:tc>
          <w:tcPr>
            <w:tcW w:w="1433"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23%</w:t>
            </w:r>
          </w:p>
        </w:tc>
      </w:tr>
      <w:tr w:rsidR="001B3496" w:rsidRPr="000140D5" w:rsidTr="0093409F">
        <w:trPr>
          <w:trHeight w:val="210"/>
          <w:jc w:val="center"/>
        </w:trPr>
        <w:tc>
          <w:tcPr>
            <w:cnfStyle w:val="001000000000" w:firstRow="0" w:lastRow="0" w:firstColumn="1" w:lastColumn="0" w:oddVBand="0" w:evenVBand="0" w:oddHBand="0" w:evenHBand="0" w:firstRowFirstColumn="0" w:firstRowLastColumn="0" w:lastRowFirstColumn="0" w:lastRowLastColumn="0"/>
            <w:tcW w:w="1134"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2012</w:t>
            </w:r>
          </w:p>
        </w:tc>
        <w:tc>
          <w:tcPr>
            <w:tcW w:w="755"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14%</w:t>
            </w:r>
          </w:p>
        </w:tc>
        <w:tc>
          <w:tcPr>
            <w:tcW w:w="441"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42%</w:t>
            </w:r>
          </w:p>
        </w:tc>
        <w:tc>
          <w:tcPr>
            <w:tcW w:w="609"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27%</w:t>
            </w:r>
          </w:p>
        </w:tc>
        <w:tc>
          <w:tcPr>
            <w:tcW w:w="629"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22%</w:t>
            </w:r>
          </w:p>
        </w:tc>
        <w:tc>
          <w:tcPr>
            <w:tcW w:w="1433"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28%</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134"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2011</w:t>
            </w:r>
          </w:p>
        </w:tc>
        <w:tc>
          <w:tcPr>
            <w:tcW w:w="75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29%</w:t>
            </w:r>
          </w:p>
        </w:tc>
        <w:tc>
          <w:tcPr>
            <w:tcW w:w="441"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31%</w:t>
            </w:r>
          </w:p>
        </w:tc>
        <w:tc>
          <w:tcPr>
            <w:tcW w:w="60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63%</w:t>
            </w:r>
          </w:p>
        </w:tc>
        <w:tc>
          <w:tcPr>
            <w:tcW w:w="62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22%</w:t>
            </w:r>
          </w:p>
        </w:tc>
        <w:tc>
          <w:tcPr>
            <w:tcW w:w="1433"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36%</w:t>
            </w:r>
          </w:p>
        </w:tc>
      </w:tr>
      <w:tr w:rsidR="001B3496" w:rsidRPr="000140D5" w:rsidTr="0093409F">
        <w:trPr>
          <w:trHeight w:val="225"/>
          <w:jc w:val="center"/>
        </w:trPr>
        <w:tc>
          <w:tcPr>
            <w:cnfStyle w:val="001000000000" w:firstRow="0" w:lastRow="0" w:firstColumn="1" w:lastColumn="0" w:oddVBand="0" w:evenVBand="0" w:oddHBand="0" w:evenHBand="0" w:firstRowFirstColumn="0" w:firstRowLastColumn="0" w:lastRowFirstColumn="0" w:lastRowLastColumn="0"/>
            <w:tcW w:w="1134"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2010</w:t>
            </w:r>
          </w:p>
        </w:tc>
        <w:tc>
          <w:tcPr>
            <w:tcW w:w="755"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16%</w:t>
            </w:r>
          </w:p>
        </w:tc>
        <w:tc>
          <w:tcPr>
            <w:tcW w:w="441"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11%</w:t>
            </w:r>
          </w:p>
        </w:tc>
        <w:tc>
          <w:tcPr>
            <w:tcW w:w="609"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22%</w:t>
            </w:r>
          </w:p>
        </w:tc>
        <w:tc>
          <w:tcPr>
            <w:tcW w:w="629"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21%</w:t>
            </w:r>
          </w:p>
        </w:tc>
        <w:tc>
          <w:tcPr>
            <w:tcW w:w="1433"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bCs/>
                <w:sz w:val="20"/>
                <w:szCs w:val="20"/>
                <w:lang w:val="en-US"/>
              </w:rPr>
            </w:pPr>
            <w:r w:rsidRPr="000140D5">
              <w:rPr>
                <w:bCs/>
                <w:sz w:val="20"/>
                <w:szCs w:val="20"/>
                <w:lang w:val="en-US"/>
              </w:rPr>
              <w:t>17%</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134"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2009</w:t>
            </w:r>
          </w:p>
        </w:tc>
        <w:tc>
          <w:tcPr>
            <w:tcW w:w="75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11%</w:t>
            </w:r>
          </w:p>
        </w:tc>
        <w:tc>
          <w:tcPr>
            <w:tcW w:w="441"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41%</w:t>
            </w:r>
          </w:p>
        </w:tc>
        <w:tc>
          <w:tcPr>
            <w:tcW w:w="60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21%</w:t>
            </w:r>
          </w:p>
        </w:tc>
        <w:tc>
          <w:tcPr>
            <w:tcW w:w="62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10%</w:t>
            </w:r>
          </w:p>
        </w:tc>
        <w:tc>
          <w:tcPr>
            <w:tcW w:w="1433"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22%</w:t>
            </w:r>
          </w:p>
        </w:tc>
      </w:tr>
      <w:tr w:rsidR="001B3496" w:rsidRPr="000140D5" w:rsidTr="0093409F">
        <w:trPr>
          <w:trHeight w:val="225"/>
          <w:jc w:val="center"/>
        </w:trPr>
        <w:tc>
          <w:tcPr>
            <w:cnfStyle w:val="001000000000" w:firstRow="0" w:lastRow="0" w:firstColumn="1" w:lastColumn="0" w:oddVBand="0" w:evenVBand="0" w:oddHBand="0" w:evenHBand="0" w:firstRowFirstColumn="0" w:firstRowLastColumn="0" w:lastRowFirstColumn="0" w:lastRowLastColumn="0"/>
            <w:tcW w:w="1134"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2008</w:t>
            </w:r>
          </w:p>
        </w:tc>
        <w:tc>
          <w:tcPr>
            <w:tcW w:w="755"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31%</w:t>
            </w:r>
          </w:p>
        </w:tc>
        <w:tc>
          <w:tcPr>
            <w:tcW w:w="441"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5%</w:t>
            </w:r>
          </w:p>
        </w:tc>
        <w:tc>
          <w:tcPr>
            <w:tcW w:w="609"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23%</w:t>
            </w:r>
          </w:p>
        </w:tc>
        <w:tc>
          <w:tcPr>
            <w:tcW w:w="629"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13%</w:t>
            </w:r>
          </w:p>
        </w:tc>
        <w:tc>
          <w:tcPr>
            <w:tcW w:w="1433"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bCs/>
                <w:sz w:val="20"/>
                <w:szCs w:val="20"/>
                <w:lang w:val="en-US"/>
              </w:rPr>
            </w:pPr>
            <w:r w:rsidRPr="000140D5">
              <w:rPr>
                <w:bCs/>
                <w:sz w:val="20"/>
                <w:szCs w:val="20"/>
                <w:lang w:val="en-US"/>
              </w:rPr>
              <w:t>17%</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134"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2007</w:t>
            </w:r>
          </w:p>
        </w:tc>
        <w:tc>
          <w:tcPr>
            <w:tcW w:w="75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23%</w:t>
            </w:r>
          </w:p>
        </w:tc>
        <w:tc>
          <w:tcPr>
            <w:tcW w:w="441"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37%</w:t>
            </w:r>
          </w:p>
        </w:tc>
        <w:tc>
          <w:tcPr>
            <w:tcW w:w="60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9%</w:t>
            </w:r>
          </w:p>
        </w:tc>
        <w:tc>
          <w:tcPr>
            <w:tcW w:w="629"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2%</w:t>
            </w:r>
          </w:p>
        </w:tc>
        <w:tc>
          <w:tcPr>
            <w:tcW w:w="1433"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17%</w:t>
            </w:r>
          </w:p>
        </w:tc>
      </w:tr>
    </w:tbl>
    <w:p w:rsidR="001B3496" w:rsidRPr="000140D5" w:rsidRDefault="001B3496" w:rsidP="001B3496">
      <w:pPr>
        <w:pStyle w:val="AralkYok"/>
        <w:rPr>
          <w:rFonts w:ascii="Times New Roman" w:hAnsi="Times New Roman"/>
          <w:sz w:val="20"/>
        </w:rPr>
      </w:pPr>
      <w:r w:rsidRPr="000140D5">
        <w:rPr>
          <w:rFonts w:ascii="Times New Roman" w:hAnsi="Times New Roman"/>
          <w:sz w:val="20"/>
        </w:rPr>
        <w:t>Source: Collected from data provided by (BAT, The Bank Association of Turkey, 2011) (BAT, The Bank Association of Turkey, 2012-13) (PBAT, The Participation Banks Association of Turkey, 2012-13).</w:t>
      </w:r>
    </w:p>
    <w:p w:rsidR="000140D5" w:rsidRPr="000140D5" w:rsidRDefault="000140D5" w:rsidP="001B3496">
      <w:pPr>
        <w:pStyle w:val="AralkYok"/>
        <w:rPr>
          <w:sz w:val="20"/>
        </w:rPr>
      </w:pPr>
    </w:p>
    <w:p w:rsidR="001B3496" w:rsidRDefault="001B3496" w:rsidP="000140D5">
      <w:pPr>
        <w:pStyle w:val="AralkYok"/>
        <w:jc w:val="both"/>
        <w:rPr>
          <w:rFonts w:ascii="Times New Roman" w:hAnsi="Times New Roman"/>
          <w:sz w:val="24"/>
        </w:rPr>
      </w:pPr>
      <w:r w:rsidRPr="000140D5">
        <w:rPr>
          <w:rFonts w:ascii="Times New Roman" w:hAnsi="Times New Roman"/>
          <w:sz w:val="24"/>
        </w:rPr>
        <w:t xml:space="preserve">The case in foreign currency funds is some different. Among participation banks, Bank </w:t>
      </w:r>
      <w:proofErr w:type="spellStart"/>
      <w:r w:rsidRPr="000140D5">
        <w:rPr>
          <w:rFonts w:ascii="Times New Roman" w:hAnsi="Times New Roman"/>
          <w:sz w:val="24"/>
        </w:rPr>
        <w:t>Asya</w:t>
      </w:r>
      <w:proofErr w:type="spellEnd"/>
      <w:r w:rsidRPr="000140D5">
        <w:rPr>
          <w:rFonts w:ascii="Times New Roman" w:hAnsi="Times New Roman"/>
          <w:sz w:val="24"/>
        </w:rPr>
        <w:t xml:space="preserve"> has the biggest fund and the highest increase of performance of foreign currency in 2012. </w:t>
      </w:r>
      <w:proofErr w:type="spellStart"/>
      <w:r w:rsidRPr="000140D5">
        <w:rPr>
          <w:rFonts w:ascii="Times New Roman" w:hAnsi="Times New Roman"/>
          <w:sz w:val="24"/>
        </w:rPr>
        <w:t>Kuveyt</w:t>
      </w:r>
      <w:proofErr w:type="spellEnd"/>
      <w:r w:rsidRPr="000140D5">
        <w:rPr>
          <w:rFonts w:ascii="Times New Roman" w:hAnsi="Times New Roman"/>
          <w:sz w:val="24"/>
        </w:rPr>
        <w:t xml:space="preserve"> </w:t>
      </w:r>
      <w:proofErr w:type="spellStart"/>
      <w:r w:rsidRPr="000140D5">
        <w:rPr>
          <w:rFonts w:ascii="Times New Roman" w:hAnsi="Times New Roman"/>
          <w:sz w:val="24"/>
        </w:rPr>
        <w:t>Türk</w:t>
      </w:r>
      <w:proofErr w:type="spellEnd"/>
      <w:r w:rsidRPr="000140D5">
        <w:rPr>
          <w:rFonts w:ascii="Times New Roman" w:hAnsi="Times New Roman"/>
          <w:sz w:val="24"/>
        </w:rPr>
        <w:t xml:space="preserve"> and Bank </w:t>
      </w:r>
      <w:proofErr w:type="spellStart"/>
      <w:r w:rsidRPr="000140D5">
        <w:rPr>
          <w:rFonts w:ascii="Times New Roman" w:hAnsi="Times New Roman"/>
          <w:sz w:val="24"/>
        </w:rPr>
        <w:t>Asya</w:t>
      </w:r>
      <w:proofErr w:type="spellEnd"/>
      <w:r w:rsidRPr="000140D5">
        <w:rPr>
          <w:rFonts w:ascii="Times New Roman" w:hAnsi="Times New Roman"/>
          <w:sz w:val="24"/>
        </w:rPr>
        <w:t xml:space="preserve"> have the highest average growing rate in the foreign funds. The second participant bank is </w:t>
      </w:r>
      <w:proofErr w:type="spellStart"/>
      <w:r w:rsidRPr="000140D5">
        <w:rPr>
          <w:rFonts w:ascii="Times New Roman" w:hAnsi="Times New Roman"/>
          <w:sz w:val="24"/>
        </w:rPr>
        <w:t>Kuveyt</w:t>
      </w:r>
      <w:proofErr w:type="spellEnd"/>
      <w:r w:rsidRPr="000140D5">
        <w:rPr>
          <w:rFonts w:ascii="Times New Roman" w:hAnsi="Times New Roman"/>
          <w:sz w:val="24"/>
        </w:rPr>
        <w:t xml:space="preserve"> </w:t>
      </w:r>
      <w:proofErr w:type="spellStart"/>
      <w:r w:rsidRPr="000140D5">
        <w:rPr>
          <w:rFonts w:ascii="Times New Roman" w:hAnsi="Times New Roman"/>
          <w:sz w:val="24"/>
        </w:rPr>
        <w:t>Türk</w:t>
      </w:r>
      <w:proofErr w:type="spellEnd"/>
      <w:r w:rsidRPr="000140D5">
        <w:rPr>
          <w:rFonts w:ascii="Times New Roman" w:hAnsi="Times New Roman"/>
          <w:sz w:val="24"/>
        </w:rPr>
        <w:t xml:space="preserve">. As of the end of 2012, </w:t>
      </w:r>
      <w:proofErr w:type="gramStart"/>
      <w:r w:rsidRPr="000140D5">
        <w:rPr>
          <w:rFonts w:ascii="Times New Roman" w:hAnsi="Times New Roman"/>
          <w:sz w:val="24"/>
        </w:rPr>
        <w:t>Foreign</w:t>
      </w:r>
      <w:proofErr w:type="gramEnd"/>
      <w:r w:rsidRPr="000140D5">
        <w:rPr>
          <w:rFonts w:ascii="Times New Roman" w:hAnsi="Times New Roman"/>
          <w:sz w:val="24"/>
        </w:rPr>
        <w:t xml:space="preserve"> currency deposits of participation banks reached to approximately 20 billion Turkish Liras after an increase of 188 % compared to the end of 2007. </w:t>
      </w:r>
    </w:p>
    <w:p w:rsidR="000140D5" w:rsidRDefault="000140D5" w:rsidP="000140D5">
      <w:pPr>
        <w:pStyle w:val="Balk2"/>
        <w:numPr>
          <w:ilvl w:val="0"/>
          <w:numId w:val="0"/>
        </w:numPr>
        <w:rPr>
          <w:b w:val="0"/>
          <w:sz w:val="24"/>
          <w:lang w:eastAsia="ar-SA"/>
        </w:rPr>
      </w:pPr>
    </w:p>
    <w:p w:rsidR="001B3496" w:rsidRPr="000140D5" w:rsidRDefault="001B3496" w:rsidP="000140D5">
      <w:pPr>
        <w:pStyle w:val="Balk2"/>
        <w:numPr>
          <w:ilvl w:val="0"/>
          <w:numId w:val="0"/>
        </w:numPr>
        <w:rPr>
          <w:sz w:val="24"/>
        </w:rPr>
      </w:pPr>
      <w:r w:rsidRPr="000140D5">
        <w:rPr>
          <w:sz w:val="24"/>
        </w:rPr>
        <w:t>Total Funds Collected, 2007-2012</w:t>
      </w:r>
    </w:p>
    <w:p w:rsidR="001B3496" w:rsidRDefault="001B3496" w:rsidP="000140D5">
      <w:pPr>
        <w:pStyle w:val="AralkYok"/>
        <w:jc w:val="both"/>
        <w:rPr>
          <w:rFonts w:ascii="Times New Roman" w:hAnsi="Times New Roman"/>
          <w:sz w:val="24"/>
        </w:rPr>
      </w:pPr>
      <w:r w:rsidRPr="000140D5">
        <w:rPr>
          <w:rFonts w:ascii="Times New Roman" w:hAnsi="Times New Roman"/>
          <w:sz w:val="24"/>
        </w:rPr>
        <w:t xml:space="preserve">Bank </w:t>
      </w:r>
      <w:proofErr w:type="spellStart"/>
      <w:r w:rsidRPr="000140D5">
        <w:rPr>
          <w:rFonts w:ascii="Times New Roman" w:hAnsi="Times New Roman"/>
          <w:sz w:val="24"/>
        </w:rPr>
        <w:t>Asya</w:t>
      </w:r>
      <w:proofErr w:type="spellEnd"/>
      <w:r w:rsidRPr="000140D5">
        <w:rPr>
          <w:rFonts w:ascii="Times New Roman" w:hAnsi="Times New Roman"/>
          <w:sz w:val="24"/>
        </w:rPr>
        <w:t xml:space="preserve"> is the leading participation bank with an amount of 15.7 billion Turkish Lira; In terms of total funds collected as the end of 2012. </w:t>
      </w:r>
      <w:proofErr w:type="spellStart"/>
      <w:r w:rsidRPr="000140D5">
        <w:rPr>
          <w:rFonts w:ascii="Times New Roman" w:hAnsi="Times New Roman"/>
          <w:sz w:val="24"/>
        </w:rPr>
        <w:t>Kuveyt</w:t>
      </w:r>
      <w:proofErr w:type="spellEnd"/>
      <w:r w:rsidRPr="000140D5">
        <w:rPr>
          <w:rFonts w:ascii="Times New Roman" w:hAnsi="Times New Roman"/>
          <w:sz w:val="24"/>
        </w:rPr>
        <w:t xml:space="preserve"> </w:t>
      </w:r>
      <w:proofErr w:type="spellStart"/>
      <w:r w:rsidRPr="000140D5">
        <w:rPr>
          <w:rFonts w:ascii="Times New Roman" w:hAnsi="Times New Roman"/>
          <w:sz w:val="24"/>
        </w:rPr>
        <w:t>Türk</w:t>
      </w:r>
      <w:proofErr w:type="spellEnd"/>
      <w:r w:rsidRPr="000140D5">
        <w:rPr>
          <w:rFonts w:ascii="Times New Roman" w:hAnsi="Times New Roman"/>
          <w:sz w:val="24"/>
        </w:rPr>
        <w:t xml:space="preserve">, </w:t>
      </w:r>
      <w:proofErr w:type="spellStart"/>
      <w:r w:rsidRPr="000140D5">
        <w:rPr>
          <w:rFonts w:ascii="Times New Roman" w:hAnsi="Times New Roman"/>
          <w:sz w:val="24"/>
        </w:rPr>
        <w:t>Türkiye</w:t>
      </w:r>
      <w:proofErr w:type="spellEnd"/>
      <w:r w:rsidRPr="000140D5">
        <w:rPr>
          <w:rFonts w:ascii="Times New Roman" w:hAnsi="Times New Roman"/>
          <w:sz w:val="24"/>
        </w:rPr>
        <w:t xml:space="preserve"> </w:t>
      </w:r>
      <w:proofErr w:type="spellStart"/>
      <w:r w:rsidRPr="000140D5">
        <w:rPr>
          <w:rFonts w:ascii="Times New Roman" w:hAnsi="Times New Roman"/>
          <w:sz w:val="24"/>
        </w:rPr>
        <w:t>Finans</w:t>
      </w:r>
      <w:proofErr w:type="spellEnd"/>
      <w:r w:rsidRPr="000140D5">
        <w:rPr>
          <w:rFonts w:ascii="Times New Roman" w:hAnsi="Times New Roman"/>
          <w:sz w:val="24"/>
        </w:rPr>
        <w:t xml:space="preserve"> and </w:t>
      </w:r>
      <w:proofErr w:type="spellStart"/>
      <w:r w:rsidRPr="000140D5">
        <w:rPr>
          <w:rFonts w:ascii="Times New Roman" w:hAnsi="Times New Roman"/>
          <w:sz w:val="24"/>
        </w:rPr>
        <w:t>Albaraka</w:t>
      </w:r>
      <w:proofErr w:type="spellEnd"/>
      <w:r w:rsidRPr="000140D5">
        <w:rPr>
          <w:rFonts w:ascii="Times New Roman" w:hAnsi="Times New Roman"/>
          <w:sz w:val="24"/>
        </w:rPr>
        <w:t xml:space="preserve"> </w:t>
      </w:r>
      <w:proofErr w:type="spellStart"/>
      <w:r w:rsidRPr="000140D5">
        <w:rPr>
          <w:rFonts w:ascii="Times New Roman" w:hAnsi="Times New Roman"/>
          <w:sz w:val="24"/>
        </w:rPr>
        <w:t>Türk</w:t>
      </w:r>
      <w:proofErr w:type="spellEnd"/>
      <w:r w:rsidRPr="000140D5">
        <w:rPr>
          <w:rFonts w:ascii="Times New Roman" w:hAnsi="Times New Roman"/>
          <w:sz w:val="24"/>
        </w:rPr>
        <w:t xml:space="preserve"> follow Bank </w:t>
      </w:r>
      <w:proofErr w:type="spellStart"/>
      <w:r w:rsidRPr="000140D5">
        <w:rPr>
          <w:rFonts w:ascii="Times New Roman" w:hAnsi="Times New Roman"/>
          <w:sz w:val="24"/>
        </w:rPr>
        <w:t>Asya</w:t>
      </w:r>
      <w:proofErr w:type="spellEnd"/>
      <w:r w:rsidRPr="000140D5">
        <w:rPr>
          <w:rFonts w:ascii="Times New Roman" w:hAnsi="Times New Roman"/>
          <w:sz w:val="24"/>
        </w:rPr>
        <w:t xml:space="preserve"> respectively. As of the end of 2012, total funds collected by participation banks reached to approximately 49 billion Turkish Lira, after an increase of 229 % compared to the end of 2007. Figures of deposit banks and participation banks are shown below which facilitates to make a comparative analysis between them. </w:t>
      </w:r>
    </w:p>
    <w:p w:rsidR="000140D5" w:rsidRPr="000140D5" w:rsidRDefault="000140D5" w:rsidP="000140D5">
      <w:pPr>
        <w:pStyle w:val="AralkYok"/>
        <w:jc w:val="both"/>
        <w:rPr>
          <w:rFonts w:ascii="Times New Roman" w:hAnsi="Times New Roman"/>
          <w:sz w:val="24"/>
        </w:rPr>
      </w:pPr>
    </w:p>
    <w:p w:rsidR="001B3496" w:rsidRPr="000140D5" w:rsidRDefault="000140D5" w:rsidP="001B3496">
      <w:pPr>
        <w:spacing w:after="120"/>
        <w:jc w:val="center"/>
        <w:rPr>
          <w:bCs/>
          <w:sz w:val="22"/>
          <w:szCs w:val="22"/>
          <w:lang w:val="en-US"/>
        </w:rPr>
      </w:pPr>
      <w:r>
        <w:rPr>
          <w:bCs/>
          <w:sz w:val="22"/>
          <w:szCs w:val="22"/>
          <w:lang w:val="en-US"/>
        </w:rPr>
        <w:t>Table 6</w:t>
      </w:r>
      <w:r w:rsidR="001B3496" w:rsidRPr="000140D5">
        <w:rPr>
          <w:bCs/>
          <w:sz w:val="22"/>
          <w:szCs w:val="22"/>
          <w:lang w:val="en-US"/>
        </w:rPr>
        <w:t xml:space="preserve"> Total Funds Collected, 2007-2012 (1000TL)</w:t>
      </w:r>
    </w:p>
    <w:tbl>
      <w:tblPr>
        <w:tblStyle w:val="AkGlgeleme"/>
        <w:tblW w:w="4303" w:type="pct"/>
        <w:jc w:val="center"/>
        <w:tblLook w:val="04A0" w:firstRow="1" w:lastRow="0" w:firstColumn="1" w:lastColumn="0" w:noHBand="0" w:noVBand="1"/>
      </w:tblPr>
      <w:tblGrid>
        <w:gridCol w:w="1952"/>
        <w:gridCol w:w="1328"/>
        <w:gridCol w:w="1116"/>
        <w:gridCol w:w="1116"/>
        <w:gridCol w:w="1116"/>
        <w:gridCol w:w="1120"/>
      </w:tblGrid>
      <w:tr w:rsidR="001B3496" w:rsidRPr="000140D5" w:rsidTr="0093409F">
        <w:trPr>
          <w:cnfStyle w:val="100000000000" w:firstRow="1" w:lastRow="0" w:firstColumn="0" w:lastColumn="0" w:oddVBand="0" w:evenVBand="0" w:oddHBand="0" w:evenHBand="0" w:firstRowFirstColumn="0" w:firstRowLastColumn="0" w:lastRowFirstColumn="0" w:lastRowLastColumn="0"/>
          <w:trHeight w:val="399"/>
          <w:jc w:val="center"/>
        </w:trPr>
        <w:tc>
          <w:tcPr>
            <w:cnfStyle w:val="001000000000" w:firstRow="0" w:lastRow="0" w:firstColumn="1" w:lastColumn="0" w:oddVBand="0" w:evenVBand="0" w:oddHBand="0" w:evenHBand="0" w:firstRowFirstColumn="0" w:firstRowLastColumn="0" w:lastRowFirstColumn="0" w:lastRowLastColumn="0"/>
            <w:tcW w:w="1393"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END OF YEAR</w:t>
            </w:r>
          </w:p>
        </w:tc>
        <w:tc>
          <w:tcPr>
            <w:tcW w:w="823"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ALBARAKA TÜRK</w:t>
            </w:r>
          </w:p>
        </w:tc>
        <w:tc>
          <w:tcPr>
            <w:tcW w:w="637"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BANK ASYA</w:t>
            </w:r>
          </w:p>
        </w:tc>
        <w:tc>
          <w:tcPr>
            <w:tcW w:w="635"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KUVEYT TÜRK</w:t>
            </w:r>
          </w:p>
        </w:tc>
        <w:tc>
          <w:tcPr>
            <w:tcW w:w="655"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TÜRKİYE FİNANS</w:t>
            </w:r>
          </w:p>
        </w:tc>
        <w:tc>
          <w:tcPr>
            <w:tcW w:w="856"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TOTAL SUM</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393"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Average 2007-2012</w:t>
            </w:r>
          </w:p>
        </w:tc>
        <w:tc>
          <w:tcPr>
            <w:tcW w:w="823"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6.099.870</w:t>
            </w:r>
          </w:p>
        </w:tc>
        <w:tc>
          <w:tcPr>
            <w:tcW w:w="637"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9.830.439</w:t>
            </w:r>
          </w:p>
        </w:tc>
        <w:tc>
          <w:tcPr>
            <w:tcW w:w="63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7.068.463</w:t>
            </w:r>
          </w:p>
        </w:tc>
        <w:tc>
          <w:tcPr>
            <w:tcW w:w="65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7.641.757</w:t>
            </w:r>
          </w:p>
        </w:tc>
        <w:tc>
          <w:tcPr>
            <w:tcW w:w="856"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30.640.528</w:t>
            </w:r>
          </w:p>
        </w:tc>
      </w:tr>
      <w:tr w:rsidR="001B3496" w:rsidRPr="000140D5" w:rsidTr="0093409F">
        <w:trPr>
          <w:trHeight w:val="210"/>
          <w:jc w:val="center"/>
        </w:trPr>
        <w:tc>
          <w:tcPr>
            <w:cnfStyle w:val="001000000000" w:firstRow="0" w:lastRow="0" w:firstColumn="1" w:lastColumn="0" w:oddVBand="0" w:evenVBand="0" w:oddHBand="0" w:evenHBand="0" w:firstRowFirstColumn="0" w:firstRowLastColumn="0" w:lastRowFirstColumn="0" w:lastRowLastColumn="0"/>
            <w:tcW w:w="1393"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2012</w:t>
            </w:r>
          </w:p>
        </w:tc>
        <w:tc>
          <w:tcPr>
            <w:tcW w:w="823"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9.225.018</w:t>
            </w:r>
          </w:p>
        </w:tc>
        <w:tc>
          <w:tcPr>
            <w:tcW w:w="637"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15.741.858</w:t>
            </w:r>
          </w:p>
        </w:tc>
        <w:tc>
          <w:tcPr>
            <w:tcW w:w="635"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12.755.043</w:t>
            </w:r>
          </w:p>
        </w:tc>
        <w:tc>
          <w:tcPr>
            <w:tcW w:w="655"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11.429.536</w:t>
            </w:r>
          </w:p>
        </w:tc>
        <w:tc>
          <w:tcPr>
            <w:tcW w:w="856"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49.151.455</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93"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2011</w:t>
            </w:r>
          </w:p>
        </w:tc>
        <w:tc>
          <w:tcPr>
            <w:tcW w:w="823"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8.044.747</w:t>
            </w:r>
          </w:p>
        </w:tc>
        <w:tc>
          <w:tcPr>
            <w:tcW w:w="637"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12.397.043</w:t>
            </w:r>
          </w:p>
        </w:tc>
        <w:tc>
          <w:tcPr>
            <w:tcW w:w="63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9.918.327</w:t>
            </w:r>
          </w:p>
        </w:tc>
        <w:tc>
          <w:tcPr>
            <w:tcW w:w="65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9.509.165</w:t>
            </w:r>
          </w:p>
        </w:tc>
        <w:tc>
          <w:tcPr>
            <w:tcW w:w="856"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39.869.282</w:t>
            </w:r>
          </w:p>
        </w:tc>
      </w:tr>
      <w:tr w:rsidR="001B3496" w:rsidRPr="000140D5" w:rsidTr="0093409F">
        <w:trPr>
          <w:trHeight w:val="225"/>
          <w:jc w:val="center"/>
        </w:trPr>
        <w:tc>
          <w:tcPr>
            <w:cnfStyle w:val="001000000000" w:firstRow="0" w:lastRow="0" w:firstColumn="1" w:lastColumn="0" w:oddVBand="0" w:evenVBand="0" w:oddHBand="0" w:evenHBand="0" w:firstRowFirstColumn="0" w:firstRowLastColumn="0" w:lastRowFirstColumn="0" w:lastRowLastColumn="0"/>
            <w:tcW w:w="1393"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2010</w:t>
            </w:r>
          </w:p>
        </w:tc>
        <w:tc>
          <w:tcPr>
            <w:tcW w:w="823"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6.881.590</w:t>
            </w:r>
          </w:p>
        </w:tc>
        <w:tc>
          <w:tcPr>
            <w:tcW w:w="637"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11.166.582</w:t>
            </w:r>
          </w:p>
        </w:tc>
        <w:tc>
          <w:tcPr>
            <w:tcW w:w="635"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7.381.473</w:t>
            </w:r>
          </w:p>
        </w:tc>
        <w:tc>
          <w:tcPr>
            <w:tcW w:w="655"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8.397.896</w:t>
            </w:r>
          </w:p>
        </w:tc>
        <w:tc>
          <w:tcPr>
            <w:tcW w:w="856"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33.827.541</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93"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2009</w:t>
            </w:r>
          </w:p>
        </w:tc>
        <w:tc>
          <w:tcPr>
            <w:tcW w:w="823"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5.464.645</w:t>
            </w:r>
          </w:p>
        </w:tc>
        <w:tc>
          <w:tcPr>
            <w:tcW w:w="637"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9.136.578</w:t>
            </w:r>
          </w:p>
        </w:tc>
        <w:tc>
          <w:tcPr>
            <w:tcW w:w="63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5.358.257</w:t>
            </w:r>
          </w:p>
        </w:tc>
        <w:tc>
          <w:tcPr>
            <w:tcW w:w="65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6.882.490</w:t>
            </w:r>
          </w:p>
        </w:tc>
        <w:tc>
          <w:tcPr>
            <w:tcW w:w="856"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26.841.970</w:t>
            </w:r>
          </w:p>
        </w:tc>
      </w:tr>
      <w:tr w:rsidR="001B3496" w:rsidRPr="000140D5" w:rsidTr="0093409F">
        <w:trPr>
          <w:trHeight w:val="225"/>
          <w:jc w:val="center"/>
        </w:trPr>
        <w:tc>
          <w:tcPr>
            <w:cnfStyle w:val="001000000000" w:firstRow="0" w:lastRow="0" w:firstColumn="1" w:lastColumn="0" w:oddVBand="0" w:evenVBand="0" w:oddHBand="0" w:evenHBand="0" w:firstRowFirstColumn="0" w:firstRowLastColumn="0" w:lastRowFirstColumn="0" w:lastRowLastColumn="0"/>
            <w:tcW w:w="1393"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2008</w:t>
            </w:r>
          </w:p>
        </w:tc>
        <w:tc>
          <w:tcPr>
            <w:tcW w:w="823"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3.985.110</w:t>
            </w:r>
          </w:p>
        </w:tc>
        <w:tc>
          <w:tcPr>
            <w:tcW w:w="637"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5.842.821</w:t>
            </w:r>
          </w:p>
        </w:tc>
        <w:tc>
          <w:tcPr>
            <w:tcW w:w="635"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4.069.372</w:t>
            </w:r>
          </w:p>
        </w:tc>
        <w:tc>
          <w:tcPr>
            <w:tcW w:w="655"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5.312.548</w:t>
            </w:r>
          </w:p>
        </w:tc>
        <w:tc>
          <w:tcPr>
            <w:tcW w:w="856"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19.209.851</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93"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2007</w:t>
            </w:r>
          </w:p>
        </w:tc>
        <w:tc>
          <w:tcPr>
            <w:tcW w:w="823"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2.998.108</w:t>
            </w:r>
          </w:p>
        </w:tc>
        <w:tc>
          <w:tcPr>
            <w:tcW w:w="637"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4.697.750</w:t>
            </w:r>
          </w:p>
        </w:tc>
        <w:tc>
          <w:tcPr>
            <w:tcW w:w="63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2.928.308</w:t>
            </w:r>
          </w:p>
        </w:tc>
        <w:tc>
          <w:tcPr>
            <w:tcW w:w="655"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4.318.905</w:t>
            </w:r>
          </w:p>
        </w:tc>
        <w:tc>
          <w:tcPr>
            <w:tcW w:w="856"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14.943.071</w:t>
            </w:r>
          </w:p>
        </w:tc>
      </w:tr>
    </w:tbl>
    <w:p w:rsidR="000140D5" w:rsidRDefault="000140D5" w:rsidP="001B3496">
      <w:pPr>
        <w:spacing w:after="120"/>
        <w:jc w:val="center"/>
        <w:rPr>
          <w:b/>
          <w:bCs/>
          <w:sz w:val="22"/>
          <w:szCs w:val="22"/>
          <w:lang w:val="en-US"/>
        </w:rPr>
      </w:pPr>
    </w:p>
    <w:p w:rsidR="001B3496" w:rsidRPr="000140D5" w:rsidRDefault="0093409F" w:rsidP="001B3496">
      <w:pPr>
        <w:spacing w:after="120"/>
        <w:jc w:val="center"/>
        <w:rPr>
          <w:bCs/>
          <w:sz w:val="22"/>
          <w:szCs w:val="22"/>
          <w:lang w:val="en-US"/>
        </w:rPr>
      </w:pPr>
      <w:r>
        <w:rPr>
          <w:bCs/>
          <w:sz w:val="22"/>
          <w:szCs w:val="22"/>
          <w:lang w:val="en-US"/>
        </w:rPr>
        <w:lastRenderedPageBreak/>
        <w:t>Table 6/b</w:t>
      </w:r>
      <w:r w:rsidR="001B3496" w:rsidRPr="000140D5">
        <w:rPr>
          <w:bCs/>
          <w:sz w:val="22"/>
          <w:szCs w:val="22"/>
          <w:lang w:val="en-US"/>
        </w:rPr>
        <w:t xml:space="preserve"> Increase Rate from Previous Year at Total Funds Collected, 2007-2011 (1000TL)</w:t>
      </w:r>
    </w:p>
    <w:tbl>
      <w:tblPr>
        <w:tblStyle w:val="AkGlgeleme"/>
        <w:tblW w:w="4813" w:type="pct"/>
        <w:jc w:val="center"/>
        <w:tblLook w:val="04A0" w:firstRow="1" w:lastRow="0" w:firstColumn="1" w:lastColumn="0" w:noHBand="0" w:noVBand="1"/>
      </w:tblPr>
      <w:tblGrid>
        <w:gridCol w:w="2264"/>
        <w:gridCol w:w="1328"/>
        <w:gridCol w:w="783"/>
        <w:gridCol w:w="1039"/>
        <w:gridCol w:w="1094"/>
        <w:gridCol w:w="2158"/>
      </w:tblGrid>
      <w:tr w:rsidR="001B3496" w:rsidRPr="000140D5" w:rsidTr="0093409F">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385"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END OF YEAR</w:t>
            </w:r>
          </w:p>
        </w:tc>
        <w:tc>
          <w:tcPr>
            <w:tcW w:w="728"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ALBARAKA TÜRK</w:t>
            </w:r>
          </w:p>
        </w:tc>
        <w:tc>
          <w:tcPr>
            <w:tcW w:w="411"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BANK ASYA</w:t>
            </w:r>
          </w:p>
        </w:tc>
        <w:tc>
          <w:tcPr>
            <w:tcW w:w="560"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KUVEYT TÜRK</w:t>
            </w:r>
          </w:p>
        </w:tc>
        <w:tc>
          <w:tcPr>
            <w:tcW w:w="592"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TÜRKİYE FİNANS</w:t>
            </w:r>
          </w:p>
        </w:tc>
        <w:tc>
          <w:tcPr>
            <w:tcW w:w="1323" w:type="pct"/>
            <w:shd w:val="clear" w:color="auto" w:fill="auto"/>
            <w:hideMark/>
          </w:tcPr>
          <w:p w:rsidR="001B3496" w:rsidRPr="000140D5"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0140D5">
              <w:rPr>
                <w:b w:val="0"/>
                <w:bCs w:val="0"/>
                <w:sz w:val="20"/>
                <w:szCs w:val="20"/>
                <w:lang w:val="en-US"/>
              </w:rPr>
              <w:t xml:space="preserve">Increase Rate From </w:t>
            </w:r>
            <w:proofErr w:type="spellStart"/>
            <w:r w:rsidRPr="000140D5">
              <w:rPr>
                <w:b w:val="0"/>
                <w:bCs w:val="0"/>
                <w:sz w:val="20"/>
                <w:szCs w:val="20"/>
                <w:lang w:val="en-US"/>
              </w:rPr>
              <w:t>Prev.Year</w:t>
            </w:r>
            <w:proofErr w:type="spellEnd"/>
            <w:r w:rsidRPr="000140D5">
              <w:rPr>
                <w:b w:val="0"/>
                <w:bCs w:val="0"/>
                <w:sz w:val="20"/>
                <w:szCs w:val="20"/>
                <w:lang w:val="en-US"/>
              </w:rPr>
              <w:t xml:space="preserve"> Total Sum</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385" w:type="pct"/>
            <w:shd w:val="clear" w:color="auto" w:fill="auto"/>
            <w:hideMark/>
          </w:tcPr>
          <w:p w:rsidR="001B3496" w:rsidRPr="000140D5" w:rsidRDefault="001B3496" w:rsidP="001B3496">
            <w:pPr>
              <w:jc w:val="center"/>
              <w:rPr>
                <w:b w:val="0"/>
                <w:bCs w:val="0"/>
                <w:sz w:val="20"/>
                <w:szCs w:val="20"/>
                <w:lang w:val="en-US"/>
              </w:rPr>
            </w:pPr>
            <w:r w:rsidRPr="000140D5">
              <w:rPr>
                <w:b w:val="0"/>
                <w:bCs w:val="0"/>
                <w:sz w:val="20"/>
                <w:szCs w:val="20"/>
                <w:lang w:val="en-US"/>
              </w:rPr>
              <w:t>Average 2007-2012</w:t>
            </w:r>
          </w:p>
        </w:tc>
        <w:tc>
          <w:tcPr>
            <w:tcW w:w="728"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28%</w:t>
            </w:r>
          </w:p>
        </w:tc>
        <w:tc>
          <w:tcPr>
            <w:tcW w:w="411"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31%</w:t>
            </w:r>
          </w:p>
        </w:tc>
        <w:tc>
          <w:tcPr>
            <w:tcW w:w="560"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33%</w:t>
            </w:r>
          </w:p>
        </w:tc>
        <w:tc>
          <w:tcPr>
            <w:tcW w:w="592"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22%</w:t>
            </w:r>
          </w:p>
        </w:tc>
        <w:tc>
          <w:tcPr>
            <w:tcW w:w="1323"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28%</w:t>
            </w:r>
          </w:p>
        </w:tc>
      </w:tr>
      <w:tr w:rsidR="001B3496" w:rsidRPr="000140D5" w:rsidTr="0093409F">
        <w:trPr>
          <w:trHeight w:val="210"/>
          <w:jc w:val="center"/>
        </w:trPr>
        <w:tc>
          <w:tcPr>
            <w:cnfStyle w:val="001000000000" w:firstRow="0" w:lastRow="0" w:firstColumn="1" w:lastColumn="0" w:oddVBand="0" w:evenVBand="0" w:oddHBand="0" w:evenHBand="0" w:firstRowFirstColumn="0" w:firstRowLastColumn="0" w:lastRowFirstColumn="0" w:lastRowLastColumn="0"/>
            <w:tcW w:w="1385"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2012</w:t>
            </w:r>
          </w:p>
        </w:tc>
        <w:tc>
          <w:tcPr>
            <w:tcW w:w="728"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15%</w:t>
            </w:r>
          </w:p>
        </w:tc>
        <w:tc>
          <w:tcPr>
            <w:tcW w:w="411"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27%</w:t>
            </w:r>
          </w:p>
        </w:tc>
        <w:tc>
          <w:tcPr>
            <w:tcW w:w="560"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29%</w:t>
            </w:r>
          </w:p>
        </w:tc>
        <w:tc>
          <w:tcPr>
            <w:tcW w:w="592"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20%</w:t>
            </w:r>
          </w:p>
        </w:tc>
        <w:tc>
          <w:tcPr>
            <w:tcW w:w="1323"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23%</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85"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2011</w:t>
            </w:r>
          </w:p>
        </w:tc>
        <w:tc>
          <w:tcPr>
            <w:tcW w:w="728"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17%</w:t>
            </w:r>
          </w:p>
        </w:tc>
        <w:tc>
          <w:tcPr>
            <w:tcW w:w="411"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11%</w:t>
            </w:r>
          </w:p>
        </w:tc>
        <w:tc>
          <w:tcPr>
            <w:tcW w:w="560"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34%</w:t>
            </w:r>
          </w:p>
        </w:tc>
        <w:tc>
          <w:tcPr>
            <w:tcW w:w="592"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13%</w:t>
            </w:r>
          </w:p>
        </w:tc>
        <w:tc>
          <w:tcPr>
            <w:tcW w:w="1323"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18%</w:t>
            </w:r>
          </w:p>
        </w:tc>
      </w:tr>
      <w:tr w:rsidR="001B3496" w:rsidRPr="000140D5" w:rsidTr="0093409F">
        <w:trPr>
          <w:trHeight w:val="225"/>
          <w:jc w:val="center"/>
        </w:trPr>
        <w:tc>
          <w:tcPr>
            <w:cnfStyle w:val="001000000000" w:firstRow="0" w:lastRow="0" w:firstColumn="1" w:lastColumn="0" w:oddVBand="0" w:evenVBand="0" w:oddHBand="0" w:evenHBand="0" w:firstRowFirstColumn="0" w:firstRowLastColumn="0" w:lastRowFirstColumn="0" w:lastRowLastColumn="0"/>
            <w:tcW w:w="1385"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2010</w:t>
            </w:r>
          </w:p>
        </w:tc>
        <w:tc>
          <w:tcPr>
            <w:tcW w:w="728"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26%</w:t>
            </w:r>
          </w:p>
        </w:tc>
        <w:tc>
          <w:tcPr>
            <w:tcW w:w="411"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22%</w:t>
            </w:r>
          </w:p>
        </w:tc>
        <w:tc>
          <w:tcPr>
            <w:tcW w:w="560"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38%</w:t>
            </w:r>
          </w:p>
        </w:tc>
        <w:tc>
          <w:tcPr>
            <w:tcW w:w="592"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22%</w:t>
            </w:r>
          </w:p>
        </w:tc>
        <w:tc>
          <w:tcPr>
            <w:tcW w:w="1323"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bCs/>
                <w:sz w:val="20"/>
                <w:szCs w:val="20"/>
                <w:lang w:val="en-US"/>
              </w:rPr>
            </w:pPr>
            <w:r w:rsidRPr="000140D5">
              <w:rPr>
                <w:bCs/>
                <w:sz w:val="20"/>
                <w:szCs w:val="20"/>
                <w:lang w:val="en-US"/>
              </w:rPr>
              <w:t>26%</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85"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2009</w:t>
            </w:r>
          </w:p>
        </w:tc>
        <w:tc>
          <w:tcPr>
            <w:tcW w:w="728"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37%</w:t>
            </w:r>
          </w:p>
        </w:tc>
        <w:tc>
          <w:tcPr>
            <w:tcW w:w="411"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56%</w:t>
            </w:r>
          </w:p>
        </w:tc>
        <w:tc>
          <w:tcPr>
            <w:tcW w:w="560"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32%</w:t>
            </w:r>
          </w:p>
        </w:tc>
        <w:tc>
          <w:tcPr>
            <w:tcW w:w="592"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30%</w:t>
            </w:r>
          </w:p>
        </w:tc>
        <w:tc>
          <w:tcPr>
            <w:tcW w:w="1323"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40%</w:t>
            </w:r>
          </w:p>
        </w:tc>
      </w:tr>
      <w:tr w:rsidR="001B3496" w:rsidRPr="000140D5" w:rsidTr="0093409F">
        <w:trPr>
          <w:trHeight w:val="225"/>
          <w:jc w:val="center"/>
        </w:trPr>
        <w:tc>
          <w:tcPr>
            <w:cnfStyle w:val="001000000000" w:firstRow="0" w:lastRow="0" w:firstColumn="1" w:lastColumn="0" w:oddVBand="0" w:evenVBand="0" w:oddHBand="0" w:evenHBand="0" w:firstRowFirstColumn="0" w:firstRowLastColumn="0" w:lastRowFirstColumn="0" w:lastRowLastColumn="0"/>
            <w:tcW w:w="1385"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2008</w:t>
            </w:r>
          </w:p>
        </w:tc>
        <w:tc>
          <w:tcPr>
            <w:tcW w:w="728"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33%</w:t>
            </w:r>
          </w:p>
        </w:tc>
        <w:tc>
          <w:tcPr>
            <w:tcW w:w="411"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24%</w:t>
            </w:r>
          </w:p>
        </w:tc>
        <w:tc>
          <w:tcPr>
            <w:tcW w:w="560"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39%</w:t>
            </w:r>
          </w:p>
        </w:tc>
        <w:tc>
          <w:tcPr>
            <w:tcW w:w="592"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0140D5">
              <w:rPr>
                <w:sz w:val="20"/>
                <w:szCs w:val="20"/>
                <w:lang w:val="en-US"/>
              </w:rPr>
              <w:t>23%</w:t>
            </w:r>
          </w:p>
        </w:tc>
        <w:tc>
          <w:tcPr>
            <w:tcW w:w="1323" w:type="pct"/>
            <w:shd w:val="clear" w:color="auto" w:fill="auto"/>
            <w:noWrap/>
            <w:hideMark/>
          </w:tcPr>
          <w:p w:rsidR="001B3496" w:rsidRPr="000140D5" w:rsidRDefault="001B3496" w:rsidP="001B3496">
            <w:pPr>
              <w:jc w:val="right"/>
              <w:cnfStyle w:val="000000000000" w:firstRow="0" w:lastRow="0" w:firstColumn="0" w:lastColumn="0" w:oddVBand="0" w:evenVBand="0" w:oddHBand="0" w:evenHBand="0" w:firstRowFirstColumn="0" w:firstRowLastColumn="0" w:lastRowFirstColumn="0" w:lastRowLastColumn="0"/>
              <w:rPr>
                <w:bCs/>
                <w:sz w:val="20"/>
                <w:szCs w:val="20"/>
                <w:lang w:val="en-US"/>
              </w:rPr>
            </w:pPr>
            <w:r w:rsidRPr="000140D5">
              <w:rPr>
                <w:bCs/>
                <w:sz w:val="20"/>
                <w:szCs w:val="20"/>
                <w:lang w:val="en-US"/>
              </w:rPr>
              <w:t>29%</w:t>
            </w:r>
          </w:p>
        </w:tc>
      </w:tr>
      <w:tr w:rsidR="001B3496" w:rsidRPr="000140D5"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85" w:type="pct"/>
            <w:shd w:val="clear" w:color="auto" w:fill="auto"/>
            <w:hideMark/>
          </w:tcPr>
          <w:p w:rsidR="001B3496" w:rsidRPr="000140D5" w:rsidRDefault="001B3496" w:rsidP="001B3496">
            <w:pPr>
              <w:jc w:val="right"/>
              <w:rPr>
                <w:b w:val="0"/>
                <w:bCs w:val="0"/>
                <w:sz w:val="20"/>
                <w:szCs w:val="20"/>
                <w:lang w:val="en-US"/>
              </w:rPr>
            </w:pPr>
            <w:r w:rsidRPr="000140D5">
              <w:rPr>
                <w:b w:val="0"/>
                <w:bCs w:val="0"/>
                <w:sz w:val="20"/>
                <w:szCs w:val="20"/>
                <w:lang w:val="en-US"/>
              </w:rPr>
              <w:t>2007</w:t>
            </w:r>
          </w:p>
        </w:tc>
        <w:tc>
          <w:tcPr>
            <w:tcW w:w="728"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39%</w:t>
            </w:r>
          </w:p>
        </w:tc>
        <w:tc>
          <w:tcPr>
            <w:tcW w:w="411"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47%</w:t>
            </w:r>
          </w:p>
        </w:tc>
        <w:tc>
          <w:tcPr>
            <w:tcW w:w="560"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24%</w:t>
            </w:r>
          </w:p>
        </w:tc>
        <w:tc>
          <w:tcPr>
            <w:tcW w:w="592"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0140D5">
              <w:rPr>
                <w:sz w:val="20"/>
                <w:szCs w:val="20"/>
                <w:lang w:val="en-US"/>
              </w:rPr>
              <w:t>23%</w:t>
            </w:r>
          </w:p>
        </w:tc>
        <w:tc>
          <w:tcPr>
            <w:tcW w:w="1323" w:type="pct"/>
            <w:shd w:val="clear" w:color="auto" w:fill="auto"/>
            <w:noWrap/>
            <w:hideMark/>
          </w:tcPr>
          <w:p w:rsidR="001B3496" w:rsidRPr="000140D5"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0140D5">
              <w:rPr>
                <w:bCs/>
                <w:sz w:val="20"/>
                <w:szCs w:val="20"/>
                <w:lang w:val="en-US"/>
              </w:rPr>
              <w:t>33%</w:t>
            </w:r>
          </w:p>
        </w:tc>
      </w:tr>
    </w:tbl>
    <w:p w:rsidR="001B3496" w:rsidRPr="000140D5" w:rsidRDefault="001B3496" w:rsidP="0093409F">
      <w:pPr>
        <w:pStyle w:val="AralkYok"/>
        <w:jc w:val="both"/>
        <w:rPr>
          <w:rFonts w:ascii="Times New Roman" w:hAnsi="Times New Roman"/>
          <w:sz w:val="20"/>
        </w:rPr>
      </w:pPr>
      <w:r w:rsidRPr="000140D5">
        <w:rPr>
          <w:rFonts w:ascii="Times New Roman" w:hAnsi="Times New Roman"/>
          <w:sz w:val="20"/>
        </w:rPr>
        <w:t>Source: Collected from data provided by (BAT, The Bank Association of Turkey, 2011) (BAT, The Bank Association of Turkey, 2012-13) (PBAT, The Participation Banks Association of Turkey, 2012-13).</w:t>
      </w:r>
    </w:p>
    <w:p w:rsidR="000140D5" w:rsidRPr="000140D5" w:rsidRDefault="000140D5" w:rsidP="0093409F">
      <w:pPr>
        <w:pStyle w:val="AralkYok"/>
        <w:jc w:val="both"/>
        <w:rPr>
          <w:rFonts w:ascii="Times New Roman" w:hAnsi="Times New Roman"/>
          <w:sz w:val="20"/>
        </w:rPr>
      </w:pPr>
    </w:p>
    <w:p w:rsidR="000140D5" w:rsidRPr="000140D5" w:rsidRDefault="000140D5" w:rsidP="0093409F">
      <w:pPr>
        <w:pStyle w:val="AralkYok"/>
        <w:jc w:val="both"/>
        <w:rPr>
          <w:rFonts w:ascii="Times New Roman" w:hAnsi="Times New Roman"/>
          <w:sz w:val="20"/>
        </w:rPr>
      </w:pPr>
    </w:p>
    <w:p w:rsidR="001B3496" w:rsidRPr="0093409F" w:rsidRDefault="001B3496" w:rsidP="0093409F">
      <w:pPr>
        <w:pStyle w:val="AralkYok"/>
        <w:jc w:val="both"/>
        <w:rPr>
          <w:rFonts w:ascii="Times New Roman" w:hAnsi="Times New Roman"/>
          <w:sz w:val="24"/>
        </w:rPr>
      </w:pPr>
      <w:r w:rsidRPr="0093409F">
        <w:rPr>
          <w:rFonts w:ascii="Times New Roman" w:hAnsi="Times New Roman"/>
          <w:sz w:val="24"/>
        </w:rPr>
        <w:t xml:space="preserve">Among participation banks, </w:t>
      </w:r>
      <w:proofErr w:type="spellStart"/>
      <w:r w:rsidRPr="0093409F">
        <w:rPr>
          <w:rFonts w:ascii="Times New Roman" w:hAnsi="Times New Roman"/>
          <w:sz w:val="24"/>
        </w:rPr>
        <w:t>Kuveyt</w:t>
      </w:r>
      <w:proofErr w:type="spellEnd"/>
      <w:r w:rsidRPr="0093409F">
        <w:rPr>
          <w:rFonts w:ascii="Times New Roman" w:hAnsi="Times New Roman"/>
          <w:sz w:val="24"/>
        </w:rPr>
        <w:t xml:space="preserve"> </w:t>
      </w:r>
      <w:proofErr w:type="spellStart"/>
      <w:r w:rsidRPr="0093409F">
        <w:rPr>
          <w:rFonts w:ascii="Times New Roman" w:hAnsi="Times New Roman"/>
          <w:sz w:val="24"/>
        </w:rPr>
        <w:t>Türk</w:t>
      </w:r>
      <w:proofErr w:type="spellEnd"/>
      <w:r w:rsidRPr="0093409F">
        <w:rPr>
          <w:rFonts w:ascii="Times New Roman" w:hAnsi="Times New Roman"/>
          <w:sz w:val="24"/>
        </w:rPr>
        <w:t xml:space="preserve"> has the highest increase rate for total funds in 2012, 2011 and 2010. The second bank is Bank </w:t>
      </w:r>
      <w:proofErr w:type="spellStart"/>
      <w:r w:rsidRPr="0093409F">
        <w:rPr>
          <w:rFonts w:ascii="Times New Roman" w:hAnsi="Times New Roman"/>
          <w:sz w:val="24"/>
        </w:rPr>
        <w:t>Asya</w:t>
      </w:r>
      <w:proofErr w:type="spellEnd"/>
      <w:r w:rsidRPr="0093409F">
        <w:rPr>
          <w:rFonts w:ascii="Times New Roman" w:hAnsi="Times New Roman"/>
          <w:sz w:val="24"/>
        </w:rPr>
        <w:t xml:space="preserve"> in the same 2012. </w:t>
      </w:r>
      <w:proofErr w:type="spellStart"/>
      <w:r w:rsidRPr="0093409F">
        <w:rPr>
          <w:rFonts w:ascii="Times New Roman" w:hAnsi="Times New Roman"/>
          <w:sz w:val="24"/>
        </w:rPr>
        <w:t>Kuveyt</w:t>
      </w:r>
      <w:proofErr w:type="spellEnd"/>
      <w:r w:rsidRPr="0093409F">
        <w:rPr>
          <w:rFonts w:ascii="Times New Roman" w:hAnsi="Times New Roman"/>
          <w:sz w:val="24"/>
        </w:rPr>
        <w:t xml:space="preserve"> </w:t>
      </w:r>
      <w:proofErr w:type="spellStart"/>
      <w:r w:rsidRPr="0093409F">
        <w:rPr>
          <w:rFonts w:ascii="Times New Roman" w:hAnsi="Times New Roman"/>
          <w:sz w:val="24"/>
        </w:rPr>
        <w:t>Türk</w:t>
      </w:r>
      <w:proofErr w:type="spellEnd"/>
      <w:r w:rsidRPr="0093409F">
        <w:rPr>
          <w:rFonts w:ascii="Times New Roman" w:hAnsi="Times New Roman"/>
          <w:sz w:val="24"/>
        </w:rPr>
        <w:t xml:space="preserve"> also has the highest average growing rate in the foreign funds with Bank </w:t>
      </w:r>
      <w:proofErr w:type="spellStart"/>
      <w:r w:rsidRPr="0093409F">
        <w:rPr>
          <w:rFonts w:ascii="Times New Roman" w:hAnsi="Times New Roman"/>
          <w:sz w:val="24"/>
        </w:rPr>
        <w:t>Asya</w:t>
      </w:r>
      <w:proofErr w:type="spellEnd"/>
      <w:r w:rsidRPr="0093409F">
        <w:rPr>
          <w:rFonts w:ascii="Times New Roman" w:hAnsi="Times New Roman"/>
          <w:sz w:val="24"/>
        </w:rPr>
        <w:t xml:space="preserve">. The second participant bank is Bank </w:t>
      </w:r>
      <w:proofErr w:type="spellStart"/>
      <w:r w:rsidRPr="0093409F">
        <w:rPr>
          <w:rFonts w:ascii="Times New Roman" w:hAnsi="Times New Roman"/>
          <w:sz w:val="24"/>
        </w:rPr>
        <w:t>Asya</w:t>
      </w:r>
      <w:proofErr w:type="spellEnd"/>
      <w:r w:rsidRPr="0093409F">
        <w:rPr>
          <w:rFonts w:ascii="Times New Roman" w:hAnsi="Times New Roman"/>
          <w:sz w:val="24"/>
        </w:rPr>
        <w:t xml:space="preserve"> in the average rates. </w:t>
      </w:r>
    </w:p>
    <w:p w:rsidR="0093409F" w:rsidRPr="000140D5" w:rsidRDefault="0093409F" w:rsidP="0093409F">
      <w:pPr>
        <w:pStyle w:val="AralkYok"/>
        <w:jc w:val="both"/>
        <w:rPr>
          <w:rFonts w:ascii="Times New Roman" w:hAnsi="Times New Roman"/>
        </w:rPr>
      </w:pPr>
    </w:p>
    <w:p w:rsidR="001B3496" w:rsidRPr="0093409F" w:rsidRDefault="0093409F" w:rsidP="0093409F">
      <w:pPr>
        <w:spacing w:after="120"/>
        <w:jc w:val="center"/>
        <w:rPr>
          <w:bCs/>
          <w:sz w:val="22"/>
          <w:szCs w:val="22"/>
          <w:lang w:val="en-US"/>
        </w:rPr>
      </w:pPr>
      <w:r>
        <w:rPr>
          <w:bCs/>
          <w:sz w:val="22"/>
          <w:szCs w:val="22"/>
          <w:lang w:val="en-US"/>
        </w:rPr>
        <w:t>Table 7</w:t>
      </w:r>
      <w:r w:rsidR="001B3496" w:rsidRPr="0093409F">
        <w:rPr>
          <w:bCs/>
          <w:sz w:val="22"/>
          <w:szCs w:val="22"/>
          <w:lang w:val="en-US"/>
        </w:rPr>
        <w:t xml:space="preserve"> Fund </w:t>
      </w:r>
      <w:r w:rsidRPr="0093409F">
        <w:rPr>
          <w:bCs/>
          <w:sz w:val="22"/>
          <w:szCs w:val="22"/>
          <w:lang w:val="en-US"/>
        </w:rPr>
        <w:t>Distributions</w:t>
      </w:r>
      <w:r w:rsidR="001B3496" w:rsidRPr="0093409F">
        <w:rPr>
          <w:bCs/>
          <w:sz w:val="22"/>
          <w:szCs w:val="22"/>
          <w:lang w:val="en-US"/>
        </w:rPr>
        <w:t xml:space="preserve"> of Participation and Deposit Banks, 2007-2012 (Million TL)</w:t>
      </w:r>
    </w:p>
    <w:tbl>
      <w:tblPr>
        <w:tblStyle w:val="AkGlgeleme"/>
        <w:tblW w:w="4789" w:type="pct"/>
        <w:jc w:val="center"/>
        <w:tblLook w:val="04A0" w:firstRow="1" w:lastRow="0" w:firstColumn="1" w:lastColumn="0" w:noHBand="0" w:noVBand="1"/>
      </w:tblPr>
      <w:tblGrid>
        <w:gridCol w:w="2307"/>
        <w:gridCol w:w="866"/>
        <w:gridCol w:w="866"/>
        <w:gridCol w:w="866"/>
        <w:gridCol w:w="866"/>
        <w:gridCol w:w="866"/>
        <w:gridCol w:w="866"/>
        <w:gridCol w:w="1120"/>
      </w:tblGrid>
      <w:tr w:rsidR="0093409F" w:rsidRPr="0093409F" w:rsidTr="0093409F">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1329" w:type="pct"/>
            <w:shd w:val="clear" w:color="auto" w:fill="auto"/>
            <w:noWrap/>
            <w:hideMark/>
          </w:tcPr>
          <w:p w:rsidR="001B3496" w:rsidRPr="0093409F" w:rsidRDefault="001B3496" w:rsidP="001B3496">
            <w:pPr>
              <w:rPr>
                <w:b w:val="0"/>
                <w:bCs w:val="0"/>
                <w:sz w:val="20"/>
                <w:szCs w:val="22"/>
                <w:lang w:val="en-US"/>
              </w:rPr>
            </w:pPr>
            <w:r w:rsidRPr="0093409F">
              <w:rPr>
                <w:b w:val="0"/>
                <w:bCs w:val="0"/>
                <w:sz w:val="20"/>
                <w:szCs w:val="22"/>
                <w:lang w:val="en-US"/>
              </w:rPr>
              <w:t> </w:t>
            </w:r>
          </w:p>
        </w:tc>
        <w:tc>
          <w:tcPr>
            <w:tcW w:w="489" w:type="pct"/>
            <w:shd w:val="clear" w:color="auto" w:fill="auto"/>
            <w:noWrap/>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2"/>
                <w:lang w:val="en-US"/>
              </w:rPr>
            </w:pPr>
            <w:r w:rsidRPr="0093409F">
              <w:rPr>
                <w:b w:val="0"/>
                <w:bCs w:val="0"/>
                <w:sz w:val="20"/>
                <w:szCs w:val="22"/>
                <w:lang w:val="en-US"/>
              </w:rPr>
              <w:t>2007</w:t>
            </w:r>
          </w:p>
        </w:tc>
        <w:tc>
          <w:tcPr>
            <w:tcW w:w="504" w:type="pct"/>
            <w:shd w:val="clear" w:color="auto" w:fill="auto"/>
            <w:noWrap/>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2"/>
                <w:lang w:val="en-US"/>
              </w:rPr>
            </w:pPr>
            <w:r w:rsidRPr="0093409F">
              <w:rPr>
                <w:b w:val="0"/>
                <w:bCs w:val="0"/>
                <w:sz w:val="20"/>
                <w:szCs w:val="22"/>
                <w:lang w:val="en-US"/>
              </w:rPr>
              <w:t>2008</w:t>
            </w:r>
          </w:p>
        </w:tc>
        <w:tc>
          <w:tcPr>
            <w:tcW w:w="497" w:type="pct"/>
            <w:shd w:val="clear" w:color="auto" w:fill="auto"/>
            <w:noWrap/>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2"/>
                <w:lang w:val="en-US"/>
              </w:rPr>
            </w:pPr>
            <w:r w:rsidRPr="0093409F">
              <w:rPr>
                <w:b w:val="0"/>
                <w:bCs w:val="0"/>
                <w:sz w:val="20"/>
                <w:szCs w:val="22"/>
                <w:lang w:val="en-US"/>
              </w:rPr>
              <w:t>2009</w:t>
            </w:r>
          </w:p>
        </w:tc>
        <w:tc>
          <w:tcPr>
            <w:tcW w:w="497" w:type="pct"/>
            <w:shd w:val="clear" w:color="auto" w:fill="auto"/>
            <w:noWrap/>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2"/>
                <w:lang w:val="en-US"/>
              </w:rPr>
            </w:pPr>
            <w:r w:rsidRPr="0093409F">
              <w:rPr>
                <w:b w:val="0"/>
                <w:bCs w:val="0"/>
                <w:sz w:val="20"/>
                <w:szCs w:val="22"/>
                <w:lang w:val="en-US"/>
              </w:rPr>
              <w:t>2010</w:t>
            </w:r>
          </w:p>
        </w:tc>
        <w:tc>
          <w:tcPr>
            <w:tcW w:w="462" w:type="pct"/>
            <w:shd w:val="clear" w:color="auto" w:fill="auto"/>
            <w:noWrap/>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2"/>
                <w:lang w:val="en-US"/>
              </w:rPr>
            </w:pPr>
            <w:r w:rsidRPr="0093409F">
              <w:rPr>
                <w:b w:val="0"/>
                <w:bCs w:val="0"/>
                <w:sz w:val="20"/>
                <w:szCs w:val="22"/>
                <w:lang w:val="en-US"/>
              </w:rPr>
              <w:t>2011</w:t>
            </w:r>
          </w:p>
        </w:tc>
        <w:tc>
          <w:tcPr>
            <w:tcW w:w="416" w:type="pct"/>
            <w:shd w:val="clear" w:color="auto" w:fill="auto"/>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2"/>
                <w:lang w:val="en-US"/>
              </w:rPr>
            </w:pPr>
            <w:r w:rsidRPr="0093409F">
              <w:rPr>
                <w:b w:val="0"/>
                <w:bCs w:val="0"/>
                <w:sz w:val="20"/>
                <w:szCs w:val="22"/>
                <w:lang w:val="en-US"/>
              </w:rPr>
              <w:t>2012</w:t>
            </w:r>
          </w:p>
        </w:tc>
        <w:tc>
          <w:tcPr>
            <w:tcW w:w="806" w:type="pct"/>
            <w:shd w:val="clear" w:color="auto" w:fill="auto"/>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2"/>
                <w:lang w:val="en-US"/>
              </w:rPr>
            </w:pPr>
            <w:r w:rsidRPr="0093409F">
              <w:rPr>
                <w:b w:val="0"/>
                <w:bCs w:val="0"/>
                <w:sz w:val="20"/>
                <w:szCs w:val="22"/>
                <w:lang w:val="en-US"/>
              </w:rPr>
              <w:t>2007-2012 Inc. Rate</w:t>
            </w:r>
          </w:p>
        </w:tc>
      </w:tr>
      <w:tr w:rsidR="0093409F" w:rsidRPr="0093409F" w:rsidTr="0093409F">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329" w:type="pct"/>
            <w:shd w:val="clear" w:color="auto" w:fill="auto"/>
            <w:noWrap/>
            <w:hideMark/>
          </w:tcPr>
          <w:p w:rsidR="001B3496" w:rsidRPr="0093409F" w:rsidRDefault="001B3496" w:rsidP="001B3496">
            <w:pPr>
              <w:rPr>
                <w:b w:val="0"/>
                <w:bCs w:val="0"/>
                <w:sz w:val="20"/>
                <w:szCs w:val="22"/>
                <w:lang w:val="en-US"/>
              </w:rPr>
            </w:pPr>
            <w:r w:rsidRPr="0093409F">
              <w:rPr>
                <w:b w:val="0"/>
                <w:bCs w:val="0"/>
                <w:sz w:val="20"/>
                <w:szCs w:val="22"/>
                <w:lang w:val="en-US"/>
              </w:rPr>
              <w:t>Deposit Banks</w:t>
            </w:r>
          </w:p>
        </w:tc>
        <w:tc>
          <w:tcPr>
            <w:tcW w:w="489"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2"/>
                <w:lang w:val="en-US"/>
              </w:rPr>
            </w:pPr>
            <w:r w:rsidRPr="0093409F">
              <w:rPr>
                <w:sz w:val="20"/>
                <w:szCs w:val="22"/>
                <w:lang w:val="en-US"/>
              </w:rPr>
              <w:t>356.984</w:t>
            </w:r>
          </w:p>
        </w:tc>
        <w:tc>
          <w:tcPr>
            <w:tcW w:w="504"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2"/>
                <w:lang w:val="en-US"/>
              </w:rPr>
            </w:pPr>
            <w:r w:rsidRPr="0093409F">
              <w:rPr>
                <w:sz w:val="20"/>
                <w:szCs w:val="22"/>
                <w:lang w:val="en-US"/>
              </w:rPr>
              <w:t>453.485</w:t>
            </w:r>
          </w:p>
        </w:tc>
        <w:tc>
          <w:tcPr>
            <w:tcW w:w="497"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2"/>
                <w:lang w:val="en-US"/>
              </w:rPr>
            </w:pPr>
            <w:r w:rsidRPr="0093409F">
              <w:rPr>
                <w:sz w:val="20"/>
                <w:szCs w:val="22"/>
                <w:lang w:val="en-US"/>
              </w:rPr>
              <w:t>507.258</w:t>
            </w:r>
          </w:p>
        </w:tc>
        <w:tc>
          <w:tcPr>
            <w:tcW w:w="497"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2"/>
                <w:lang w:val="en-US"/>
              </w:rPr>
            </w:pPr>
            <w:r w:rsidRPr="0093409F">
              <w:rPr>
                <w:sz w:val="20"/>
                <w:szCs w:val="22"/>
                <w:lang w:val="en-US"/>
              </w:rPr>
              <w:t>614.681</w:t>
            </w:r>
          </w:p>
        </w:tc>
        <w:tc>
          <w:tcPr>
            <w:tcW w:w="462"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2"/>
                <w:lang w:val="en-US"/>
              </w:rPr>
            </w:pPr>
            <w:r w:rsidRPr="0093409F">
              <w:rPr>
                <w:sz w:val="20"/>
                <w:szCs w:val="22"/>
                <w:lang w:val="en-US"/>
              </w:rPr>
              <w:t>656.276</w:t>
            </w:r>
          </w:p>
        </w:tc>
        <w:tc>
          <w:tcPr>
            <w:tcW w:w="416" w:type="pct"/>
            <w:shd w:val="clear" w:color="auto" w:fill="auto"/>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2"/>
                <w:lang w:val="en-US"/>
              </w:rPr>
            </w:pPr>
            <w:r w:rsidRPr="0093409F">
              <w:rPr>
                <w:sz w:val="20"/>
                <w:szCs w:val="22"/>
                <w:lang w:val="en-US"/>
              </w:rPr>
              <w:t>708.079</w:t>
            </w:r>
          </w:p>
        </w:tc>
        <w:tc>
          <w:tcPr>
            <w:tcW w:w="806" w:type="pct"/>
            <w:shd w:val="clear" w:color="auto" w:fill="auto"/>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2"/>
                <w:lang w:val="en-US"/>
              </w:rPr>
            </w:pPr>
            <w:r w:rsidRPr="0093409F">
              <w:rPr>
                <w:sz w:val="20"/>
                <w:szCs w:val="22"/>
                <w:lang w:val="en-US"/>
              </w:rPr>
              <w:t>%98</w:t>
            </w:r>
          </w:p>
        </w:tc>
      </w:tr>
      <w:tr w:rsidR="0093409F" w:rsidRPr="0093409F" w:rsidTr="0093409F">
        <w:trPr>
          <w:trHeight w:val="270"/>
          <w:jc w:val="center"/>
        </w:trPr>
        <w:tc>
          <w:tcPr>
            <w:cnfStyle w:val="001000000000" w:firstRow="0" w:lastRow="0" w:firstColumn="1" w:lastColumn="0" w:oddVBand="0" w:evenVBand="0" w:oddHBand="0" w:evenHBand="0" w:firstRowFirstColumn="0" w:firstRowLastColumn="0" w:lastRowFirstColumn="0" w:lastRowLastColumn="0"/>
            <w:tcW w:w="1329" w:type="pct"/>
            <w:shd w:val="clear" w:color="auto" w:fill="auto"/>
            <w:noWrap/>
            <w:hideMark/>
          </w:tcPr>
          <w:p w:rsidR="001B3496" w:rsidRPr="0093409F" w:rsidRDefault="001B3496" w:rsidP="001B3496">
            <w:pPr>
              <w:rPr>
                <w:b w:val="0"/>
                <w:bCs w:val="0"/>
                <w:sz w:val="20"/>
                <w:szCs w:val="22"/>
                <w:lang w:val="en-US"/>
              </w:rPr>
            </w:pPr>
            <w:r w:rsidRPr="0093409F">
              <w:rPr>
                <w:b w:val="0"/>
                <w:bCs w:val="0"/>
                <w:sz w:val="20"/>
                <w:szCs w:val="22"/>
                <w:lang w:val="en-US"/>
              </w:rPr>
              <w:t>Participation Banks</w:t>
            </w:r>
          </w:p>
        </w:tc>
        <w:tc>
          <w:tcPr>
            <w:tcW w:w="489"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2"/>
                <w:lang w:val="en-US"/>
              </w:rPr>
            </w:pPr>
            <w:r w:rsidRPr="0093409F">
              <w:rPr>
                <w:sz w:val="20"/>
                <w:szCs w:val="22"/>
                <w:lang w:val="en-US"/>
              </w:rPr>
              <w:t>14.943</w:t>
            </w:r>
          </w:p>
        </w:tc>
        <w:tc>
          <w:tcPr>
            <w:tcW w:w="504"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2"/>
                <w:lang w:val="en-US"/>
              </w:rPr>
            </w:pPr>
            <w:r w:rsidRPr="0093409F">
              <w:rPr>
                <w:sz w:val="20"/>
                <w:szCs w:val="22"/>
                <w:lang w:val="en-US"/>
              </w:rPr>
              <w:t>19.210</w:t>
            </w:r>
          </w:p>
        </w:tc>
        <w:tc>
          <w:tcPr>
            <w:tcW w:w="497"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2"/>
                <w:lang w:val="en-US"/>
              </w:rPr>
            </w:pPr>
            <w:r w:rsidRPr="0093409F">
              <w:rPr>
                <w:sz w:val="20"/>
                <w:szCs w:val="22"/>
                <w:lang w:val="en-US"/>
              </w:rPr>
              <w:t>26.842</w:t>
            </w:r>
          </w:p>
        </w:tc>
        <w:tc>
          <w:tcPr>
            <w:tcW w:w="497"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2"/>
                <w:lang w:val="en-US"/>
              </w:rPr>
            </w:pPr>
            <w:r w:rsidRPr="0093409F">
              <w:rPr>
                <w:sz w:val="20"/>
                <w:szCs w:val="22"/>
                <w:lang w:val="en-US"/>
              </w:rPr>
              <w:t>33.828</w:t>
            </w:r>
          </w:p>
        </w:tc>
        <w:tc>
          <w:tcPr>
            <w:tcW w:w="462"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2"/>
                <w:lang w:val="en-US"/>
              </w:rPr>
            </w:pPr>
            <w:r w:rsidRPr="0093409F">
              <w:rPr>
                <w:sz w:val="20"/>
                <w:szCs w:val="22"/>
                <w:lang w:val="en-US"/>
              </w:rPr>
              <w:t>39.869</w:t>
            </w:r>
          </w:p>
        </w:tc>
        <w:tc>
          <w:tcPr>
            <w:tcW w:w="416" w:type="pct"/>
            <w:shd w:val="clear" w:color="auto" w:fill="auto"/>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2"/>
                <w:lang w:val="en-US"/>
              </w:rPr>
            </w:pPr>
            <w:r w:rsidRPr="0093409F">
              <w:rPr>
                <w:sz w:val="20"/>
                <w:szCs w:val="22"/>
                <w:lang w:val="en-US"/>
              </w:rPr>
              <w:t>49.151</w:t>
            </w:r>
          </w:p>
        </w:tc>
        <w:tc>
          <w:tcPr>
            <w:tcW w:w="806" w:type="pct"/>
            <w:shd w:val="clear" w:color="auto" w:fill="auto"/>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2"/>
                <w:lang w:val="en-US"/>
              </w:rPr>
            </w:pPr>
            <w:r w:rsidRPr="0093409F">
              <w:rPr>
                <w:sz w:val="20"/>
                <w:szCs w:val="22"/>
                <w:lang w:val="en-US"/>
              </w:rPr>
              <w:t>%229</w:t>
            </w:r>
          </w:p>
        </w:tc>
      </w:tr>
      <w:tr w:rsidR="0093409F" w:rsidRPr="0093409F" w:rsidTr="0093409F">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329" w:type="pct"/>
            <w:shd w:val="clear" w:color="auto" w:fill="auto"/>
            <w:noWrap/>
            <w:hideMark/>
          </w:tcPr>
          <w:p w:rsidR="001B3496" w:rsidRPr="0093409F" w:rsidRDefault="001B3496" w:rsidP="001B3496">
            <w:pPr>
              <w:rPr>
                <w:b w:val="0"/>
                <w:bCs w:val="0"/>
                <w:sz w:val="20"/>
                <w:szCs w:val="22"/>
                <w:lang w:val="en-US"/>
              </w:rPr>
            </w:pPr>
            <w:r w:rsidRPr="0093409F">
              <w:rPr>
                <w:b w:val="0"/>
                <w:bCs w:val="0"/>
                <w:sz w:val="20"/>
                <w:szCs w:val="22"/>
                <w:lang w:val="en-US"/>
              </w:rPr>
              <w:t>Deposit</w:t>
            </w:r>
            <w:r w:rsidR="0093409F">
              <w:rPr>
                <w:bCs w:val="0"/>
                <w:sz w:val="20"/>
                <w:szCs w:val="22"/>
                <w:lang w:val="en-US"/>
              </w:rPr>
              <w:t xml:space="preserve"> </w:t>
            </w:r>
            <w:r w:rsidRPr="0093409F">
              <w:rPr>
                <w:b w:val="0"/>
                <w:bCs w:val="0"/>
                <w:sz w:val="20"/>
                <w:szCs w:val="22"/>
                <w:lang w:val="en-US"/>
              </w:rPr>
              <w:t>+</w:t>
            </w:r>
            <w:r w:rsidR="0093409F">
              <w:rPr>
                <w:bCs w:val="0"/>
                <w:sz w:val="20"/>
                <w:szCs w:val="22"/>
                <w:lang w:val="en-US"/>
              </w:rPr>
              <w:t xml:space="preserve"> </w:t>
            </w:r>
            <w:r w:rsidRPr="0093409F">
              <w:rPr>
                <w:b w:val="0"/>
                <w:bCs w:val="0"/>
                <w:sz w:val="20"/>
                <w:szCs w:val="22"/>
                <w:lang w:val="en-US"/>
              </w:rPr>
              <w:t>Participation B.</w:t>
            </w:r>
          </w:p>
        </w:tc>
        <w:tc>
          <w:tcPr>
            <w:tcW w:w="489"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2"/>
                <w:lang w:val="en-US"/>
              </w:rPr>
            </w:pPr>
            <w:r w:rsidRPr="0093409F">
              <w:rPr>
                <w:sz w:val="20"/>
                <w:szCs w:val="22"/>
                <w:lang w:val="en-US"/>
              </w:rPr>
              <w:t>371.927</w:t>
            </w:r>
          </w:p>
        </w:tc>
        <w:tc>
          <w:tcPr>
            <w:tcW w:w="504"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2"/>
                <w:lang w:val="en-US"/>
              </w:rPr>
            </w:pPr>
            <w:r w:rsidRPr="0093409F">
              <w:rPr>
                <w:sz w:val="20"/>
                <w:szCs w:val="22"/>
                <w:lang w:val="en-US"/>
              </w:rPr>
              <w:t>472.695</w:t>
            </w:r>
          </w:p>
        </w:tc>
        <w:tc>
          <w:tcPr>
            <w:tcW w:w="497"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2"/>
                <w:lang w:val="en-US"/>
              </w:rPr>
            </w:pPr>
            <w:r w:rsidRPr="0093409F">
              <w:rPr>
                <w:sz w:val="20"/>
                <w:szCs w:val="22"/>
                <w:lang w:val="en-US"/>
              </w:rPr>
              <w:t>534.100</w:t>
            </w:r>
          </w:p>
        </w:tc>
        <w:tc>
          <w:tcPr>
            <w:tcW w:w="497"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2"/>
                <w:lang w:val="en-US"/>
              </w:rPr>
            </w:pPr>
            <w:r w:rsidRPr="0093409F">
              <w:rPr>
                <w:sz w:val="20"/>
                <w:szCs w:val="22"/>
                <w:lang w:val="en-US"/>
              </w:rPr>
              <w:t>648.509</w:t>
            </w:r>
          </w:p>
        </w:tc>
        <w:tc>
          <w:tcPr>
            <w:tcW w:w="462"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2"/>
                <w:lang w:val="en-US"/>
              </w:rPr>
            </w:pPr>
            <w:r w:rsidRPr="0093409F">
              <w:rPr>
                <w:sz w:val="20"/>
                <w:szCs w:val="22"/>
                <w:lang w:val="en-US"/>
              </w:rPr>
              <w:t>696.145</w:t>
            </w:r>
          </w:p>
        </w:tc>
        <w:tc>
          <w:tcPr>
            <w:tcW w:w="416" w:type="pct"/>
            <w:shd w:val="clear" w:color="auto" w:fill="auto"/>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2"/>
                <w:lang w:val="en-US"/>
              </w:rPr>
            </w:pPr>
            <w:r w:rsidRPr="0093409F">
              <w:rPr>
                <w:sz w:val="20"/>
                <w:szCs w:val="22"/>
                <w:lang w:val="en-US"/>
              </w:rPr>
              <w:t>757.230</w:t>
            </w:r>
          </w:p>
        </w:tc>
        <w:tc>
          <w:tcPr>
            <w:tcW w:w="806" w:type="pct"/>
            <w:shd w:val="clear" w:color="auto" w:fill="auto"/>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2"/>
                <w:lang w:val="en-US"/>
              </w:rPr>
            </w:pPr>
            <w:r w:rsidRPr="0093409F">
              <w:rPr>
                <w:sz w:val="20"/>
                <w:szCs w:val="22"/>
                <w:lang w:val="en-US"/>
              </w:rPr>
              <w:t>%104</w:t>
            </w:r>
          </w:p>
        </w:tc>
      </w:tr>
    </w:tbl>
    <w:p w:rsidR="001B3496" w:rsidRDefault="001B3496" w:rsidP="001B3496">
      <w:pPr>
        <w:pStyle w:val="AralkYok"/>
        <w:rPr>
          <w:rFonts w:ascii="Times New Roman" w:hAnsi="Times New Roman"/>
          <w:sz w:val="20"/>
        </w:rPr>
      </w:pPr>
      <w:r w:rsidRPr="0093409F">
        <w:rPr>
          <w:rFonts w:ascii="Times New Roman" w:hAnsi="Times New Roman"/>
          <w:sz w:val="20"/>
        </w:rPr>
        <w:t>Source: Collected from data provided by (BAT, The Bank Association of Turkey, 2011) (BAT, The Bank Association of Turkey, 2012-13) (PBAT, The Participation Banks Association of Turkey, 2012-13).</w:t>
      </w:r>
    </w:p>
    <w:p w:rsidR="0093409F" w:rsidRDefault="0093409F" w:rsidP="001B3496">
      <w:pPr>
        <w:pStyle w:val="AralkYok"/>
        <w:rPr>
          <w:rFonts w:ascii="Times New Roman" w:hAnsi="Times New Roman"/>
          <w:sz w:val="20"/>
        </w:rPr>
      </w:pPr>
    </w:p>
    <w:p w:rsidR="0093409F" w:rsidRPr="0093409F" w:rsidRDefault="0093409F" w:rsidP="001B3496">
      <w:pPr>
        <w:pStyle w:val="AralkYok"/>
        <w:rPr>
          <w:rFonts w:ascii="Times New Roman" w:hAnsi="Times New Roman"/>
          <w:sz w:val="20"/>
        </w:rPr>
      </w:pPr>
    </w:p>
    <w:p w:rsidR="001B3496" w:rsidRPr="0093409F" w:rsidRDefault="0093409F" w:rsidP="001B3496">
      <w:pPr>
        <w:spacing w:after="120"/>
        <w:jc w:val="center"/>
        <w:rPr>
          <w:bCs/>
          <w:sz w:val="22"/>
          <w:szCs w:val="22"/>
          <w:lang w:val="en-US"/>
        </w:rPr>
      </w:pPr>
      <w:r>
        <w:rPr>
          <w:bCs/>
          <w:sz w:val="22"/>
          <w:szCs w:val="22"/>
          <w:lang w:val="en-US"/>
        </w:rPr>
        <w:t>Table 8</w:t>
      </w:r>
      <w:r w:rsidR="001B3496" w:rsidRPr="0093409F">
        <w:rPr>
          <w:bCs/>
          <w:sz w:val="22"/>
          <w:szCs w:val="22"/>
          <w:lang w:val="en-US"/>
        </w:rPr>
        <w:t xml:space="preserve"> Total Deposits in Deposit Banks, 2007-2012 (Million TL)</w:t>
      </w:r>
    </w:p>
    <w:tbl>
      <w:tblPr>
        <w:tblStyle w:val="AkGlgeleme"/>
        <w:tblW w:w="8642" w:type="dxa"/>
        <w:jc w:val="center"/>
        <w:tblLook w:val="04A0" w:firstRow="1" w:lastRow="0" w:firstColumn="1" w:lastColumn="0" w:noHBand="0" w:noVBand="1"/>
      </w:tblPr>
      <w:tblGrid>
        <w:gridCol w:w="1338"/>
        <w:gridCol w:w="1240"/>
        <w:gridCol w:w="1240"/>
        <w:gridCol w:w="1240"/>
        <w:gridCol w:w="1240"/>
        <w:gridCol w:w="1240"/>
        <w:gridCol w:w="1216"/>
      </w:tblGrid>
      <w:tr w:rsidR="001B3496" w:rsidRPr="0093409F" w:rsidTr="0093409F">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38" w:type="dxa"/>
            <w:shd w:val="clear" w:color="auto" w:fill="auto"/>
            <w:noWrap/>
            <w:hideMark/>
          </w:tcPr>
          <w:p w:rsidR="001B3496" w:rsidRPr="0093409F" w:rsidRDefault="001B3496" w:rsidP="001B3496">
            <w:pPr>
              <w:jc w:val="center"/>
              <w:rPr>
                <w:b w:val="0"/>
                <w:color w:val="000000"/>
                <w:sz w:val="20"/>
                <w:szCs w:val="20"/>
                <w:lang w:val="en-US"/>
              </w:rPr>
            </w:pPr>
            <w:r w:rsidRPr="0093409F">
              <w:rPr>
                <w:b w:val="0"/>
                <w:color w:val="000000"/>
                <w:sz w:val="20"/>
                <w:szCs w:val="20"/>
                <w:lang w:val="en-US"/>
              </w:rPr>
              <w:t>Year</w:t>
            </w:r>
          </w:p>
        </w:tc>
        <w:tc>
          <w:tcPr>
            <w:tcW w:w="1240" w:type="dxa"/>
            <w:shd w:val="clear" w:color="auto" w:fill="auto"/>
            <w:noWrap/>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93409F">
              <w:rPr>
                <w:b w:val="0"/>
                <w:color w:val="000000"/>
                <w:sz w:val="20"/>
                <w:szCs w:val="20"/>
                <w:lang w:val="en-US"/>
              </w:rPr>
              <w:t>2007</w:t>
            </w:r>
          </w:p>
        </w:tc>
        <w:tc>
          <w:tcPr>
            <w:tcW w:w="1240" w:type="dxa"/>
            <w:shd w:val="clear" w:color="auto" w:fill="auto"/>
            <w:noWrap/>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93409F">
              <w:rPr>
                <w:b w:val="0"/>
                <w:color w:val="000000"/>
                <w:sz w:val="20"/>
                <w:szCs w:val="20"/>
                <w:lang w:val="en-US"/>
              </w:rPr>
              <w:t>2008</w:t>
            </w:r>
          </w:p>
        </w:tc>
        <w:tc>
          <w:tcPr>
            <w:tcW w:w="1240" w:type="dxa"/>
            <w:shd w:val="clear" w:color="auto" w:fill="auto"/>
            <w:noWrap/>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93409F">
              <w:rPr>
                <w:b w:val="0"/>
                <w:color w:val="000000"/>
                <w:sz w:val="20"/>
                <w:szCs w:val="20"/>
                <w:lang w:val="en-US"/>
              </w:rPr>
              <w:t>2009</w:t>
            </w:r>
          </w:p>
        </w:tc>
        <w:tc>
          <w:tcPr>
            <w:tcW w:w="1240" w:type="dxa"/>
            <w:shd w:val="clear" w:color="auto" w:fill="auto"/>
            <w:noWrap/>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93409F">
              <w:rPr>
                <w:b w:val="0"/>
                <w:color w:val="000000"/>
                <w:sz w:val="20"/>
                <w:szCs w:val="20"/>
                <w:lang w:val="en-US"/>
              </w:rPr>
              <w:t>2010</w:t>
            </w:r>
          </w:p>
        </w:tc>
        <w:tc>
          <w:tcPr>
            <w:tcW w:w="1240" w:type="dxa"/>
            <w:shd w:val="clear" w:color="auto" w:fill="auto"/>
            <w:noWrap/>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93409F">
              <w:rPr>
                <w:b w:val="0"/>
                <w:color w:val="000000"/>
                <w:sz w:val="20"/>
                <w:szCs w:val="20"/>
                <w:lang w:val="en-US"/>
              </w:rPr>
              <w:t>2011</w:t>
            </w:r>
          </w:p>
        </w:tc>
        <w:tc>
          <w:tcPr>
            <w:tcW w:w="1104" w:type="dxa"/>
            <w:shd w:val="clear" w:color="auto" w:fill="auto"/>
            <w:noWrap/>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color w:val="0000FF"/>
                <w:sz w:val="20"/>
                <w:szCs w:val="20"/>
                <w:u w:val="single"/>
                <w:lang w:val="en-US"/>
              </w:rPr>
            </w:pPr>
            <w:r w:rsidRPr="0093409F">
              <w:rPr>
                <w:b w:val="0"/>
                <w:sz w:val="20"/>
                <w:szCs w:val="20"/>
                <w:lang w:val="en-US"/>
              </w:rPr>
              <w:t>2012</w:t>
            </w:r>
            <w:r w:rsidRPr="0093409F">
              <w:rPr>
                <w:b w:val="0"/>
                <w:sz w:val="20"/>
                <w:szCs w:val="20"/>
                <w:lang w:val="en-US"/>
              </w:rPr>
              <w:footnoteReference w:customMarkFollows="1" w:id="2"/>
              <w:t>*</w:t>
            </w:r>
          </w:p>
        </w:tc>
      </w:tr>
      <w:tr w:rsidR="001B3496" w:rsidRPr="0093409F" w:rsidTr="0093409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338" w:type="dxa"/>
            <w:shd w:val="clear" w:color="auto" w:fill="auto"/>
            <w:noWrap/>
            <w:hideMark/>
          </w:tcPr>
          <w:p w:rsidR="001B3496" w:rsidRPr="0093409F" w:rsidRDefault="001B3496" w:rsidP="001B3496">
            <w:pPr>
              <w:jc w:val="right"/>
              <w:rPr>
                <w:b w:val="0"/>
                <w:color w:val="000000"/>
                <w:sz w:val="20"/>
                <w:szCs w:val="20"/>
                <w:lang w:val="en-US"/>
              </w:rPr>
            </w:pPr>
            <w:r w:rsidRPr="0093409F">
              <w:rPr>
                <w:b w:val="0"/>
                <w:color w:val="000000"/>
                <w:sz w:val="20"/>
                <w:szCs w:val="20"/>
                <w:lang w:val="en-US"/>
              </w:rPr>
              <w:t>Total 1000TL</w:t>
            </w:r>
          </w:p>
        </w:tc>
        <w:tc>
          <w:tcPr>
            <w:tcW w:w="1240" w:type="dxa"/>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3409F">
              <w:rPr>
                <w:color w:val="000000"/>
                <w:sz w:val="20"/>
                <w:szCs w:val="20"/>
                <w:lang w:val="en-US"/>
              </w:rPr>
              <w:t>356.983.744</w:t>
            </w:r>
          </w:p>
        </w:tc>
        <w:tc>
          <w:tcPr>
            <w:tcW w:w="1240" w:type="dxa"/>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3409F">
              <w:rPr>
                <w:color w:val="000000"/>
                <w:sz w:val="20"/>
                <w:szCs w:val="20"/>
                <w:lang w:val="en-US"/>
              </w:rPr>
              <w:t>453.484.686</w:t>
            </w:r>
          </w:p>
        </w:tc>
        <w:tc>
          <w:tcPr>
            <w:tcW w:w="1240" w:type="dxa"/>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3409F">
              <w:rPr>
                <w:color w:val="000000"/>
                <w:sz w:val="20"/>
                <w:szCs w:val="20"/>
                <w:lang w:val="en-US"/>
              </w:rPr>
              <w:t>507.258.479</w:t>
            </w:r>
          </w:p>
        </w:tc>
        <w:tc>
          <w:tcPr>
            <w:tcW w:w="1240" w:type="dxa"/>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3409F">
              <w:rPr>
                <w:color w:val="000000"/>
                <w:sz w:val="20"/>
                <w:szCs w:val="20"/>
                <w:lang w:val="en-US"/>
              </w:rPr>
              <w:t>614.680.785</w:t>
            </w:r>
          </w:p>
        </w:tc>
        <w:tc>
          <w:tcPr>
            <w:tcW w:w="1240" w:type="dxa"/>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3409F">
              <w:rPr>
                <w:color w:val="000000"/>
                <w:sz w:val="20"/>
                <w:szCs w:val="20"/>
                <w:lang w:val="en-US"/>
              </w:rPr>
              <w:t>656.276.000</w:t>
            </w:r>
          </w:p>
        </w:tc>
        <w:tc>
          <w:tcPr>
            <w:tcW w:w="1104" w:type="dxa"/>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93409F">
              <w:rPr>
                <w:color w:val="000000"/>
                <w:sz w:val="20"/>
                <w:szCs w:val="20"/>
                <w:lang w:val="en-US"/>
              </w:rPr>
              <w:t>708.079.178</w:t>
            </w:r>
          </w:p>
        </w:tc>
      </w:tr>
      <w:tr w:rsidR="001B3496" w:rsidRPr="0093409F" w:rsidTr="0093409F">
        <w:trPr>
          <w:trHeight w:val="315"/>
          <w:jc w:val="center"/>
        </w:trPr>
        <w:tc>
          <w:tcPr>
            <w:cnfStyle w:val="001000000000" w:firstRow="0" w:lastRow="0" w:firstColumn="1" w:lastColumn="0" w:oddVBand="0" w:evenVBand="0" w:oddHBand="0" w:evenHBand="0" w:firstRowFirstColumn="0" w:firstRowLastColumn="0" w:lastRowFirstColumn="0" w:lastRowLastColumn="0"/>
            <w:tcW w:w="1338" w:type="dxa"/>
            <w:shd w:val="clear" w:color="auto" w:fill="auto"/>
            <w:noWrap/>
            <w:hideMark/>
          </w:tcPr>
          <w:p w:rsidR="001B3496" w:rsidRPr="0093409F" w:rsidRDefault="001B3496" w:rsidP="001B3496">
            <w:pPr>
              <w:jc w:val="right"/>
              <w:rPr>
                <w:b w:val="0"/>
                <w:color w:val="000000"/>
                <w:sz w:val="20"/>
                <w:szCs w:val="20"/>
                <w:lang w:val="en-US"/>
              </w:rPr>
            </w:pPr>
            <w:r w:rsidRPr="0093409F">
              <w:rPr>
                <w:b w:val="0"/>
                <w:color w:val="000000"/>
                <w:sz w:val="20"/>
                <w:szCs w:val="20"/>
                <w:lang w:val="en-US"/>
              </w:rPr>
              <w:t>Inc. Rate</w:t>
            </w:r>
          </w:p>
        </w:tc>
        <w:tc>
          <w:tcPr>
            <w:tcW w:w="1240" w:type="dxa"/>
            <w:shd w:val="clear" w:color="auto" w:fill="auto"/>
            <w:noWrap/>
            <w:hideMark/>
          </w:tcPr>
          <w:p w:rsidR="001B3496" w:rsidRPr="0093409F" w:rsidRDefault="001B3496" w:rsidP="001B3496">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93409F">
              <w:rPr>
                <w:color w:val="000000"/>
                <w:sz w:val="20"/>
                <w:szCs w:val="20"/>
                <w:lang w:val="en-US"/>
              </w:rPr>
              <w:t> </w:t>
            </w:r>
          </w:p>
        </w:tc>
        <w:tc>
          <w:tcPr>
            <w:tcW w:w="1240" w:type="dxa"/>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93409F">
              <w:rPr>
                <w:color w:val="000000"/>
                <w:sz w:val="20"/>
                <w:szCs w:val="20"/>
                <w:lang w:val="en-US"/>
              </w:rPr>
              <w:t>27</w:t>
            </w:r>
          </w:p>
        </w:tc>
        <w:tc>
          <w:tcPr>
            <w:tcW w:w="1240" w:type="dxa"/>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93409F">
              <w:rPr>
                <w:color w:val="000000"/>
                <w:sz w:val="20"/>
                <w:szCs w:val="20"/>
                <w:lang w:val="en-US"/>
              </w:rPr>
              <w:t>12</w:t>
            </w:r>
          </w:p>
        </w:tc>
        <w:tc>
          <w:tcPr>
            <w:tcW w:w="1240" w:type="dxa"/>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93409F">
              <w:rPr>
                <w:color w:val="000000"/>
                <w:sz w:val="20"/>
                <w:szCs w:val="20"/>
                <w:lang w:val="en-US"/>
              </w:rPr>
              <w:t>21</w:t>
            </w:r>
          </w:p>
        </w:tc>
        <w:tc>
          <w:tcPr>
            <w:tcW w:w="1240" w:type="dxa"/>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93409F">
              <w:rPr>
                <w:color w:val="000000"/>
                <w:sz w:val="20"/>
                <w:szCs w:val="20"/>
                <w:lang w:val="en-US"/>
              </w:rPr>
              <w:t>7</w:t>
            </w:r>
          </w:p>
        </w:tc>
        <w:tc>
          <w:tcPr>
            <w:tcW w:w="1104" w:type="dxa"/>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93409F">
              <w:rPr>
                <w:color w:val="000000"/>
                <w:sz w:val="20"/>
                <w:szCs w:val="20"/>
                <w:lang w:val="en-US"/>
              </w:rPr>
              <w:t>8</w:t>
            </w:r>
          </w:p>
        </w:tc>
      </w:tr>
    </w:tbl>
    <w:p w:rsidR="0093409F" w:rsidRDefault="0093409F" w:rsidP="001B3496">
      <w:pPr>
        <w:pStyle w:val="AralkYok"/>
      </w:pPr>
    </w:p>
    <w:p w:rsidR="0093409F" w:rsidRDefault="0093409F" w:rsidP="001B3496">
      <w:pPr>
        <w:pStyle w:val="AralkYok"/>
      </w:pPr>
    </w:p>
    <w:p w:rsidR="001B3496" w:rsidRDefault="001B3496" w:rsidP="0093409F">
      <w:pPr>
        <w:pStyle w:val="AralkYok"/>
        <w:jc w:val="both"/>
        <w:rPr>
          <w:rFonts w:ascii="Times New Roman" w:hAnsi="Times New Roman"/>
          <w:sz w:val="24"/>
        </w:rPr>
      </w:pPr>
      <w:r w:rsidRPr="0093409F">
        <w:rPr>
          <w:rFonts w:ascii="Times New Roman" w:hAnsi="Times New Roman"/>
          <w:sz w:val="24"/>
        </w:rPr>
        <w:t>When figures are compared as of the end of 2007 and 2011, it is seen that participation banks have two times bigger percentage of increase than deposit banks on the percentage basis in terms of rate of increase. Participation banks taken into account, total fund + deposit in Turkey reaches 696 billion TL as of the end of 2011.</w:t>
      </w:r>
    </w:p>
    <w:p w:rsidR="0093409F" w:rsidRPr="0093409F" w:rsidRDefault="0093409F" w:rsidP="0093409F">
      <w:pPr>
        <w:pStyle w:val="AralkYok"/>
        <w:jc w:val="both"/>
        <w:rPr>
          <w:rFonts w:ascii="Times New Roman" w:hAnsi="Times New Roman"/>
          <w:sz w:val="24"/>
        </w:rPr>
      </w:pPr>
    </w:p>
    <w:p w:rsidR="001B3496" w:rsidRPr="0093409F" w:rsidRDefault="001B3496" w:rsidP="0093409F">
      <w:pPr>
        <w:pStyle w:val="Balk2"/>
        <w:numPr>
          <w:ilvl w:val="0"/>
          <w:numId w:val="0"/>
        </w:numPr>
        <w:ind w:left="284"/>
        <w:rPr>
          <w:sz w:val="24"/>
        </w:rPr>
      </w:pPr>
      <w:r w:rsidRPr="0093409F">
        <w:rPr>
          <w:sz w:val="24"/>
        </w:rPr>
        <w:t>Funds Utilized, 2007-2012</w:t>
      </w:r>
    </w:p>
    <w:p w:rsidR="001B3496" w:rsidRPr="0093409F" w:rsidRDefault="0093409F" w:rsidP="0093409F">
      <w:pPr>
        <w:pStyle w:val="AralkYok"/>
        <w:jc w:val="both"/>
        <w:rPr>
          <w:rFonts w:ascii="Times New Roman" w:hAnsi="Times New Roman"/>
          <w:sz w:val="24"/>
        </w:rPr>
      </w:pPr>
      <w:r>
        <w:rPr>
          <w:rFonts w:ascii="Times New Roman" w:hAnsi="Times New Roman"/>
          <w:sz w:val="24"/>
        </w:rPr>
        <w:t>Increase rate of</w:t>
      </w:r>
      <w:r w:rsidR="001B3496" w:rsidRPr="0093409F">
        <w:rPr>
          <w:rFonts w:ascii="Times New Roman" w:hAnsi="Times New Roman"/>
          <w:sz w:val="24"/>
        </w:rPr>
        <w:t xml:space="preserve"> loan-f</w:t>
      </w:r>
      <w:r>
        <w:rPr>
          <w:rFonts w:ascii="Times New Roman" w:hAnsi="Times New Roman"/>
          <w:sz w:val="24"/>
        </w:rPr>
        <w:t>und utilization from the end of</w:t>
      </w:r>
      <w:r w:rsidR="001B3496" w:rsidRPr="0093409F">
        <w:rPr>
          <w:rFonts w:ascii="Times New Roman" w:hAnsi="Times New Roman"/>
          <w:sz w:val="24"/>
        </w:rPr>
        <w:t xml:space="preserve"> 2007 to the end of 2012 of participation banks higher than deposit bank’s rate. </w:t>
      </w:r>
      <w:r w:rsidR="001B3496" w:rsidRPr="0093409F">
        <w:rPr>
          <w:rFonts w:ascii="Times New Roman" w:hAnsi="Times New Roman"/>
          <w:b/>
          <w:bCs/>
          <w:sz w:val="24"/>
        </w:rPr>
        <w:t>They are 226% and 166</w:t>
      </w:r>
      <w:r w:rsidR="001B3496" w:rsidRPr="0093409F">
        <w:rPr>
          <w:rStyle w:val="DipnotBavurusu"/>
          <w:rFonts w:ascii="Times New Roman" w:hAnsi="Times New Roman"/>
          <w:sz w:val="24"/>
        </w:rPr>
        <w:footnoteReference w:customMarkFollows="1" w:id="3"/>
        <w:t>**</w:t>
      </w:r>
      <w:r w:rsidR="001B3496" w:rsidRPr="0093409F">
        <w:rPr>
          <w:rFonts w:ascii="Times New Roman" w:hAnsi="Times New Roman"/>
          <w:b/>
          <w:bCs/>
          <w:sz w:val="24"/>
        </w:rPr>
        <w:t>% respectively.</w:t>
      </w:r>
      <w:r w:rsidR="001B3496" w:rsidRPr="0093409F">
        <w:rPr>
          <w:rFonts w:ascii="Times New Roman" w:hAnsi="Times New Roman"/>
          <w:sz w:val="24"/>
        </w:rPr>
        <w:t xml:space="preserve"> </w:t>
      </w:r>
    </w:p>
    <w:p w:rsidR="001B3496" w:rsidRDefault="001B3496" w:rsidP="0093409F">
      <w:pPr>
        <w:pStyle w:val="AralkYok"/>
        <w:jc w:val="both"/>
        <w:rPr>
          <w:rFonts w:ascii="Times New Roman" w:hAnsi="Times New Roman"/>
          <w:sz w:val="24"/>
        </w:rPr>
      </w:pPr>
      <w:r w:rsidRPr="0093409F">
        <w:rPr>
          <w:rFonts w:ascii="Times New Roman" w:hAnsi="Times New Roman"/>
          <w:sz w:val="24"/>
        </w:rPr>
        <w:t xml:space="preserve">Bank </w:t>
      </w:r>
      <w:proofErr w:type="spellStart"/>
      <w:r w:rsidRPr="0093409F">
        <w:rPr>
          <w:rFonts w:ascii="Times New Roman" w:hAnsi="Times New Roman"/>
          <w:sz w:val="24"/>
        </w:rPr>
        <w:t>Asya</w:t>
      </w:r>
      <w:proofErr w:type="spellEnd"/>
      <w:r w:rsidRPr="0093409F">
        <w:rPr>
          <w:rFonts w:ascii="Times New Roman" w:hAnsi="Times New Roman"/>
          <w:sz w:val="24"/>
        </w:rPr>
        <w:t xml:space="preserve"> is the leading participation bank with an amount of 16.1 billion Turkish Lira; In terms of funds utilized as the end of 2012. </w:t>
      </w:r>
      <w:proofErr w:type="spellStart"/>
      <w:r w:rsidRPr="0093409F">
        <w:rPr>
          <w:rFonts w:ascii="Times New Roman" w:hAnsi="Times New Roman"/>
          <w:sz w:val="24"/>
        </w:rPr>
        <w:t>Türkiye</w:t>
      </w:r>
      <w:proofErr w:type="spellEnd"/>
      <w:r w:rsidRPr="0093409F">
        <w:rPr>
          <w:rFonts w:ascii="Times New Roman" w:hAnsi="Times New Roman"/>
          <w:sz w:val="24"/>
        </w:rPr>
        <w:t xml:space="preserve"> </w:t>
      </w:r>
      <w:proofErr w:type="spellStart"/>
      <w:r w:rsidRPr="0093409F">
        <w:rPr>
          <w:rFonts w:ascii="Times New Roman" w:hAnsi="Times New Roman"/>
          <w:sz w:val="24"/>
        </w:rPr>
        <w:t>Finans</w:t>
      </w:r>
      <w:proofErr w:type="spellEnd"/>
      <w:r w:rsidRPr="0093409F">
        <w:rPr>
          <w:rFonts w:ascii="Times New Roman" w:hAnsi="Times New Roman"/>
          <w:sz w:val="24"/>
        </w:rPr>
        <w:t xml:space="preserve">, </w:t>
      </w:r>
      <w:proofErr w:type="spellStart"/>
      <w:r w:rsidRPr="0093409F">
        <w:rPr>
          <w:rFonts w:ascii="Times New Roman" w:hAnsi="Times New Roman"/>
          <w:sz w:val="24"/>
        </w:rPr>
        <w:t>Kuveyt</w:t>
      </w:r>
      <w:proofErr w:type="spellEnd"/>
      <w:r w:rsidRPr="0093409F">
        <w:rPr>
          <w:rFonts w:ascii="Times New Roman" w:hAnsi="Times New Roman"/>
          <w:sz w:val="24"/>
        </w:rPr>
        <w:t xml:space="preserve"> </w:t>
      </w:r>
      <w:proofErr w:type="spellStart"/>
      <w:r w:rsidRPr="0093409F">
        <w:rPr>
          <w:rFonts w:ascii="Times New Roman" w:hAnsi="Times New Roman"/>
          <w:sz w:val="24"/>
        </w:rPr>
        <w:t>Türk</w:t>
      </w:r>
      <w:proofErr w:type="spellEnd"/>
      <w:r w:rsidRPr="0093409F">
        <w:rPr>
          <w:rFonts w:ascii="Times New Roman" w:hAnsi="Times New Roman"/>
          <w:sz w:val="24"/>
        </w:rPr>
        <w:t xml:space="preserve"> and </w:t>
      </w:r>
      <w:proofErr w:type="spellStart"/>
      <w:r w:rsidRPr="0093409F">
        <w:rPr>
          <w:rFonts w:ascii="Times New Roman" w:hAnsi="Times New Roman"/>
          <w:sz w:val="24"/>
        </w:rPr>
        <w:t>Albaraka</w:t>
      </w:r>
      <w:proofErr w:type="spellEnd"/>
      <w:r w:rsidRPr="0093409F">
        <w:rPr>
          <w:rFonts w:ascii="Times New Roman" w:hAnsi="Times New Roman"/>
          <w:sz w:val="24"/>
        </w:rPr>
        <w:t xml:space="preserve"> </w:t>
      </w:r>
      <w:proofErr w:type="spellStart"/>
      <w:r w:rsidRPr="0093409F">
        <w:rPr>
          <w:rFonts w:ascii="Times New Roman" w:hAnsi="Times New Roman"/>
          <w:sz w:val="24"/>
        </w:rPr>
        <w:lastRenderedPageBreak/>
        <w:t>Türk</w:t>
      </w:r>
      <w:proofErr w:type="spellEnd"/>
      <w:r w:rsidRPr="0093409F">
        <w:rPr>
          <w:rFonts w:ascii="Times New Roman" w:hAnsi="Times New Roman"/>
          <w:sz w:val="24"/>
        </w:rPr>
        <w:t xml:space="preserve"> follow Bank </w:t>
      </w:r>
      <w:proofErr w:type="spellStart"/>
      <w:r w:rsidRPr="0093409F">
        <w:rPr>
          <w:rFonts w:ascii="Times New Roman" w:hAnsi="Times New Roman"/>
          <w:sz w:val="24"/>
        </w:rPr>
        <w:t>Asya</w:t>
      </w:r>
      <w:proofErr w:type="spellEnd"/>
      <w:r w:rsidRPr="0093409F">
        <w:rPr>
          <w:rFonts w:ascii="Times New Roman" w:hAnsi="Times New Roman"/>
          <w:sz w:val="24"/>
        </w:rPr>
        <w:t xml:space="preserve"> respectively. It is seen that Bank </w:t>
      </w:r>
      <w:proofErr w:type="spellStart"/>
      <w:r w:rsidRPr="0093409F">
        <w:rPr>
          <w:rFonts w:ascii="Times New Roman" w:hAnsi="Times New Roman"/>
          <w:sz w:val="24"/>
        </w:rPr>
        <w:t>Asya</w:t>
      </w:r>
      <w:proofErr w:type="spellEnd"/>
      <w:r w:rsidRPr="0093409F">
        <w:rPr>
          <w:rFonts w:ascii="Times New Roman" w:hAnsi="Times New Roman"/>
          <w:sz w:val="24"/>
        </w:rPr>
        <w:t xml:space="preserve"> has the highest average increase rate for last six years. The second performance is </w:t>
      </w:r>
      <w:r w:rsidR="0093409F" w:rsidRPr="0093409F">
        <w:rPr>
          <w:rFonts w:ascii="Times New Roman" w:hAnsi="Times New Roman"/>
          <w:sz w:val="24"/>
        </w:rPr>
        <w:t>belonging</w:t>
      </w:r>
      <w:r w:rsidRPr="0093409F">
        <w:rPr>
          <w:rFonts w:ascii="Times New Roman" w:hAnsi="Times New Roman"/>
          <w:sz w:val="24"/>
        </w:rPr>
        <w:t xml:space="preserve"> to </w:t>
      </w:r>
      <w:proofErr w:type="spellStart"/>
      <w:r w:rsidRPr="0093409F">
        <w:rPr>
          <w:rFonts w:ascii="Times New Roman" w:hAnsi="Times New Roman"/>
          <w:sz w:val="24"/>
        </w:rPr>
        <w:t>Kuveyt</w:t>
      </w:r>
      <w:proofErr w:type="spellEnd"/>
      <w:r w:rsidRPr="0093409F">
        <w:rPr>
          <w:rFonts w:ascii="Times New Roman" w:hAnsi="Times New Roman"/>
          <w:sz w:val="24"/>
        </w:rPr>
        <w:t xml:space="preserve"> </w:t>
      </w:r>
      <w:proofErr w:type="spellStart"/>
      <w:r w:rsidRPr="0093409F">
        <w:rPr>
          <w:rFonts w:ascii="Times New Roman" w:hAnsi="Times New Roman"/>
          <w:sz w:val="24"/>
        </w:rPr>
        <w:t>Türk</w:t>
      </w:r>
      <w:proofErr w:type="spellEnd"/>
      <w:r w:rsidRPr="0093409F">
        <w:rPr>
          <w:rFonts w:ascii="Times New Roman" w:hAnsi="Times New Roman"/>
          <w:sz w:val="24"/>
        </w:rPr>
        <w:t xml:space="preserve">. </w:t>
      </w:r>
    </w:p>
    <w:p w:rsidR="0093409F" w:rsidRPr="0093409F" w:rsidRDefault="0093409F" w:rsidP="0093409F">
      <w:pPr>
        <w:pStyle w:val="AralkYok"/>
        <w:jc w:val="both"/>
        <w:rPr>
          <w:rFonts w:ascii="Times New Roman" w:hAnsi="Times New Roman"/>
          <w:b/>
          <w:bCs/>
          <w:sz w:val="24"/>
        </w:rPr>
      </w:pPr>
    </w:p>
    <w:p w:rsidR="001B3496" w:rsidRPr="0093409F" w:rsidRDefault="0093409F" w:rsidP="0093409F">
      <w:pPr>
        <w:spacing w:after="120"/>
        <w:jc w:val="center"/>
        <w:rPr>
          <w:bCs/>
          <w:sz w:val="22"/>
          <w:szCs w:val="22"/>
          <w:lang w:val="en-US"/>
        </w:rPr>
      </w:pPr>
      <w:r>
        <w:rPr>
          <w:bCs/>
          <w:sz w:val="22"/>
          <w:szCs w:val="22"/>
          <w:lang w:val="en-US"/>
        </w:rPr>
        <w:t>Table 9/a</w:t>
      </w:r>
      <w:r w:rsidR="001B3496" w:rsidRPr="0093409F">
        <w:rPr>
          <w:bCs/>
          <w:sz w:val="22"/>
          <w:szCs w:val="22"/>
          <w:lang w:val="en-US"/>
        </w:rPr>
        <w:t xml:space="preserve"> Funds Utilized by Participation Banks 2007-2012 (1000TL)</w:t>
      </w:r>
    </w:p>
    <w:tbl>
      <w:tblPr>
        <w:tblStyle w:val="AkGlgeleme"/>
        <w:tblW w:w="4235" w:type="pct"/>
        <w:jc w:val="center"/>
        <w:tblLook w:val="04A0" w:firstRow="1" w:lastRow="0" w:firstColumn="1" w:lastColumn="0" w:noHBand="0" w:noVBand="1"/>
      </w:tblPr>
      <w:tblGrid>
        <w:gridCol w:w="1827"/>
        <w:gridCol w:w="1328"/>
        <w:gridCol w:w="1116"/>
        <w:gridCol w:w="1116"/>
        <w:gridCol w:w="1116"/>
        <w:gridCol w:w="1123"/>
      </w:tblGrid>
      <w:tr w:rsidR="001B3496" w:rsidRPr="0093409F" w:rsidTr="0093409F">
        <w:trPr>
          <w:cnfStyle w:val="100000000000" w:firstRow="1" w:lastRow="0" w:firstColumn="0" w:lastColumn="0" w:oddVBand="0" w:evenVBand="0" w:oddHBand="0" w:evenHBand="0" w:firstRowFirstColumn="0" w:firstRowLastColumn="0" w:lastRowFirstColumn="0" w:lastRowLastColumn="0"/>
          <w:trHeight w:val="355"/>
          <w:jc w:val="center"/>
        </w:trPr>
        <w:tc>
          <w:tcPr>
            <w:cnfStyle w:val="001000000000" w:firstRow="0" w:lastRow="0" w:firstColumn="1" w:lastColumn="0" w:oddVBand="0" w:evenVBand="0" w:oddHBand="0" w:evenHBand="0" w:firstRowFirstColumn="0" w:firstRowLastColumn="0" w:lastRowFirstColumn="0" w:lastRowLastColumn="0"/>
            <w:tcW w:w="1334"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20"/>
                <w:szCs w:val="20"/>
                <w:lang w:val="en-US"/>
              </w:rPr>
              <w:t>END OF YEAR</w:t>
            </w:r>
          </w:p>
        </w:tc>
        <w:tc>
          <w:tcPr>
            <w:tcW w:w="835"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ALBARAKA TÜRK</w:t>
            </w:r>
          </w:p>
        </w:tc>
        <w:tc>
          <w:tcPr>
            <w:tcW w:w="645"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BANK ASYA</w:t>
            </w:r>
          </w:p>
        </w:tc>
        <w:tc>
          <w:tcPr>
            <w:tcW w:w="647"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KUVEYT TÜRK</w:t>
            </w:r>
          </w:p>
        </w:tc>
        <w:tc>
          <w:tcPr>
            <w:tcW w:w="666"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TÜRKİYE FİNANS</w:t>
            </w:r>
          </w:p>
        </w:tc>
        <w:tc>
          <w:tcPr>
            <w:tcW w:w="872"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TOTAL SUM</w:t>
            </w:r>
          </w:p>
        </w:tc>
      </w:tr>
      <w:tr w:rsidR="001B3496" w:rsidRPr="0093409F" w:rsidTr="0093409F">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1334"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20"/>
                <w:szCs w:val="20"/>
                <w:lang w:val="en-US"/>
              </w:rPr>
              <w:t>Average 2007-2012</w:t>
            </w:r>
          </w:p>
        </w:tc>
        <w:tc>
          <w:tcPr>
            <w:tcW w:w="83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5.644.337</w:t>
            </w:r>
          </w:p>
        </w:tc>
        <w:tc>
          <w:tcPr>
            <w:tcW w:w="64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9.871.255</w:t>
            </w:r>
          </w:p>
        </w:tc>
        <w:tc>
          <w:tcPr>
            <w:tcW w:w="647"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6.916.123</w:t>
            </w:r>
          </w:p>
        </w:tc>
        <w:tc>
          <w:tcPr>
            <w:tcW w:w="666"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8.092.604</w:t>
            </w:r>
          </w:p>
        </w:tc>
        <w:tc>
          <w:tcPr>
            <w:tcW w:w="872"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30.524.319</w:t>
            </w:r>
          </w:p>
        </w:tc>
      </w:tr>
      <w:tr w:rsidR="001B3496" w:rsidRPr="0093409F" w:rsidTr="0093409F">
        <w:trPr>
          <w:trHeight w:val="170"/>
          <w:jc w:val="center"/>
        </w:trPr>
        <w:tc>
          <w:tcPr>
            <w:cnfStyle w:val="001000000000" w:firstRow="0" w:lastRow="0" w:firstColumn="1" w:lastColumn="0" w:oddVBand="0" w:evenVBand="0" w:oddHBand="0" w:evenHBand="0" w:firstRowFirstColumn="0" w:firstRowLastColumn="0" w:lastRowFirstColumn="0" w:lastRowLastColumn="0"/>
            <w:tcW w:w="1334"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20"/>
                <w:szCs w:val="20"/>
                <w:lang w:val="en-US"/>
              </w:rPr>
              <w:t>2012</w:t>
            </w:r>
          </w:p>
        </w:tc>
        <w:tc>
          <w:tcPr>
            <w:tcW w:w="835"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9.075.183</w:t>
            </w:r>
          </w:p>
        </w:tc>
        <w:tc>
          <w:tcPr>
            <w:tcW w:w="645"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16.085.168</w:t>
            </w:r>
          </w:p>
        </w:tc>
        <w:tc>
          <w:tcPr>
            <w:tcW w:w="647"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11.848.419</w:t>
            </w:r>
          </w:p>
        </w:tc>
        <w:tc>
          <w:tcPr>
            <w:tcW w:w="666"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12.971.058</w:t>
            </w:r>
          </w:p>
        </w:tc>
        <w:tc>
          <w:tcPr>
            <w:tcW w:w="872"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49.979.828</w:t>
            </w:r>
          </w:p>
        </w:tc>
      </w:tr>
      <w:tr w:rsidR="001B3496" w:rsidRPr="0093409F" w:rsidTr="0093409F">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334"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20"/>
                <w:szCs w:val="20"/>
                <w:lang w:val="en-US"/>
              </w:rPr>
              <w:t>2011</w:t>
            </w:r>
          </w:p>
        </w:tc>
        <w:tc>
          <w:tcPr>
            <w:tcW w:w="83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7.273.906</w:t>
            </w:r>
          </w:p>
        </w:tc>
        <w:tc>
          <w:tcPr>
            <w:tcW w:w="64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13.141.380</w:t>
            </w:r>
          </w:p>
        </w:tc>
        <w:tc>
          <w:tcPr>
            <w:tcW w:w="647"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10.360.917</w:t>
            </w:r>
          </w:p>
        </w:tc>
        <w:tc>
          <w:tcPr>
            <w:tcW w:w="666"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10.327.232</w:t>
            </w:r>
          </w:p>
        </w:tc>
        <w:tc>
          <w:tcPr>
            <w:tcW w:w="872"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41.103.435</w:t>
            </w:r>
          </w:p>
        </w:tc>
      </w:tr>
      <w:tr w:rsidR="001B3496" w:rsidRPr="0093409F" w:rsidTr="0093409F">
        <w:trPr>
          <w:trHeight w:val="240"/>
          <w:jc w:val="center"/>
        </w:trPr>
        <w:tc>
          <w:tcPr>
            <w:cnfStyle w:val="001000000000" w:firstRow="0" w:lastRow="0" w:firstColumn="1" w:lastColumn="0" w:oddVBand="0" w:evenVBand="0" w:oddHBand="0" w:evenHBand="0" w:firstRowFirstColumn="0" w:firstRowLastColumn="0" w:lastRowFirstColumn="0" w:lastRowLastColumn="0"/>
            <w:tcW w:w="1334"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20"/>
                <w:szCs w:val="20"/>
                <w:lang w:val="en-US"/>
              </w:rPr>
              <w:t>2010</w:t>
            </w:r>
          </w:p>
        </w:tc>
        <w:tc>
          <w:tcPr>
            <w:tcW w:w="835"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6.269.485</w:t>
            </w:r>
          </w:p>
        </w:tc>
        <w:tc>
          <w:tcPr>
            <w:tcW w:w="645"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10.916.732</w:t>
            </w:r>
          </w:p>
        </w:tc>
        <w:tc>
          <w:tcPr>
            <w:tcW w:w="647"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6.984.989</w:t>
            </w:r>
          </w:p>
        </w:tc>
        <w:tc>
          <w:tcPr>
            <w:tcW w:w="666"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7.913.437</w:t>
            </w:r>
          </w:p>
        </w:tc>
        <w:tc>
          <w:tcPr>
            <w:tcW w:w="872"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32.084.643</w:t>
            </w:r>
          </w:p>
        </w:tc>
      </w:tr>
      <w:tr w:rsidR="001B3496" w:rsidRPr="0093409F" w:rsidTr="0093409F">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334"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20"/>
                <w:szCs w:val="20"/>
                <w:lang w:val="en-US"/>
              </w:rPr>
              <w:t>2009</w:t>
            </w:r>
          </w:p>
        </w:tc>
        <w:tc>
          <w:tcPr>
            <w:tcW w:w="83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4.675.617</w:t>
            </w:r>
          </w:p>
        </w:tc>
        <w:tc>
          <w:tcPr>
            <w:tcW w:w="64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8.221.427</w:t>
            </w:r>
          </w:p>
        </w:tc>
        <w:tc>
          <w:tcPr>
            <w:tcW w:w="647"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4.904.932</w:t>
            </w:r>
          </w:p>
        </w:tc>
        <w:tc>
          <w:tcPr>
            <w:tcW w:w="666"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7.109.233</w:t>
            </w:r>
          </w:p>
        </w:tc>
        <w:tc>
          <w:tcPr>
            <w:tcW w:w="872"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24.911.209</w:t>
            </w:r>
          </w:p>
        </w:tc>
      </w:tr>
      <w:tr w:rsidR="001B3496" w:rsidRPr="0093409F" w:rsidTr="0093409F">
        <w:trPr>
          <w:trHeight w:val="240"/>
          <w:jc w:val="center"/>
        </w:trPr>
        <w:tc>
          <w:tcPr>
            <w:cnfStyle w:val="001000000000" w:firstRow="0" w:lastRow="0" w:firstColumn="1" w:lastColumn="0" w:oddVBand="0" w:evenVBand="0" w:oddHBand="0" w:evenHBand="0" w:firstRowFirstColumn="0" w:firstRowLastColumn="0" w:lastRowFirstColumn="0" w:lastRowLastColumn="0"/>
            <w:tcW w:w="1334"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20"/>
                <w:szCs w:val="20"/>
                <w:lang w:val="en-US"/>
              </w:rPr>
              <w:t>2008</w:t>
            </w:r>
          </w:p>
        </w:tc>
        <w:tc>
          <w:tcPr>
            <w:tcW w:w="835"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3.716.977</w:t>
            </w:r>
          </w:p>
        </w:tc>
        <w:tc>
          <w:tcPr>
            <w:tcW w:w="645"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6.253.160</w:t>
            </w:r>
          </w:p>
        </w:tc>
        <w:tc>
          <w:tcPr>
            <w:tcW w:w="647"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4.237.341</w:t>
            </w:r>
          </w:p>
        </w:tc>
        <w:tc>
          <w:tcPr>
            <w:tcW w:w="666"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5.526.380</w:t>
            </w:r>
          </w:p>
        </w:tc>
        <w:tc>
          <w:tcPr>
            <w:tcW w:w="872"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19.733.858</w:t>
            </w:r>
          </w:p>
        </w:tc>
      </w:tr>
      <w:tr w:rsidR="001B3496" w:rsidRPr="0093409F" w:rsidTr="0093409F">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334"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20"/>
                <w:szCs w:val="20"/>
                <w:lang w:val="en-US"/>
              </w:rPr>
              <w:t>2007</w:t>
            </w:r>
          </w:p>
        </w:tc>
        <w:tc>
          <w:tcPr>
            <w:tcW w:w="83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2.854.852</w:t>
            </w:r>
          </w:p>
        </w:tc>
        <w:tc>
          <w:tcPr>
            <w:tcW w:w="64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4.609.665</w:t>
            </w:r>
          </w:p>
        </w:tc>
        <w:tc>
          <w:tcPr>
            <w:tcW w:w="647"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3.160.138</w:t>
            </w:r>
          </w:p>
        </w:tc>
        <w:tc>
          <w:tcPr>
            <w:tcW w:w="666"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4.708.285</w:t>
            </w:r>
          </w:p>
        </w:tc>
        <w:tc>
          <w:tcPr>
            <w:tcW w:w="872"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15.332.940</w:t>
            </w:r>
          </w:p>
        </w:tc>
      </w:tr>
    </w:tbl>
    <w:p w:rsidR="0093409F" w:rsidRDefault="0093409F" w:rsidP="001B3496">
      <w:pPr>
        <w:spacing w:after="120"/>
        <w:jc w:val="center"/>
        <w:rPr>
          <w:bCs/>
          <w:sz w:val="22"/>
          <w:szCs w:val="22"/>
          <w:lang w:val="en-US"/>
        </w:rPr>
      </w:pPr>
    </w:p>
    <w:p w:rsidR="001B3496" w:rsidRDefault="001B3496" w:rsidP="001B3496">
      <w:pPr>
        <w:spacing w:after="120"/>
        <w:jc w:val="center"/>
        <w:rPr>
          <w:bCs/>
          <w:sz w:val="22"/>
          <w:szCs w:val="22"/>
          <w:lang w:val="en-US"/>
        </w:rPr>
      </w:pPr>
      <w:r w:rsidRPr="0093409F">
        <w:rPr>
          <w:bCs/>
          <w:sz w:val="22"/>
          <w:szCs w:val="22"/>
          <w:lang w:val="en-US"/>
        </w:rPr>
        <w:t>Table</w:t>
      </w:r>
      <w:r w:rsidR="0093409F">
        <w:rPr>
          <w:bCs/>
          <w:sz w:val="22"/>
          <w:szCs w:val="22"/>
          <w:lang w:val="en-US"/>
        </w:rPr>
        <w:t xml:space="preserve"> </w:t>
      </w:r>
      <w:r w:rsidRPr="0093409F">
        <w:rPr>
          <w:bCs/>
          <w:sz w:val="22"/>
          <w:szCs w:val="22"/>
          <w:lang w:val="en-US"/>
        </w:rPr>
        <w:t>9/b</w:t>
      </w:r>
      <w:r w:rsidR="0093409F">
        <w:rPr>
          <w:bCs/>
          <w:sz w:val="22"/>
          <w:szCs w:val="22"/>
          <w:lang w:val="en-US"/>
        </w:rPr>
        <w:t xml:space="preserve"> Increase Rate f</w:t>
      </w:r>
      <w:r w:rsidRPr="0093409F">
        <w:rPr>
          <w:bCs/>
          <w:sz w:val="22"/>
          <w:szCs w:val="22"/>
          <w:lang w:val="en-US"/>
        </w:rPr>
        <w:t>rom Previous Year at Funds Utilized by Participation Banks 2007-2012</w:t>
      </w:r>
    </w:p>
    <w:tbl>
      <w:tblPr>
        <w:tblStyle w:val="AkGlgeleme"/>
        <w:tblW w:w="4213" w:type="pct"/>
        <w:jc w:val="center"/>
        <w:tblLook w:val="04A0" w:firstRow="1" w:lastRow="0" w:firstColumn="1" w:lastColumn="0" w:noHBand="0" w:noVBand="1"/>
      </w:tblPr>
      <w:tblGrid>
        <w:gridCol w:w="1464"/>
        <w:gridCol w:w="1328"/>
        <w:gridCol w:w="783"/>
        <w:gridCol w:w="1039"/>
        <w:gridCol w:w="1094"/>
        <w:gridCol w:w="1878"/>
      </w:tblGrid>
      <w:tr w:rsidR="001B3496" w:rsidRPr="0093409F" w:rsidTr="0093409F">
        <w:trPr>
          <w:cnfStyle w:val="100000000000" w:firstRow="1" w:lastRow="0" w:firstColumn="0" w:lastColumn="0" w:oddVBand="0" w:evenVBand="0" w:oddHBand="0"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964"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20"/>
                <w:szCs w:val="20"/>
                <w:lang w:val="en-US"/>
              </w:rPr>
              <w:t>END OF YEAR</w:t>
            </w:r>
          </w:p>
        </w:tc>
        <w:tc>
          <w:tcPr>
            <w:tcW w:w="875"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ALBARAKA TÜRK</w:t>
            </w:r>
          </w:p>
        </w:tc>
        <w:tc>
          <w:tcPr>
            <w:tcW w:w="516"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BANK ASYA</w:t>
            </w:r>
          </w:p>
        </w:tc>
        <w:tc>
          <w:tcPr>
            <w:tcW w:w="685"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KUVEYT TÜRK</w:t>
            </w:r>
          </w:p>
        </w:tc>
        <w:tc>
          <w:tcPr>
            <w:tcW w:w="721"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TÜRKİYE FİNANS</w:t>
            </w:r>
          </w:p>
        </w:tc>
        <w:tc>
          <w:tcPr>
            <w:tcW w:w="1238"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 xml:space="preserve">Increase Rate From </w:t>
            </w:r>
            <w:proofErr w:type="spellStart"/>
            <w:r w:rsidRPr="0093409F">
              <w:rPr>
                <w:b w:val="0"/>
                <w:bCs w:val="0"/>
                <w:sz w:val="20"/>
                <w:szCs w:val="20"/>
                <w:lang w:val="en-US"/>
              </w:rPr>
              <w:t>Prev.Year</w:t>
            </w:r>
            <w:proofErr w:type="spellEnd"/>
            <w:r w:rsidRPr="0093409F">
              <w:rPr>
                <w:b w:val="0"/>
                <w:bCs w:val="0"/>
                <w:sz w:val="20"/>
                <w:szCs w:val="20"/>
                <w:lang w:val="en-US"/>
              </w:rPr>
              <w:t xml:space="preserve"> Total Sum</w:t>
            </w:r>
          </w:p>
        </w:tc>
      </w:tr>
      <w:tr w:rsidR="001B3496" w:rsidRPr="0093409F" w:rsidTr="0093409F">
        <w:trPr>
          <w:cnfStyle w:val="000000100000" w:firstRow="0" w:lastRow="0" w:firstColumn="0" w:lastColumn="0" w:oddVBand="0" w:evenVBand="0" w:oddHBand="1" w:evenHBand="0" w:firstRowFirstColumn="0" w:firstRowLastColumn="0" w:lastRowFirstColumn="0" w:lastRowLastColumn="0"/>
          <w:trHeight w:val="153"/>
          <w:jc w:val="center"/>
        </w:trPr>
        <w:tc>
          <w:tcPr>
            <w:cnfStyle w:val="001000000000" w:firstRow="0" w:lastRow="0" w:firstColumn="1" w:lastColumn="0" w:oddVBand="0" w:evenVBand="0" w:oddHBand="0" w:evenHBand="0" w:firstRowFirstColumn="0" w:firstRowLastColumn="0" w:lastRowFirstColumn="0" w:lastRowLastColumn="0"/>
            <w:tcW w:w="964" w:type="pct"/>
            <w:shd w:val="clear" w:color="auto" w:fill="auto"/>
            <w:hideMark/>
          </w:tcPr>
          <w:p w:rsidR="001B3496" w:rsidRPr="0093409F" w:rsidRDefault="001B3496" w:rsidP="001B3496">
            <w:pPr>
              <w:jc w:val="right"/>
              <w:rPr>
                <w:b w:val="0"/>
                <w:bCs w:val="0"/>
                <w:sz w:val="20"/>
                <w:szCs w:val="20"/>
                <w:lang w:val="en-US"/>
              </w:rPr>
            </w:pPr>
            <w:r w:rsidRPr="0093409F">
              <w:rPr>
                <w:b w:val="0"/>
                <w:bCs w:val="0"/>
                <w:sz w:val="20"/>
                <w:szCs w:val="20"/>
                <w:lang w:val="en-US"/>
              </w:rPr>
              <w:t>Average 2007-2012</w:t>
            </w:r>
          </w:p>
        </w:tc>
        <w:tc>
          <w:tcPr>
            <w:tcW w:w="87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28%</w:t>
            </w:r>
          </w:p>
        </w:tc>
        <w:tc>
          <w:tcPr>
            <w:tcW w:w="516"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37%</w:t>
            </w:r>
          </w:p>
        </w:tc>
        <w:tc>
          <w:tcPr>
            <w:tcW w:w="68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36%</w:t>
            </w:r>
          </w:p>
        </w:tc>
        <w:tc>
          <w:tcPr>
            <w:tcW w:w="721"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23%</w:t>
            </w:r>
          </w:p>
        </w:tc>
        <w:tc>
          <w:tcPr>
            <w:tcW w:w="1238"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26%</w:t>
            </w:r>
          </w:p>
        </w:tc>
      </w:tr>
      <w:tr w:rsidR="001B3496" w:rsidRPr="0093409F" w:rsidTr="0093409F">
        <w:trPr>
          <w:trHeight w:val="153"/>
          <w:jc w:val="center"/>
        </w:trPr>
        <w:tc>
          <w:tcPr>
            <w:cnfStyle w:val="001000000000" w:firstRow="0" w:lastRow="0" w:firstColumn="1" w:lastColumn="0" w:oddVBand="0" w:evenVBand="0" w:oddHBand="0" w:evenHBand="0" w:firstRowFirstColumn="0" w:firstRowLastColumn="0" w:lastRowFirstColumn="0" w:lastRowLastColumn="0"/>
            <w:tcW w:w="964" w:type="pct"/>
            <w:shd w:val="clear" w:color="auto" w:fill="auto"/>
            <w:hideMark/>
          </w:tcPr>
          <w:p w:rsidR="001B3496" w:rsidRPr="0093409F" w:rsidRDefault="001B3496" w:rsidP="001B3496">
            <w:pPr>
              <w:jc w:val="right"/>
              <w:rPr>
                <w:b w:val="0"/>
                <w:bCs w:val="0"/>
                <w:sz w:val="20"/>
                <w:szCs w:val="20"/>
                <w:lang w:val="en-US"/>
              </w:rPr>
            </w:pPr>
            <w:r w:rsidRPr="0093409F">
              <w:rPr>
                <w:b w:val="0"/>
                <w:bCs w:val="0"/>
                <w:sz w:val="20"/>
                <w:szCs w:val="20"/>
                <w:lang w:val="en-US"/>
              </w:rPr>
              <w:t>2012</w:t>
            </w:r>
          </w:p>
        </w:tc>
        <w:tc>
          <w:tcPr>
            <w:tcW w:w="875"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16%</w:t>
            </w:r>
          </w:p>
        </w:tc>
        <w:tc>
          <w:tcPr>
            <w:tcW w:w="516"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48%</w:t>
            </w:r>
          </w:p>
        </w:tc>
        <w:tc>
          <w:tcPr>
            <w:tcW w:w="685"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28%</w:t>
            </w:r>
          </w:p>
        </w:tc>
        <w:tc>
          <w:tcPr>
            <w:tcW w:w="721"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0%</w:t>
            </w:r>
          </w:p>
        </w:tc>
        <w:tc>
          <w:tcPr>
            <w:tcW w:w="1238"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0%</w:t>
            </w:r>
          </w:p>
        </w:tc>
      </w:tr>
      <w:tr w:rsidR="001B3496" w:rsidRPr="0093409F" w:rsidTr="0093409F">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964" w:type="pct"/>
            <w:shd w:val="clear" w:color="auto" w:fill="auto"/>
            <w:hideMark/>
          </w:tcPr>
          <w:p w:rsidR="001B3496" w:rsidRPr="0093409F" w:rsidRDefault="001B3496" w:rsidP="001B3496">
            <w:pPr>
              <w:jc w:val="right"/>
              <w:rPr>
                <w:b w:val="0"/>
                <w:bCs w:val="0"/>
                <w:sz w:val="20"/>
                <w:szCs w:val="20"/>
                <w:lang w:val="en-US"/>
              </w:rPr>
            </w:pPr>
            <w:r w:rsidRPr="0093409F">
              <w:rPr>
                <w:b w:val="0"/>
                <w:bCs w:val="0"/>
                <w:sz w:val="20"/>
                <w:szCs w:val="20"/>
                <w:lang w:val="en-US"/>
              </w:rPr>
              <w:t>2011</w:t>
            </w:r>
          </w:p>
        </w:tc>
        <w:tc>
          <w:tcPr>
            <w:tcW w:w="87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16%</w:t>
            </w:r>
          </w:p>
        </w:tc>
        <w:tc>
          <w:tcPr>
            <w:tcW w:w="516"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20%</w:t>
            </w:r>
          </w:p>
        </w:tc>
        <w:tc>
          <w:tcPr>
            <w:tcW w:w="68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48%</w:t>
            </w:r>
          </w:p>
        </w:tc>
        <w:tc>
          <w:tcPr>
            <w:tcW w:w="721"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31%</w:t>
            </w:r>
          </w:p>
        </w:tc>
        <w:tc>
          <w:tcPr>
            <w:tcW w:w="1238"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28%</w:t>
            </w:r>
          </w:p>
        </w:tc>
      </w:tr>
      <w:tr w:rsidR="001B3496" w:rsidRPr="0093409F" w:rsidTr="0093409F">
        <w:trPr>
          <w:trHeight w:val="240"/>
          <w:jc w:val="center"/>
        </w:trPr>
        <w:tc>
          <w:tcPr>
            <w:cnfStyle w:val="001000000000" w:firstRow="0" w:lastRow="0" w:firstColumn="1" w:lastColumn="0" w:oddVBand="0" w:evenVBand="0" w:oddHBand="0" w:evenHBand="0" w:firstRowFirstColumn="0" w:firstRowLastColumn="0" w:lastRowFirstColumn="0" w:lastRowLastColumn="0"/>
            <w:tcW w:w="964" w:type="pct"/>
            <w:shd w:val="clear" w:color="auto" w:fill="auto"/>
            <w:hideMark/>
          </w:tcPr>
          <w:p w:rsidR="001B3496" w:rsidRPr="0093409F" w:rsidRDefault="001B3496" w:rsidP="001B3496">
            <w:pPr>
              <w:jc w:val="right"/>
              <w:rPr>
                <w:b w:val="0"/>
                <w:bCs w:val="0"/>
                <w:sz w:val="20"/>
                <w:szCs w:val="20"/>
                <w:lang w:val="en-US"/>
              </w:rPr>
            </w:pPr>
            <w:r w:rsidRPr="0093409F">
              <w:rPr>
                <w:b w:val="0"/>
                <w:bCs w:val="0"/>
                <w:sz w:val="20"/>
                <w:szCs w:val="20"/>
                <w:lang w:val="en-US"/>
              </w:rPr>
              <w:t>2010</w:t>
            </w:r>
          </w:p>
        </w:tc>
        <w:tc>
          <w:tcPr>
            <w:tcW w:w="875"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34%</w:t>
            </w:r>
          </w:p>
        </w:tc>
        <w:tc>
          <w:tcPr>
            <w:tcW w:w="516"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33%</w:t>
            </w:r>
          </w:p>
        </w:tc>
        <w:tc>
          <w:tcPr>
            <w:tcW w:w="685"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42%</w:t>
            </w:r>
          </w:p>
        </w:tc>
        <w:tc>
          <w:tcPr>
            <w:tcW w:w="721"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11%</w:t>
            </w:r>
          </w:p>
        </w:tc>
        <w:tc>
          <w:tcPr>
            <w:tcW w:w="1238"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bCs/>
                <w:sz w:val="20"/>
                <w:szCs w:val="20"/>
                <w:lang w:val="en-US"/>
              </w:rPr>
            </w:pPr>
            <w:r w:rsidRPr="0093409F">
              <w:rPr>
                <w:bCs/>
                <w:sz w:val="20"/>
                <w:szCs w:val="20"/>
                <w:lang w:val="en-US"/>
              </w:rPr>
              <w:t>29%</w:t>
            </w:r>
          </w:p>
        </w:tc>
      </w:tr>
      <w:tr w:rsidR="001B3496" w:rsidRPr="0093409F" w:rsidTr="0093409F">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964" w:type="pct"/>
            <w:shd w:val="clear" w:color="auto" w:fill="auto"/>
            <w:hideMark/>
          </w:tcPr>
          <w:p w:rsidR="001B3496" w:rsidRPr="0093409F" w:rsidRDefault="001B3496" w:rsidP="001B3496">
            <w:pPr>
              <w:jc w:val="right"/>
              <w:rPr>
                <w:b w:val="0"/>
                <w:bCs w:val="0"/>
                <w:sz w:val="20"/>
                <w:szCs w:val="20"/>
                <w:lang w:val="en-US"/>
              </w:rPr>
            </w:pPr>
            <w:r w:rsidRPr="0093409F">
              <w:rPr>
                <w:b w:val="0"/>
                <w:bCs w:val="0"/>
                <w:sz w:val="20"/>
                <w:szCs w:val="20"/>
                <w:lang w:val="en-US"/>
              </w:rPr>
              <w:t>2009</w:t>
            </w:r>
          </w:p>
        </w:tc>
        <w:tc>
          <w:tcPr>
            <w:tcW w:w="87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26%</w:t>
            </w:r>
          </w:p>
        </w:tc>
        <w:tc>
          <w:tcPr>
            <w:tcW w:w="516"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31%</w:t>
            </w:r>
          </w:p>
        </w:tc>
        <w:tc>
          <w:tcPr>
            <w:tcW w:w="68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16%</w:t>
            </w:r>
          </w:p>
        </w:tc>
        <w:tc>
          <w:tcPr>
            <w:tcW w:w="721"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29%</w:t>
            </w:r>
          </w:p>
        </w:tc>
        <w:tc>
          <w:tcPr>
            <w:tcW w:w="1238"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26%</w:t>
            </w:r>
          </w:p>
        </w:tc>
      </w:tr>
      <w:tr w:rsidR="001B3496" w:rsidRPr="0093409F" w:rsidTr="0093409F">
        <w:trPr>
          <w:trHeight w:val="240"/>
          <w:jc w:val="center"/>
        </w:trPr>
        <w:tc>
          <w:tcPr>
            <w:cnfStyle w:val="001000000000" w:firstRow="0" w:lastRow="0" w:firstColumn="1" w:lastColumn="0" w:oddVBand="0" w:evenVBand="0" w:oddHBand="0" w:evenHBand="0" w:firstRowFirstColumn="0" w:firstRowLastColumn="0" w:lastRowFirstColumn="0" w:lastRowLastColumn="0"/>
            <w:tcW w:w="964" w:type="pct"/>
            <w:shd w:val="clear" w:color="auto" w:fill="auto"/>
            <w:hideMark/>
          </w:tcPr>
          <w:p w:rsidR="001B3496" w:rsidRPr="0093409F" w:rsidRDefault="001B3496" w:rsidP="001B3496">
            <w:pPr>
              <w:jc w:val="right"/>
              <w:rPr>
                <w:b w:val="0"/>
                <w:bCs w:val="0"/>
                <w:sz w:val="20"/>
                <w:szCs w:val="20"/>
                <w:lang w:val="en-US"/>
              </w:rPr>
            </w:pPr>
            <w:r w:rsidRPr="0093409F">
              <w:rPr>
                <w:b w:val="0"/>
                <w:bCs w:val="0"/>
                <w:sz w:val="20"/>
                <w:szCs w:val="20"/>
                <w:lang w:val="en-US"/>
              </w:rPr>
              <w:t>2008</w:t>
            </w:r>
          </w:p>
        </w:tc>
        <w:tc>
          <w:tcPr>
            <w:tcW w:w="875"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30%</w:t>
            </w:r>
          </w:p>
        </w:tc>
        <w:tc>
          <w:tcPr>
            <w:tcW w:w="516"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36%</w:t>
            </w:r>
          </w:p>
        </w:tc>
        <w:tc>
          <w:tcPr>
            <w:tcW w:w="685"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34%</w:t>
            </w:r>
          </w:p>
        </w:tc>
        <w:tc>
          <w:tcPr>
            <w:tcW w:w="721"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17%</w:t>
            </w:r>
          </w:p>
        </w:tc>
        <w:tc>
          <w:tcPr>
            <w:tcW w:w="1238"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bCs/>
                <w:sz w:val="20"/>
                <w:szCs w:val="20"/>
                <w:lang w:val="en-US"/>
              </w:rPr>
            </w:pPr>
            <w:r w:rsidRPr="0093409F">
              <w:rPr>
                <w:bCs/>
                <w:sz w:val="20"/>
                <w:szCs w:val="20"/>
                <w:lang w:val="en-US"/>
              </w:rPr>
              <w:t>29%</w:t>
            </w:r>
          </w:p>
        </w:tc>
      </w:tr>
      <w:tr w:rsidR="001B3496" w:rsidRPr="0093409F" w:rsidTr="0093409F">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964" w:type="pct"/>
            <w:shd w:val="clear" w:color="auto" w:fill="auto"/>
            <w:hideMark/>
          </w:tcPr>
          <w:p w:rsidR="001B3496" w:rsidRPr="0093409F" w:rsidRDefault="001B3496" w:rsidP="001B3496">
            <w:pPr>
              <w:jc w:val="right"/>
              <w:rPr>
                <w:b w:val="0"/>
                <w:bCs w:val="0"/>
                <w:sz w:val="20"/>
                <w:szCs w:val="20"/>
                <w:lang w:val="en-US"/>
              </w:rPr>
            </w:pPr>
            <w:r w:rsidRPr="0093409F">
              <w:rPr>
                <w:b w:val="0"/>
                <w:bCs w:val="0"/>
                <w:sz w:val="20"/>
                <w:szCs w:val="20"/>
                <w:lang w:val="en-US"/>
              </w:rPr>
              <w:t>2007</w:t>
            </w:r>
          </w:p>
        </w:tc>
        <w:tc>
          <w:tcPr>
            <w:tcW w:w="87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44%</w:t>
            </w:r>
          </w:p>
        </w:tc>
        <w:tc>
          <w:tcPr>
            <w:tcW w:w="516"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51%</w:t>
            </w:r>
          </w:p>
        </w:tc>
        <w:tc>
          <w:tcPr>
            <w:tcW w:w="68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47%</w:t>
            </w:r>
          </w:p>
        </w:tc>
        <w:tc>
          <w:tcPr>
            <w:tcW w:w="721"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49%</w:t>
            </w:r>
          </w:p>
        </w:tc>
        <w:tc>
          <w:tcPr>
            <w:tcW w:w="1238"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46%</w:t>
            </w:r>
          </w:p>
        </w:tc>
      </w:tr>
    </w:tbl>
    <w:p w:rsidR="001B3496" w:rsidRPr="0093409F" w:rsidRDefault="001B3496" w:rsidP="0093409F">
      <w:pPr>
        <w:pStyle w:val="AralkYok"/>
        <w:jc w:val="center"/>
        <w:rPr>
          <w:rFonts w:ascii="Times New Roman" w:hAnsi="Times New Roman"/>
          <w:sz w:val="20"/>
          <w:szCs w:val="20"/>
        </w:rPr>
      </w:pPr>
      <w:r w:rsidRPr="0093409F">
        <w:rPr>
          <w:rFonts w:ascii="Times New Roman" w:hAnsi="Times New Roman"/>
          <w:sz w:val="20"/>
          <w:szCs w:val="20"/>
        </w:rPr>
        <w:t>Source: Collected from data provided by (BAT, The Bank Association of Turkey, 2011) (BAT, The Bank Association of Turkey, 2012-2013) (PBAT, The Participation Banks Association of Turkey, 2012-2013).</w:t>
      </w:r>
    </w:p>
    <w:p w:rsidR="0093409F" w:rsidRPr="0093409F" w:rsidRDefault="0093409F" w:rsidP="001B3496">
      <w:pPr>
        <w:pStyle w:val="Balk2"/>
        <w:numPr>
          <w:ilvl w:val="0"/>
          <w:numId w:val="0"/>
        </w:numPr>
        <w:ind w:left="284"/>
      </w:pPr>
    </w:p>
    <w:p w:rsidR="001B3496" w:rsidRDefault="001B3496" w:rsidP="001B3496">
      <w:pPr>
        <w:pStyle w:val="Balk2"/>
        <w:numPr>
          <w:ilvl w:val="0"/>
          <w:numId w:val="0"/>
        </w:numPr>
        <w:ind w:left="284"/>
      </w:pPr>
      <w:r w:rsidRPr="0093409F">
        <w:t>Growth of Net Profit</w:t>
      </w:r>
    </w:p>
    <w:p w:rsidR="0093409F" w:rsidRPr="0093409F" w:rsidRDefault="0093409F" w:rsidP="0093409F">
      <w:pPr>
        <w:rPr>
          <w:lang w:val="en-US" w:eastAsia="en-US"/>
        </w:rPr>
      </w:pPr>
    </w:p>
    <w:p w:rsidR="001B3496" w:rsidRPr="0093409F" w:rsidRDefault="001B3496" w:rsidP="001B3496">
      <w:pPr>
        <w:spacing w:after="120"/>
        <w:jc w:val="center"/>
        <w:rPr>
          <w:bCs/>
          <w:sz w:val="22"/>
          <w:szCs w:val="22"/>
          <w:lang w:val="en-US"/>
        </w:rPr>
      </w:pPr>
      <w:r w:rsidRPr="0093409F">
        <w:rPr>
          <w:bCs/>
          <w:sz w:val="22"/>
          <w:szCs w:val="22"/>
          <w:lang w:val="en-US"/>
        </w:rPr>
        <w:t>Table</w:t>
      </w:r>
      <w:r w:rsidR="0093409F">
        <w:rPr>
          <w:bCs/>
          <w:sz w:val="22"/>
          <w:szCs w:val="22"/>
          <w:lang w:val="en-US"/>
        </w:rPr>
        <w:t xml:space="preserve"> </w:t>
      </w:r>
      <w:r w:rsidRPr="0093409F">
        <w:rPr>
          <w:bCs/>
          <w:sz w:val="22"/>
          <w:szCs w:val="22"/>
          <w:lang w:val="en-US"/>
        </w:rPr>
        <w:t>10/a</w:t>
      </w:r>
      <w:r w:rsidR="0093409F">
        <w:rPr>
          <w:bCs/>
          <w:sz w:val="22"/>
          <w:szCs w:val="22"/>
          <w:lang w:val="en-US"/>
        </w:rPr>
        <w:t xml:space="preserve"> </w:t>
      </w:r>
      <w:r w:rsidRPr="0093409F">
        <w:rPr>
          <w:bCs/>
          <w:sz w:val="22"/>
          <w:szCs w:val="22"/>
          <w:lang w:val="en-US"/>
        </w:rPr>
        <w:t>Growth of Net Profit, 2007-2012 (1000TL)</w:t>
      </w:r>
    </w:p>
    <w:tbl>
      <w:tblPr>
        <w:tblStyle w:val="AkGlgeleme"/>
        <w:tblW w:w="4297" w:type="pct"/>
        <w:jc w:val="center"/>
        <w:tblLook w:val="04A0" w:firstRow="1" w:lastRow="0" w:firstColumn="1" w:lastColumn="0" w:noHBand="0" w:noVBand="1"/>
      </w:tblPr>
      <w:tblGrid>
        <w:gridCol w:w="2015"/>
        <w:gridCol w:w="1328"/>
        <w:gridCol w:w="866"/>
        <w:gridCol w:w="1039"/>
        <w:gridCol w:w="1094"/>
        <w:gridCol w:w="1395"/>
      </w:tblGrid>
      <w:tr w:rsidR="001B3496" w:rsidRPr="0093409F" w:rsidTr="0093409F">
        <w:trPr>
          <w:cnfStyle w:val="100000000000" w:firstRow="1" w:lastRow="0" w:firstColumn="0" w:lastColumn="0" w:oddVBand="0" w:evenVBand="0" w:oddHBand="0" w:evenHBand="0" w:firstRowFirstColumn="0" w:firstRowLastColumn="0" w:lastRowFirstColumn="0" w:lastRowLastColumn="0"/>
          <w:trHeight w:val="378"/>
          <w:jc w:val="center"/>
        </w:trPr>
        <w:tc>
          <w:tcPr>
            <w:cnfStyle w:val="001000000000" w:firstRow="0" w:lastRow="0" w:firstColumn="1" w:lastColumn="0" w:oddVBand="0" w:evenVBand="0" w:oddHBand="0" w:evenHBand="0" w:firstRowFirstColumn="0" w:firstRowLastColumn="0" w:lastRowFirstColumn="0" w:lastRowLastColumn="0"/>
            <w:tcW w:w="1335"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20"/>
                <w:szCs w:val="20"/>
                <w:lang w:val="en-US"/>
              </w:rPr>
              <w:t>END OF YEAR</w:t>
            </w:r>
          </w:p>
        </w:tc>
        <w:tc>
          <w:tcPr>
            <w:tcW w:w="799"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ALBARAKA TÜRK</w:t>
            </w:r>
          </w:p>
        </w:tc>
        <w:tc>
          <w:tcPr>
            <w:tcW w:w="556"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BANK ASYA</w:t>
            </w:r>
          </w:p>
        </w:tc>
        <w:tc>
          <w:tcPr>
            <w:tcW w:w="637"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KUVEYT TÜRK</w:t>
            </w:r>
          </w:p>
        </w:tc>
        <w:tc>
          <w:tcPr>
            <w:tcW w:w="718"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TÜRKİYE FİNANS</w:t>
            </w:r>
          </w:p>
        </w:tc>
        <w:tc>
          <w:tcPr>
            <w:tcW w:w="956"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TOTAL SUM</w:t>
            </w:r>
          </w:p>
        </w:tc>
      </w:tr>
      <w:tr w:rsidR="001B3496" w:rsidRPr="0093409F" w:rsidTr="0093409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335"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20"/>
                <w:szCs w:val="20"/>
                <w:lang w:val="en-US"/>
              </w:rPr>
              <w:t>Average 2007-2012</w:t>
            </w:r>
          </w:p>
        </w:tc>
        <w:tc>
          <w:tcPr>
            <w:tcW w:w="799"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93409F">
              <w:rPr>
                <w:b/>
                <w:bCs/>
                <w:sz w:val="20"/>
                <w:szCs w:val="20"/>
                <w:lang w:val="en-US"/>
              </w:rPr>
              <w:t>135.655</w:t>
            </w:r>
          </w:p>
        </w:tc>
        <w:tc>
          <w:tcPr>
            <w:tcW w:w="556"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93409F">
              <w:rPr>
                <w:b/>
                <w:bCs/>
                <w:sz w:val="20"/>
                <w:szCs w:val="20"/>
                <w:lang w:val="en-US"/>
              </w:rPr>
              <w:t>239.265</w:t>
            </w:r>
          </w:p>
        </w:tc>
        <w:tc>
          <w:tcPr>
            <w:tcW w:w="637"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93409F">
              <w:rPr>
                <w:b/>
                <w:bCs/>
                <w:sz w:val="20"/>
                <w:szCs w:val="20"/>
                <w:lang w:val="en-US"/>
              </w:rPr>
              <w:t>151.698</w:t>
            </w:r>
          </w:p>
        </w:tc>
        <w:tc>
          <w:tcPr>
            <w:tcW w:w="718"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93409F">
              <w:rPr>
                <w:b/>
                <w:bCs/>
                <w:sz w:val="20"/>
                <w:szCs w:val="20"/>
                <w:lang w:val="en-US"/>
              </w:rPr>
              <w:t>199.942</w:t>
            </w:r>
          </w:p>
        </w:tc>
        <w:tc>
          <w:tcPr>
            <w:tcW w:w="956"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
                <w:bCs/>
                <w:sz w:val="20"/>
                <w:szCs w:val="20"/>
                <w:lang w:val="en-US"/>
              </w:rPr>
            </w:pPr>
            <w:r w:rsidRPr="0093409F">
              <w:rPr>
                <w:b/>
                <w:bCs/>
                <w:sz w:val="20"/>
                <w:szCs w:val="20"/>
                <w:lang w:val="en-US"/>
              </w:rPr>
              <w:t>726.561</w:t>
            </w:r>
          </w:p>
        </w:tc>
      </w:tr>
      <w:tr w:rsidR="001B3496" w:rsidRPr="0093409F" w:rsidTr="0093409F">
        <w:trPr>
          <w:trHeight w:val="210"/>
          <w:jc w:val="center"/>
        </w:trPr>
        <w:tc>
          <w:tcPr>
            <w:cnfStyle w:val="001000000000" w:firstRow="0" w:lastRow="0" w:firstColumn="1" w:lastColumn="0" w:oddVBand="0" w:evenVBand="0" w:oddHBand="0" w:evenHBand="0" w:firstRowFirstColumn="0" w:firstRowLastColumn="0" w:lastRowFirstColumn="0" w:lastRowLastColumn="0"/>
            <w:tcW w:w="1335"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20"/>
                <w:szCs w:val="20"/>
                <w:lang w:val="en-US"/>
              </w:rPr>
              <w:t>2012</w:t>
            </w:r>
          </w:p>
        </w:tc>
        <w:tc>
          <w:tcPr>
            <w:tcW w:w="799"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191.835</w:t>
            </w:r>
          </w:p>
        </w:tc>
        <w:tc>
          <w:tcPr>
            <w:tcW w:w="556"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190.392</w:t>
            </w:r>
          </w:p>
        </w:tc>
        <w:tc>
          <w:tcPr>
            <w:tcW w:w="637"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250.156</w:t>
            </w:r>
          </w:p>
        </w:tc>
        <w:tc>
          <w:tcPr>
            <w:tcW w:w="718"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283.573</w:t>
            </w:r>
          </w:p>
        </w:tc>
        <w:tc>
          <w:tcPr>
            <w:tcW w:w="956"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915.956</w:t>
            </w:r>
          </w:p>
        </w:tc>
      </w:tr>
      <w:tr w:rsidR="001B3496" w:rsidRPr="0093409F"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35"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20"/>
                <w:szCs w:val="20"/>
                <w:lang w:val="en-US"/>
              </w:rPr>
              <w:t>2011</w:t>
            </w:r>
          </w:p>
        </w:tc>
        <w:tc>
          <w:tcPr>
            <w:tcW w:w="799"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160.870</w:t>
            </w:r>
          </w:p>
        </w:tc>
        <w:tc>
          <w:tcPr>
            <w:tcW w:w="556"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216.090</w:t>
            </w:r>
          </w:p>
        </w:tc>
        <w:tc>
          <w:tcPr>
            <w:tcW w:w="637"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195.042</w:t>
            </w:r>
          </w:p>
        </w:tc>
        <w:tc>
          <w:tcPr>
            <w:tcW w:w="718"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231.587</w:t>
            </w:r>
          </w:p>
        </w:tc>
        <w:tc>
          <w:tcPr>
            <w:tcW w:w="956"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803.589</w:t>
            </w:r>
          </w:p>
        </w:tc>
      </w:tr>
      <w:tr w:rsidR="001B3496" w:rsidRPr="0093409F" w:rsidTr="0093409F">
        <w:trPr>
          <w:trHeight w:val="225"/>
          <w:jc w:val="center"/>
        </w:trPr>
        <w:tc>
          <w:tcPr>
            <w:cnfStyle w:val="001000000000" w:firstRow="0" w:lastRow="0" w:firstColumn="1" w:lastColumn="0" w:oddVBand="0" w:evenVBand="0" w:oddHBand="0" w:evenHBand="0" w:firstRowFirstColumn="0" w:firstRowLastColumn="0" w:lastRowFirstColumn="0" w:lastRowLastColumn="0"/>
            <w:tcW w:w="1335"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20"/>
                <w:szCs w:val="20"/>
                <w:lang w:val="en-US"/>
              </w:rPr>
              <w:t>2010</w:t>
            </w:r>
          </w:p>
        </w:tc>
        <w:tc>
          <w:tcPr>
            <w:tcW w:w="799"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134.379</w:t>
            </w:r>
          </w:p>
        </w:tc>
        <w:tc>
          <w:tcPr>
            <w:tcW w:w="556"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259.962</w:t>
            </w:r>
          </w:p>
        </w:tc>
        <w:tc>
          <w:tcPr>
            <w:tcW w:w="637"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159.648</w:t>
            </w:r>
          </w:p>
        </w:tc>
        <w:tc>
          <w:tcPr>
            <w:tcW w:w="718"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205.529</w:t>
            </w:r>
          </w:p>
        </w:tc>
        <w:tc>
          <w:tcPr>
            <w:tcW w:w="956"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759.518</w:t>
            </w:r>
          </w:p>
        </w:tc>
      </w:tr>
      <w:tr w:rsidR="001B3496" w:rsidRPr="0093409F"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35"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20"/>
                <w:szCs w:val="20"/>
                <w:lang w:val="en-US"/>
              </w:rPr>
              <w:t>2009</w:t>
            </w:r>
          </w:p>
        </w:tc>
        <w:tc>
          <w:tcPr>
            <w:tcW w:w="799"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105.626</w:t>
            </w:r>
          </w:p>
        </w:tc>
        <w:tc>
          <w:tcPr>
            <w:tcW w:w="556"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301.281</w:t>
            </w:r>
          </w:p>
        </w:tc>
        <w:tc>
          <w:tcPr>
            <w:tcW w:w="637"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127.133</w:t>
            </w:r>
          </w:p>
        </w:tc>
        <w:tc>
          <w:tcPr>
            <w:tcW w:w="718"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171.388</w:t>
            </w:r>
          </w:p>
        </w:tc>
        <w:tc>
          <w:tcPr>
            <w:tcW w:w="956"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705.428</w:t>
            </w:r>
          </w:p>
        </w:tc>
      </w:tr>
      <w:tr w:rsidR="001B3496" w:rsidRPr="0093409F" w:rsidTr="0093409F">
        <w:trPr>
          <w:trHeight w:val="225"/>
          <w:jc w:val="center"/>
        </w:trPr>
        <w:tc>
          <w:tcPr>
            <w:cnfStyle w:val="001000000000" w:firstRow="0" w:lastRow="0" w:firstColumn="1" w:lastColumn="0" w:oddVBand="0" w:evenVBand="0" w:oddHBand="0" w:evenHBand="0" w:firstRowFirstColumn="0" w:firstRowLastColumn="0" w:lastRowFirstColumn="0" w:lastRowLastColumn="0"/>
            <w:tcW w:w="1335"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20"/>
                <w:szCs w:val="20"/>
                <w:lang w:val="en-US"/>
              </w:rPr>
              <w:t>2008</w:t>
            </w:r>
          </w:p>
        </w:tc>
        <w:tc>
          <w:tcPr>
            <w:tcW w:w="799"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136.242</w:t>
            </w:r>
          </w:p>
        </w:tc>
        <w:tc>
          <w:tcPr>
            <w:tcW w:w="556"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246.529</w:t>
            </w:r>
          </w:p>
        </w:tc>
        <w:tc>
          <w:tcPr>
            <w:tcW w:w="637"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104.086</w:t>
            </w:r>
          </w:p>
        </w:tc>
        <w:tc>
          <w:tcPr>
            <w:tcW w:w="718"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160.633</w:t>
            </w:r>
          </w:p>
        </w:tc>
        <w:tc>
          <w:tcPr>
            <w:tcW w:w="956"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647.490</w:t>
            </w:r>
          </w:p>
        </w:tc>
      </w:tr>
      <w:tr w:rsidR="001B3496" w:rsidRPr="0093409F"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35"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20"/>
                <w:szCs w:val="20"/>
                <w:lang w:val="en-US"/>
              </w:rPr>
              <w:t>2007</w:t>
            </w:r>
          </w:p>
        </w:tc>
        <w:tc>
          <w:tcPr>
            <w:tcW w:w="799"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84.979</w:t>
            </w:r>
          </w:p>
        </w:tc>
        <w:tc>
          <w:tcPr>
            <w:tcW w:w="556"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221.337</w:t>
            </w:r>
          </w:p>
        </w:tc>
        <w:tc>
          <w:tcPr>
            <w:tcW w:w="637"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74.123</w:t>
            </w:r>
          </w:p>
        </w:tc>
        <w:tc>
          <w:tcPr>
            <w:tcW w:w="718"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146.943</w:t>
            </w:r>
          </w:p>
        </w:tc>
        <w:tc>
          <w:tcPr>
            <w:tcW w:w="956"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527.382</w:t>
            </w:r>
          </w:p>
        </w:tc>
      </w:tr>
    </w:tbl>
    <w:p w:rsidR="0093409F" w:rsidRDefault="0093409F" w:rsidP="001B3496">
      <w:pPr>
        <w:spacing w:after="120"/>
        <w:jc w:val="center"/>
        <w:rPr>
          <w:b/>
          <w:bCs/>
          <w:sz w:val="22"/>
          <w:szCs w:val="22"/>
          <w:lang w:val="en-US"/>
        </w:rPr>
      </w:pPr>
    </w:p>
    <w:p w:rsidR="001B3496" w:rsidRPr="0093409F" w:rsidRDefault="0093409F" w:rsidP="001B3496">
      <w:pPr>
        <w:spacing w:after="120"/>
        <w:jc w:val="center"/>
        <w:rPr>
          <w:bCs/>
          <w:sz w:val="22"/>
          <w:szCs w:val="22"/>
          <w:lang w:val="en-US"/>
        </w:rPr>
      </w:pPr>
      <w:r>
        <w:rPr>
          <w:bCs/>
          <w:sz w:val="22"/>
          <w:szCs w:val="22"/>
          <w:lang w:val="en-US"/>
        </w:rPr>
        <w:t>Table 10/b</w:t>
      </w:r>
      <w:r w:rsidR="001B3496" w:rsidRPr="0093409F">
        <w:rPr>
          <w:bCs/>
          <w:sz w:val="22"/>
          <w:szCs w:val="22"/>
          <w:lang w:val="en-US"/>
        </w:rPr>
        <w:t xml:space="preserve"> Increase Rate from Previous Year at Net Profit, 2007-2012 (1000TL)</w:t>
      </w:r>
    </w:p>
    <w:tbl>
      <w:tblPr>
        <w:tblStyle w:val="AkGlgeleme"/>
        <w:tblW w:w="4436" w:type="pct"/>
        <w:jc w:val="center"/>
        <w:tblLook w:val="04A0" w:firstRow="1" w:lastRow="0" w:firstColumn="1" w:lastColumn="0" w:noHBand="0" w:noVBand="1"/>
      </w:tblPr>
      <w:tblGrid>
        <w:gridCol w:w="1805"/>
        <w:gridCol w:w="1328"/>
        <w:gridCol w:w="802"/>
        <w:gridCol w:w="1039"/>
        <w:gridCol w:w="1094"/>
        <w:gridCol w:w="1919"/>
      </w:tblGrid>
      <w:tr w:rsidR="001B3496" w:rsidRPr="0093409F" w:rsidTr="0093409F">
        <w:trPr>
          <w:cnfStyle w:val="100000000000" w:firstRow="1" w:lastRow="0" w:firstColumn="0" w:lastColumn="0" w:oddVBand="0" w:evenVBand="0" w:oddHBand="0"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1158"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20"/>
                <w:szCs w:val="20"/>
                <w:lang w:val="en-US"/>
              </w:rPr>
              <w:t>END OF YEAR</w:t>
            </w:r>
          </w:p>
        </w:tc>
        <w:tc>
          <w:tcPr>
            <w:tcW w:w="747"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ALBARAKA TÜRK</w:t>
            </w:r>
          </w:p>
        </w:tc>
        <w:tc>
          <w:tcPr>
            <w:tcW w:w="530"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BANK ASYA</w:t>
            </w:r>
          </w:p>
        </w:tc>
        <w:tc>
          <w:tcPr>
            <w:tcW w:w="650"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KUVEYT TÜRK</w:t>
            </w:r>
          </w:p>
        </w:tc>
        <w:tc>
          <w:tcPr>
            <w:tcW w:w="685"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TÜRKİYE FİNANS</w:t>
            </w:r>
          </w:p>
        </w:tc>
        <w:tc>
          <w:tcPr>
            <w:tcW w:w="1229" w:type="pct"/>
            <w:shd w:val="clear" w:color="auto" w:fill="auto"/>
            <w:hideMark/>
          </w:tcPr>
          <w:p w:rsidR="001B3496" w:rsidRPr="0093409F"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93409F">
              <w:rPr>
                <w:b w:val="0"/>
                <w:bCs w:val="0"/>
                <w:sz w:val="20"/>
                <w:szCs w:val="20"/>
                <w:lang w:val="en-US"/>
              </w:rPr>
              <w:t xml:space="preserve">Increase Rate From </w:t>
            </w:r>
            <w:proofErr w:type="spellStart"/>
            <w:r w:rsidRPr="0093409F">
              <w:rPr>
                <w:b w:val="0"/>
                <w:bCs w:val="0"/>
                <w:sz w:val="20"/>
                <w:szCs w:val="20"/>
                <w:lang w:val="en-US"/>
              </w:rPr>
              <w:t>Prev.Year</w:t>
            </w:r>
            <w:proofErr w:type="spellEnd"/>
            <w:r w:rsidRPr="0093409F">
              <w:rPr>
                <w:b w:val="0"/>
                <w:bCs w:val="0"/>
                <w:sz w:val="20"/>
                <w:szCs w:val="20"/>
                <w:lang w:val="en-US"/>
              </w:rPr>
              <w:t xml:space="preserve"> Total Sum</w:t>
            </w:r>
          </w:p>
        </w:tc>
      </w:tr>
      <w:tr w:rsidR="0093409F" w:rsidRPr="0093409F" w:rsidTr="0093409F">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158" w:type="pct"/>
            <w:shd w:val="clear" w:color="auto" w:fill="auto"/>
            <w:hideMark/>
          </w:tcPr>
          <w:p w:rsidR="001B3496" w:rsidRPr="0093409F" w:rsidRDefault="001B3496" w:rsidP="001B3496">
            <w:pPr>
              <w:jc w:val="center"/>
              <w:rPr>
                <w:b w:val="0"/>
                <w:bCs w:val="0"/>
                <w:sz w:val="20"/>
                <w:szCs w:val="20"/>
                <w:lang w:val="en-US"/>
              </w:rPr>
            </w:pPr>
            <w:r w:rsidRPr="0093409F">
              <w:rPr>
                <w:b w:val="0"/>
                <w:bCs w:val="0"/>
                <w:sz w:val="18"/>
                <w:szCs w:val="20"/>
                <w:lang w:val="en-US"/>
              </w:rPr>
              <w:t>Average 2007-2012</w:t>
            </w:r>
          </w:p>
        </w:tc>
        <w:tc>
          <w:tcPr>
            <w:tcW w:w="747"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21%</w:t>
            </w:r>
          </w:p>
        </w:tc>
        <w:tc>
          <w:tcPr>
            <w:tcW w:w="530"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7%</w:t>
            </w:r>
          </w:p>
        </w:tc>
        <w:tc>
          <w:tcPr>
            <w:tcW w:w="650"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41%</w:t>
            </w:r>
          </w:p>
        </w:tc>
        <w:tc>
          <w:tcPr>
            <w:tcW w:w="68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13%</w:t>
            </w:r>
          </w:p>
        </w:tc>
        <w:tc>
          <w:tcPr>
            <w:tcW w:w="1229"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16%</w:t>
            </w:r>
          </w:p>
        </w:tc>
      </w:tr>
      <w:tr w:rsidR="001B3496" w:rsidRPr="0093409F" w:rsidTr="0093409F">
        <w:trPr>
          <w:trHeight w:val="210"/>
          <w:jc w:val="center"/>
        </w:trPr>
        <w:tc>
          <w:tcPr>
            <w:cnfStyle w:val="001000000000" w:firstRow="0" w:lastRow="0" w:firstColumn="1" w:lastColumn="0" w:oddVBand="0" w:evenVBand="0" w:oddHBand="0" w:evenHBand="0" w:firstRowFirstColumn="0" w:firstRowLastColumn="0" w:lastRowFirstColumn="0" w:lastRowLastColumn="0"/>
            <w:tcW w:w="1158" w:type="pct"/>
            <w:shd w:val="clear" w:color="auto" w:fill="auto"/>
            <w:hideMark/>
          </w:tcPr>
          <w:p w:rsidR="001B3496" w:rsidRPr="0093409F" w:rsidRDefault="001B3496" w:rsidP="001B3496">
            <w:pPr>
              <w:jc w:val="right"/>
              <w:rPr>
                <w:b w:val="0"/>
                <w:bCs w:val="0"/>
                <w:sz w:val="20"/>
                <w:szCs w:val="20"/>
                <w:lang w:val="en-US"/>
              </w:rPr>
            </w:pPr>
            <w:r w:rsidRPr="0093409F">
              <w:rPr>
                <w:b w:val="0"/>
                <w:bCs w:val="0"/>
                <w:sz w:val="20"/>
                <w:szCs w:val="20"/>
                <w:lang w:val="en-US"/>
              </w:rPr>
              <w:t>2012</w:t>
            </w:r>
          </w:p>
        </w:tc>
        <w:tc>
          <w:tcPr>
            <w:tcW w:w="747"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19%</w:t>
            </w:r>
          </w:p>
        </w:tc>
        <w:tc>
          <w:tcPr>
            <w:tcW w:w="530"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-12%</w:t>
            </w:r>
          </w:p>
        </w:tc>
        <w:tc>
          <w:tcPr>
            <w:tcW w:w="650"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28%</w:t>
            </w:r>
          </w:p>
        </w:tc>
        <w:tc>
          <w:tcPr>
            <w:tcW w:w="685"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22%</w:t>
            </w:r>
          </w:p>
        </w:tc>
        <w:tc>
          <w:tcPr>
            <w:tcW w:w="1229"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14%</w:t>
            </w:r>
          </w:p>
        </w:tc>
      </w:tr>
      <w:tr w:rsidR="0093409F" w:rsidRPr="0093409F"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158" w:type="pct"/>
            <w:shd w:val="clear" w:color="auto" w:fill="auto"/>
            <w:hideMark/>
          </w:tcPr>
          <w:p w:rsidR="001B3496" w:rsidRPr="0093409F" w:rsidRDefault="001B3496" w:rsidP="001B3496">
            <w:pPr>
              <w:jc w:val="right"/>
              <w:rPr>
                <w:b w:val="0"/>
                <w:bCs w:val="0"/>
                <w:sz w:val="20"/>
                <w:szCs w:val="20"/>
                <w:lang w:val="en-US"/>
              </w:rPr>
            </w:pPr>
            <w:r w:rsidRPr="0093409F">
              <w:rPr>
                <w:b w:val="0"/>
                <w:bCs w:val="0"/>
                <w:sz w:val="20"/>
                <w:szCs w:val="20"/>
                <w:lang w:val="en-US"/>
              </w:rPr>
              <w:t>2011</w:t>
            </w:r>
          </w:p>
        </w:tc>
        <w:tc>
          <w:tcPr>
            <w:tcW w:w="747"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20%</w:t>
            </w:r>
          </w:p>
        </w:tc>
        <w:tc>
          <w:tcPr>
            <w:tcW w:w="530"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-17%</w:t>
            </w:r>
          </w:p>
        </w:tc>
        <w:tc>
          <w:tcPr>
            <w:tcW w:w="650"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22%</w:t>
            </w:r>
          </w:p>
        </w:tc>
        <w:tc>
          <w:tcPr>
            <w:tcW w:w="68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13%</w:t>
            </w:r>
          </w:p>
        </w:tc>
        <w:tc>
          <w:tcPr>
            <w:tcW w:w="1229"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6%</w:t>
            </w:r>
          </w:p>
        </w:tc>
      </w:tr>
      <w:tr w:rsidR="001B3496" w:rsidRPr="0093409F" w:rsidTr="0093409F">
        <w:trPr>
          <w:trHeight w:val="225"/>
          <w:jc w:val="center"/>
        </w:trPr>
        <w:tc>
          <w:tcPr>
            <w:cnfStyle w:val="001000000000" w:firstRow="0" w:lastRow="0" w:firstColumn="1" w:lastColumn="0" w:oddVBand="0" w:evenVBand="0" w:oddHBand="0" w:evenHBand="0" w:firstRowFirstColumn="0" w:firstRowLastColumn="0" w:lastRowFirstColumn="0" w:lastRowLastColumn="0"/>
            <w:tcW w:w="1158" w:type="pct"/>
            <w:shd w:val="clear" w:color="auto" w:fill="auto"/>
            <w:hideMark/>
          </w:tcPr>
          <w:p w:rsidR="001B3496" w:rsidRPr="0093409F" w:rsidRDefault="001B3496" w:rsidP="001B3496">
            <w:pPr>
              <w:jc w:val="right"/>
              <w:rPr>
                <w:b w:val="0"/>
                <w:bCs w:val="0"/>
                <w:sz w:val="20"/>
                <w:szCs w:val="20"/>
                <w:lang w:val="en-US"/>
              </w:rPr>
            </w:pPr>
            <w:r w:rsidRPr="0093409F">
              <w:rPr>
                <w:b w:val="0"/>
                <w:bCs w:val="0"/>
                <w:sz w:val="20"/>
                <w:szCs w:val="20"/>
                <w:lang w:val="en-US"/>
              </w:rPr>
              <w:t>2010</w:t>
            </w:r>
          </w:p>
        </w:tc>
        <w:tc>
          <w:tcPr>
            <w:tcW w:w="747"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27%</w:t>
            </w:r>
          </w:p>
        </w:tc>
        <w:tc>
          <w:tcPr>
            <w:tcW w:w="530"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-14%</w:t>
            </w:r>
          </w:p>
        </w:tc>
        <w:tc>
          <w:tcPr>
            <w:tcW w:w="650"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26%</w:t>
            </w:r>
          </w:p>
        </w:tc>
        <w:tc>
          <w:tcPr>
            <w:tcW w:w="685"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20%</w:t>
            </w:r>
          </w:p>
        </w:tc>
        <w:tc>
          <w:tcPr>
            <w:tcW w:w="1229"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bCs/>
                <w:sz w:val="20"/>
                <w:szCs w:val="20"/>
                <w:lang w:val="en-US"/>
              </w:rPr>
            </w:pPr>
            <w:r w:rsidRPr="0093409F">
              <w:rPr>
                <w:bCs/>
                <w:sz w:val="20"/>
                <w:szCs w:val="20"/>
                <w:lang w:val="en-US"/>
              </w:rPr>
              <w:t>8%</w:t>
            </w:r>
          </w:p>
        </w:tc>
      </w:tr>
      <w:tr w:rsidR="0093409F" w:rsidRPr="0093409F"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158" w:type="pct"/>
            <w:shd w:val="clear" w:color="auto" w:fill="auto"/>
            <w:hideMark/>
          </w:tcPr>
          <w:p w:rsidR="001B3496" w:rsidRPr="0093409F" w:rsidRDefault="001B3496" w:rsidP="001B3496">
            <w:pPr>
              <w:jc w:val="right"/>
              <w:rPr>
                <w:b w:val="0"/>
                <w:bCs w:val="0"/>
                <w:sz w:val="20"/>
                <w:szCs w:val="20"/>
                <w:lang w:val="en-US"/>
              </w:rPr>
            </w:pPr>
            <w:r w:rsidRPr="0093409F">
              <w:rPr>
                <w:b w:val="0"/>
                <w:bCs w:val="0"/>
                <w:sz w:val="20"/>
                <w:szCs w:val="20"/>
                <w:lang w:val="en-US"/>
              </w:rPr>
              <w:t>2009</w:t>
            </w:r>
          </w:p>
        </w:tc>
        <w:tc>
          <w:tcPr>
            <w:tcW w:w="747"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-22%</w:t>
            </w:r>
          </w:p>
        </w:tc>
        <w:tc>
          <w:tcPr>
            <w:tcW w:w="530"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22%</w:t>
            </w:r>
          </w:p>
        </w:tc>
        <w:tc>
          <w:tcPr>
            <w:tcW w:w="650"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22%</w:t>
            </w:r>
          </w:p>
        </w:tc>
        <w:tc>
          <w:tcPr>
            <w:tcW w:w="68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7%</w:t>
            </w:r>
          </w:p>
        </w:tc>
        <w:tc>
          <w:tcPr>
            <w:tcW w:w="1229"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9%</w:t>
            </w:r>
          </w:p>
        </w:tc>
      </w:tr>
      <w:tr w:rsidR="001B3496" w:rsidRPr="0093409F" w:rsidTr="0093409F">
        <w:trPr>
          <w:trHeight w:val="225"/>
          <w:jc w:val="center"/>
        </w:trPr>
        <w:tc>
          <w:tcPr>
            <w:cnfStyle w:val="001000000000" w:firstRow="0" w:lastRow="0" w:firstColumn="1" w:lastColumn="0" w:oddVBand="0" w:evenVBand="0" w:oddHBand="0" w:evenHBand="0" w:firstRowFirstColumn="0" w:firstRowLastColumn="0" w:lastRowFirstColumn="0" w:lastRowLastColumn="0"/>
            <w:tcW w:w="1158" w:type="pct"/>
            <w:shd w:val="clear" w:color="auto" w:fill="auto"/>
            <w:hideMark/>
          </w:tcPr>
          <w:p w:rsidR="001B3496" w:rsidRPr="0093409F" w:rsidRDefault="001B3496" w:rsidP="001B3496">
            <w:pPr>
              <w:jc w:val="right"/>
              <w:rPr>
                <w:b w:val="0"/>
                <w:bCs w:val="0"/>
                <w:sz w:val="20"/>
                <w:szCs w:val="20"/>
                <w:lang w:val="en-US"/>
              </w:rPr>
            </w:pPr>
            <w:r w:rsidRPr="0093409F">
              <w:rPr>
                <w:b w:val="0"/>
                <w:bCs w:val="0"/>
                <w:sz w:val="20"/>
                <w:szCs w:val="20"/>
                <w:lang w:val="en-US"/>
              </w:rPr>
              <w:t>2008</w:t>
            </w:r>
          </w:p>
        </w:tc>
        <w:tc>
          <w:tcPr>
            <w:tcW w:w="747"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60%</w:t>
            </w:r>
          </w:p>
        </w:tc>
        <w:tc>
          <w:tcPr>
            <w:tcW w:w="530"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11%</w:t>
            </w:r>
          </w:p>
        </w:tc>
        <w:tc>
          <w:tcPr>
            <w:tcW w:w="650"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40%</w:t>
            </w:r>
          </w:p>
        </w:tc>
        <w:tc>
          <w:tcPr>
            <w:tcW w:w="685"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93409F">
              <w:rPr>
                <w:sz w:val="20"/>
                <w:szCs w:val="20"/>
                <w:lang w:val="en-US"/>
              </w:rPr>
              <w:t>9%</w:t>
            </w:r>
          </w:p>
        </w:tc>
        <w:tc>
          <w:tcPr>
            <w:tcW w:w="1229" w:type="pct"/>
            <w:shd w:val="clear" w:color="auto" w:fill="auto"/>
            <w:noWrap/>
            <w:hideMark/>
          </w:tcPr>
          <w:p w:rsidR="001B3496" w:rsidRPr="0093409F" w:rsidRDefault="001B3496" w:rsidP="001B3496">
            <w:pPr>
              <w:jc w:val="right"/>
              <w:cnfStyle w:val="000000000000" w:firstRow="0" w:lastRow="0" w:firstColumn="0" w:lastColumn="0" w:oddVBand="0" w:evenVBand="0" w:oddHBand="0" w:evenHBand="0" w:firstRowFirstColumn="0" w:firstRowLastColumn="0" w:lastRowFirstColumn="0" w:lastRowLastColumn="0"/>
              <w:rPr>
                <w:bCs/>
                <w:sz w:val="20"/>
                <w:szCs w:val="20"/>
                <w:lang w:val="en-US"/>
              </w:rPr>
            </w:pPr>
            <w:r w:rsidRPr="0093409F">
              <w:rPr>
                <w:bCs/>
                <w:sz w:val="20"/>
                <w:szCs w:val="20"/>
                <w:lang w:val="en-US"/>
              </w:rPr>
              <w:t>23%</w:t>
            </w:r>
          </w:p>
        </w:tc>
      </w:tr>
      <w:tr w:rsidR="0093409F" w:rsidRPr="0093409F" w:rsidTr="0093409F">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158" w:type="pct"/>
            <w:shd w:val="clear" w:color="auto" w:fill="auto"/>
            <w:hideMark/>
          </w:tcPr>
          <w:p w:rsidR="001B3496" w:rsidRPr="0093409F" w:rsidRDefault="001B3496" w:rsidP="001B3496">
            <w:pPr>
              <w:jc w:val="right"/>
              <w:rPr>
                <w:b w:val="0"/>
                <w:bCs w:val="0"/>
                <w:sz w:val="20"/>
                <w:szCs w:val="20"/>
                <w:lang w:val="en-US"/>
              </w:rPr>
            </w:pPr>
            <w:r w:rsidRPr="0093409F">
              <w:rPr>
                <w:b w:val="0"/>
                <w:bCs w:val="0"/>
                <w:sz w:val="20"/>
                <w:szCs w:val="20"/>
                <w:lang w:val="en-US"/>
              </w:rPr>
              <w:t>2007</w:t>
            </w:r>
          </w:p>
        </w:tc>
        <w:tc>
          <w:tcPr>
            <w:tcW w:w="747"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22%</w:t>
            </w:r>
          </w:p>
        </w:tc>
        <w:tc>
          <w:tcPr>
            <w:tcW w:w="530"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51%</w:t>
            </w:r>
          </w:p>
        </w:tc>
        <w:tc>
          <w:tcPr>
            <w:tcW w:w="650"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105%</w:t>
            </w:r>
          </w:p>
        </w:tc>
        <w:tc>
          <w:tcPr>
            <w:tcW w:w="685"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93409F">
              <w:rPr>
                <w:sz w:val="20"/>
                <w:szCs w:val="20"/>
                <w:lang w:val="en-US"/>
              </w:rPr>
              <w:t>5%</w:t>
            </w:r>
          </w:p>
        </w:tc>
        <w:tc>
          <w:tcPr>
            <w:tcW w:w="1229" w:type="pct"/>
            <w:shd w:val="clear" w:color="auto" w:fill="auto"/>
            <w:noWrap/>
            <w:hideMark/>
          </w:tcPr>
          <w:p w:rsidR="001B3496" w:rsidRPr="0093409F"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93409F">
              <w:rPr>
                <w:bCs/>
                <w:sz w:val="20"/>
                <w:szCs w:val="20"/>
                <w:lang w:val="en-US"/>
              </w:rPr>
              <w:t>35%</w:t>
            </w:r>
          </w:p>
        </w:tc>
      </w:tr>
    </w:tbl>
    <w:p w:rsidR="001B3496" w:rsidRPr="0093409F" w:rsidRDefault="001B3496" w:rsidP="0093409F">
      <w:pPr>
        <w:pStyle w:val="AralkYok"/>
        <w:jc w:val="center"/>
        <w:rPr>
          <w:rFonts w:ascii="Times New Roman" w:hAnsi="Times New Roman"/>
          <w:sz w:val="20"/>
        </w:rPr>
      </w:pPr>
      <w:r w:rsidRPr="0093409F">
        <w:rPr>
          <w:rFonts w:ascii="Times New Roman" w:hAnsi="Times New Roman"/>
          <w:sz w:val="20"/>
        </w:rPr>
        <w:t>Source: Collected from data provided by (BAT, The Bank Association of Turkey, 2011) (BAT, The Bank Association of Turkey, 2012) (PBAT, The Participation Banks Association of Turkey, 2012).</w:t>
      </w:r>
    </w:p>
    <w:p w:rsidR="001B3496" w:rsidRPr="0093409F" w:rsidRDefault="001B3496" w:rsidP="0093409F">
      <w:pPr>
        <w:pStyle w:val="AralkYok"/>
        <w:jc w:val="both"/>
        <w:rPr>
          <w:rFonts w:ascii="Times New Roman" w:hAnsi="Times New Roman"/>
          <w:sz w:val="24"/>
        </w:rPr>
      </w:pPr>
      <w:r w:rsidRPr="0093409F">
        <w:rPr>
          <w:rFonts w:ascii="Times New Roman" w:hAnsi="Times New Roman"/>
          <w:sz w:val="24"/>
        </w:rPr>
        <w:lastRenderedPageBreak/>
        <w:t xml:space="preserve">Looking at deposit banks for the 2007-2012 </w:t>
      </w:r>
      <w:r w:rsidR="0093409F" w:rsidRPr="0093409F">
        <w:rPr>
          <w:rFonts w:ascii="Times New Roman" w:hAnsi="Times New Roman"/>
          <w:sz w:val="24"/>
        </w:rPr>
        <w:t>periods</w:t>
      </w:r>
      <w:r w:rsidRPr="0093409F">
        <w:rPr>
          <w:rFonts w:ascii="Times New Roman" w:hAnsi="Times New Roman"/>
          <w:sz w:val="24"/>
        </w:rPr>
        <w:t xml:space="preserve">, their profit increased by </w:t>
      </w:r>
      <w:r w:rsidRPr="0093409F">
        <w:rPr>
          <w:rFonts w:ascii="Times New Roman" w:hAnsi="Times New Roman"/>
          <w:b/>
          <w:bCs/>
          <w:sz w:val="24"/>
        </w:rPr>
        <w:t>%71</w:t>
      </w:r>
      <w:r w:rsidRPr="0093409F">
        <w:rPr>
          <w:rFonts w:ascii="Times New Roman" w:hAnsi="Times New Roman"/>
          <w:sz w:val="24"/>
        </w:rPr>
        <w:t xml:space="preserve"> from 2007 to 2012, and reached to 23 billion TL in 2012. Increase rate of participant banks total net profit is </w:t>
      </w:r>
      <w:r w:rsidRPr="0093409F">
        <w:rPr>
          <w:rFonts w:ascii="Times New Roman" w:hAnsi="Times New Roman"/>
          <w:b/>
          <w:bCs/>
          <w:sz w:val="24"/>
        </w:rPr>
        <w:t>%74</w:t>
      </w:r>
      <w:r w:rsidRPr="0093409F">
        <w:rPr>
          <w:rFonts w:ascii="Times New Roman" w:hAnsi="Times New Roman"/>
          <w:sz w:val="24"/>
        </w:rPr>
        <w:t xml:space="preserve"> from the end of 2007 to the end of 2012. The rate of participation </w:t>
      </w:r>
      <w:proofErr w:type="gramStart"/>
      <w:r w:rsidRPr="0093409F">
        <w:rPr>
          <w:rFonts w:ascii="Times New Roman" w:hAnsi="Times New Roman"/>
          <w:sz w:val="24"/>
        </w:rPr>
        <w:t>bank’s</w:t>
      </w:r>
      <w:proofErr w:type="gramEnd"/>
      <w:r w:rsidRPr="0093409F">
        <w:rPr>
          <w:rFonts w:ascii="Times New Roman" w:hAnsi="Times New Roman"/>
          <w:sz w:val="24"/>
        </w:rPr>
        <w:t xml:space="preserve"> is a little higher than deposit </w:t>
      </w:r>
      <w:r w:rsidR="004A62F7" w:rsidRPr="0093409F">
        <w:rPr>
          <w:rFonts w:ascii="Times New Roman" w:hAnsi="Times New Roman"/>
          <w:sz w:val="24"/>
        </w:rPr>
        <w:t>banks</w:t>
      </w:r>
      <w:r w:rsidRPr="0093409F">
        <w:rPr>
          <w:rFonts w:ascii="Times New Roman" w:hAnsi="Times New Roman"/>
          <w:sz w:val="24"/>
        </w:rPr>
        <w:t>. In terms of average profit per bank, deposit banks have too high figures compared to participation banks naturally. However it is also obvious that average scales, branch numbers and history of deposit banks are above participation banks.</w:t>
      </w:r>
    </w:p>
    <w:p w:rsidR="001B3496" w:rsidRDefault="001B3496" w:rsidP="0093409F">
      <w:pPr>
        <w:pStyle w:val="AralkYok"/>
        <w:jc w:val="both"/>
        <w:rPr>
          <w:rFonts w:ascii="Times New Roman" w:hAnsi="Times New Roman"/>
          <w:sz w:val="24"/>
        </w:rPr>
      </w:pPr>
      <w:proofErr w:type="spellStart"/>
      <w:r w:rsidRPr="0093409F">
        <w:rPr>
          <w:rFonts w:ascii="Times New Roman" w:hAnsi="Times New Roman"/>
          <w:sz w:val="24"/>
        </w:rPr>
        <w:t>Türkiye</w:t>
      </w:r>
      <w:proofErr w:type="spellEnd"/>
      <w:r w:rsidRPr="0093409F">
        <w:rPr>
          <w:rFonts w:ascii="Times New Roman" w:hAnsi="Times New Roman"/>
          <w:sz w:val="24"/>
        </w:rPr>
        <w:t xml:space="preserve"> </w:t>
      </w:r>
      <w:proofErr w:type="spellStart"/>
      <w:r w:rsidRPr="0093409F">
        <w:rPr>
          <w:rFonts w:ascii="Times New Roman" w:hAnsi="Times New Roman"/>
          <w:sz w:val="24"/>
        </w:rPr>
        <w:t>Finans</w:t>
      </w:r>
      <w:proofErr w:type="spellEnd"/>
      <w:r w:rsidRPr="0093409F">
        <w:rPr>
          <w:rFonts w:ascii="Times New Roman" w:hAnsi="Times New Roman"/>
          <w:sz w:val="24"/>
        </w:rPr>
        <w:t xml:space="preserve"> has the biggest share in total profitability of total participating banks at the end of 2011. Bank </w:t>
      </w:r>
      <w:proofErr w:type="spellStart"/>
      <w:r w:rsidRPr="0093409F">
        <w:rPr>
          <w:rFonts w:ascii="Times New Roman" w:hAnsi="Times New Roman"/>
          <w:sz w:val="24"/>
        </w:rPr>
        <w:t>Asya</w:t>
      </w:r>
      <w:proofErr w:type="spellEnd"/>
      <w:r w:rsidRPr="0093409F">
        <w:rPr>
          <w:rFonts w:ascii="Times New Roman" w:hAnsi="Times New Roman"/>
          <w:sz w:val="24"/>
        </w:rPr>
        <w:t xml:space="preserve">, </w:t>
      </w:r>
      <w:proofErr w:type="spellStart"/>
      <w:r w:rsidRPr="0093409F">
        <w:rPr>
          <w:rFonts w:ascii="Times New Roman" w:hAnsi="Times New Roman"/>
          <w:sz w:val="24"/>
        </w:rPr>
        <w:t>Kuveyt</w:t>
      </w:r>
      <w:proofErr w:type="spellEnd"/>
      <w:r w:rsidRPr="0093409F">
        <w:rPr>
          <w:rFonts w:ascii="Times New Roman" w:hAnsi="Times New Roman"/>
          <w:sz w:val="24"/>
        </w:rPr>
        <w:t xml:space="preserve"> </w:t>
      </w:r>
      <w:proofErr w:type="spellStart"/>
      <w:r w:rsidRPr="0093409F">
        <w:rPr>
          <w:rFonts w:ascii="Times New Roman" w:hAnsi="Times New Roman"/>
          <w:sz w:val="24"/>
        </w:rPr>
        <w:t>Türk</w:t>
      </w:r>
      <w:proofErr w:type="spellEnd"/>
      <w:r w:rsidRPr="0093409F">
        <w:rPr>
          <w:rFonts w:ascii="Times New Roman" w:hAnsi="Times New Roman"/>
          <w:sz w:val="24"/>
        </w:rPr>
        <w:t xml:space="preserve"> and Al Baraka follow it respectively. Furthermore, </w:t>
      </w:r>
      <w:proofErr w:type="spellStart"/>
      <w:r w:rsidRPr="0093409F">
        <w:rPr>
          <w:rFonts w:ascii="Times New Roman" w:hAnsi="Times New Roman"/>
          <w:sz w:val="24"/>
        </w:rPr>
        <w:t>Kuveyt</w:t>
      </w:r>
      <w:proofErr w:type="spellEnd"/>
      <w:r w:rsidRPr="0093409F">
        <w:rPr>
          <w:rFonts w:ascii="Times New Roman" w:hAnsi="Times New Roman"/>
          <w:sz w:val="24"/>
        </w:rPr>
        <w:t xml:space="preserve"> </w:t>
      </w:r>
      <w:proofErr w:type="spellStart"/>
      <w:r w:rsidRPr="0093409F">
        <w:rPr>
          <w:rFonts w:ascii="Times New Roman" w:hAnsi="Times New Roman"/>
          <w:sz w:val="24"/>
        </w:rPr>
        <w:t>Türk</w:t>
      </w:r>
      <w:proofErr w:type="spellEnd"/>
      <w:r w:rsidRPr="0093409F">
        <w:rPr>
          <w:rFonts w:ascii="Times New Roman" w:hAnsi="Times New Roman"/>
          <w:sz w:val="24"/>
        </w:rPr>
        <w:t xml:space="preserve"> has the highest average net profit increase rate among the others. </w:t>
      </w:r>
      <w:proofErr w:type="spellStart"/>
      <w:r w:rsidRPr="0093409F">
        <w:rPr>
          <w:rFonts w:ascii="Times New Roman" w:hAnsi="Times New Roman"/>
          <w:sz w:val="24"/>
        </w:rPr>
        <w:t>Kuveyt</w:t>
      </w:r>
      <w:proofErr w:type="spellEnd"/>
      <w:r w:rsidRPr="0093409F">
        <w:rPr>
          <w:rFonts w:ascii="Times New Roman" w:hAnsi="Times New Roman"/>
          <w:sz w:val="24"/>
        </w:rPr>
        <w:t xml:space="preserve"> </w:t>
      </w:r>
      <w:proofErr w:type="spellStart"/>
      <w:r w:rsidRPr="0093409F">
        <w:rPr>
          <w:rFonts w:ascii="Times New Roman" w:hAnsi="Times New Roman"/>
          <w:sz w:val="24"/>
        </w:rPr>
        <w:t>Türk</w:t>
      </w:r>
      <w:proofErr w:type="spellEnd"/>
      <w:r w:rsidRPr="0093409F">
        <w:rPr>
          <w:rFonts w:ascii="Times New Roman" w:hAnsi="Times New Roman"/>
          <w:sz w:val="24"/>
        </w:rPr>
        <w:t xml:space="preserve"> has more stable rates at the last six years.</w:t>
      </w:r>
    </w:p>
    <w:p w:rsidR="004A62F7" w:rsidRPr="0093409F" w:rsidRDefault="004A62F7" w:rsidP="0093409F">
      <w:pPr>
        <w:pStyle w:val="AralkYok"/>
        <w:jc w:val="both"/>
        <w:rPr>
          <w:rFonts w:ascii="Times New Roman" w:hAnsi="Times New Roman"/>
          <w:sz w:val="24"/>
        </w:rPr>
      </w:pPr>
    </w:p>
    <w:p w:rsidR="001B3496" w:rsidRPr="004A62F7" w:rsidRDefault="001B3496" w:rsidP="004A62F7">
      <w:pPr>
        <w:pStyle w:val="AralkYok"/>
        <w:jc w:val="center"/>
        <w:rPr>
          <w:rFonts w:ascii="Times New Roman" w:hAnsi="Times New Roman"/>
          <w:bCs/>
        </w:rPr>
      </w:pPr>
      <w:r w:rsidRPr="004A62F7">
        <w:rPr>
          <w:rFonts w:ascii="Times New Roman" w:hAnsi="Times New Roman"/>
          <w:bCs/>
        </w:rPr>
        <w:t>Table</w:t>
      </w:r>
      <w:r w:rsidR="004A62F7">
        <w:rPr>
          <w:rFonts w:ascii="Times New Roman" w:hAnsi="Times New Roman"/>
          <w:bCs/>
        </w:rPr>
        <w:t xml:space="preserve"> </w:t>
      </w:r>
      <w:r w:rsidRPr="004A62F7">
        <w:rPr>
          <w:rFonts w:ascii="Times New Roman" w:hAnsi="Times New Roman"/>
          <w:bCs/>
        </w:rPr>
        <w:t>11 Net Profit/Loss of Deposit Banks for the Year, 2007-2012</w:t>
      </w:r>
    </w:p>
    <w:tbl>
      <w:tblPr>
        <w:tblStyle w:val="AkGlgeleme"/>
        <w:tblW w:w="7980" w:type="dxa"/>
        <w:jc w:val="center"/>
        <w:tblLook w:val="04A0" w:firstRow="1" w:lastRow="0" w:firstColumn="1" w:lastColumn="0" w:noHBand="0" w:noVBand="1"/>
      </w:tblPr>
      <w:tblGrid>
        <w:gridCol w:w="1140"/>
        <w:gridCol w:w="1206"/>
        <w:gridCol w:w="1206"/>
        <w:gridCol w:w="1206"/>
        <w:gridCol w:w="1206"/>
        <w:gridCol w:w="1206"/>
        <w:gridCol w:w="1217"/>
      </w:tblGrid>
      <w:tr w:rsidR="001B3496" w:rsidRPr="004A62F7" w:rsidTr="004A62F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40" w:type="dxa"/>
            <w:shd w:val="clear" w:color="auto" w:fill="auto"/>
            <w:noWrap/>
            <w:hideMark/>
          </w:tcPr>
          <w:p w:rsidR="001B3496" w:rsidRPr="004A62F7" w:rsidRDefault="001B3496" w:rsidP="004A62F7">
            <w:pPr>
              <w:rPr>
                <w:b w:val="0"/>
                <w:color w:val="000000"/>
                <w:sz w:val="22"/>
                <w:szCs w:val="22"/>
                <w:lang w:val="en-US"/>
              </w:rPr>
            </w:pPr>
            <w:r w:rsidRPr="004A62F7">
              <w:rPr>
                <w:b w:val="0"/>
                <w:color w:val="000000"/>
                <w:sz w:val="22"/>
                <w:szCs w:val="22"/>
                <w:lang w:val="en-US"/>
              </w:rPr>
              <w:t>Year</w:t>
            </w:r>
          </w:p>
        </w:tc>
        <w:tc>
          <w:tcPr>
            <w:tcW w:w="1140" w:type="dxa"/>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2"/>
                <w:szCs w:val="22"/>
                <w:lang w:val="en-US"/>
              </w:rPr>
            </w:pPr>
            <w:r w:rsidRPr="004A62F7">
              <w:rPr>
                <w:b w:val="0"/>
                <w:color w:val="000000"/>
                <w:sz w:val="22"/>
                <w:szCs w:val="22"/>
                <w:lang w:val="en-US"/>
              </w:rPr>
              <w:t>2007</w:t>
            </w:r>
          </w:p>
        </w:tc>
        <w:tc>
          <w:tcPr>
            <w:tcW w:w="1140" w:type="dxa"/>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2"/>
                <w:szCs w:val="22"/>
                <w:lang w:val="en-US"/>
              </w:rPr>
            </w:pPr>
            <w:r w:rsidRPr="004A62F7">
              <w:rPr>
                <w:b w:val="0"/>
                <w:color w:val="000000"/>
                <w:sz w:val="22"/>
                <w:szCs w:val="22"/>
                <w:lang w:val="en-US"/>
              </w:rPr>
              <w:t>2008</w:t>
            </w:r>
          </w:p>
        </w:tc>
        <w:tc>
          <w:tcPr>
            <w:tcW w:w="1140" w:type="dxa"/>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2"/>
                <w:szCs w:val="22"/>
                <w:lang w:val="en-US"/>
              </w:rPr>
            </w:pPr>
            <w:r w:rsidRPr="004A62F7">
              <w:rPr>
                <w:b w:val="0"/>
                <w:color w:val="000000"/>
                <w:sz w:val="22"/>
                <w:szCs w:val="22"/>
                <w:lang w:val="en-US"/>
              </w:rPr>
              <w:t>2009</w:t>
            </w:r>
          </w:p>
        </w:tc>
        <w:tc>
          <w:tcPr>
            <w:tcW w:w="1140" w:type="dxa"/>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2"/>
                <w:szCs w:val="22"/>
                <w:lang w:val="en-US"/>
              </w:rPr>
            </w:pPr>
            <w:r w:rsidRPr="004A62F7">
              <w:rPr>
                <w:b w:val="0"/>
                <w:color w:val="000000"/>
                <w:sz w:val="22"/>
                <w:szCs w:val="22"/>
                <w:lang w:val="en-US"/>
              </w:rPr>
              <w:t>2010</w:t>
            </w:r>
          </w:p>
        </w:tc>
        <w:tc>
          <w:tcPr>
            <w:tcW w:w="1140" w:type="dxa"/>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2"/>
                <w:szCs w:val="22"/>
                <w:lang w:val="en-US"/>
              </w:rPr>
            </w:pPr>
            <w:r w:rsidRPr="004A62F7">
              <w:rPr>
                <w:b w:val="0"/>
                <w:color w:val="000000"/>
                <w:sz w:val="22"/>
                <w:szCs w:val="22"/>
                <w:lang w:val="en-US"/>
              </w:rPr>
              <w:t>2011</w:t>
            </w:r>
          </w:p>
        </w:tc>
        <w:tc>
          <w:tcPr>
            <w:tcW w:w="1140" w:type="dxa"/>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FF"/>
                <w:sz w:val="22"/>
                <w:szCs w:val="22"/>
                <w:u w:val="single"/>
                <w:lang w:val="en-US"/>
              </w:rPr>
            </w:pPr>
            <w:r w:rsidRPr="004A62F7">
              <w:rPr>
                <w:b w:val="0"/>
                <w:bCs w:val="0"/>
                <w:sz w:val="22"/>
                <w:szCs w:val="22"/>
                <w:lang w:val="en-US"/>
              </w:rPr>
              <w:t>2012</w:t>
            </w:r>
            <w:r w:rsidRPr="004A62F7">
              <w:rPr>
                <w:rStyle w:val="DipnotBavurusu"/>
                <w:b w:val="0"/>
                <w:sz w:val="22"/>
                <w:szCs w:val="22"/>
                <w:lang w:val="en-US"/>
              </w:rPr>
              <w:footnoteReference w:customMarkFollows="1" w:id="4"/>
              <w:t>*</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40" w:type="dxa"/>
            <w:shd w:val="clear" w:color="auto" w:fill="auto"/>
            <w:noWrap/>
            <w:hideMark/>
          </w:tcPr>
          <w:p w:rsidR="001B3496" w:rsidRPr="004A62F7" w:rsidRDefault="001B3496" w:rsidP="004A62F7">
            <w:pPr>
              <w:rPr>
                <w:b w:val="0"/>
                <w:color w:val="000000"/>
                <w:sz w:val="22"/>
                <w:szCs w:val="22"/>
                <w:lang w:val="en-US"/>
              </w:rPr>
            </w:pPr>
            <w:r w:rsidRPr="004A62F7">
              <w:rPr>
                <w:b w:val="0"/>
                <w:color w:val="000000"/>
                <w:sz w:val="22"/>
                <w:szCs w:val="22"/>
                <w:lang w:val="en-US"/>
              </w:rPr>
              <w:t>Total</w:t>
            </w:r>
          </w:p>
        </w:tc>
        <w:tc>
          <w:tcPr>
            <w:tcW w:w="1140" w:type="dxa"/>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4A62F7">
              <w:rPr>
                <w:color w:val="000000"/>
                <w:sz w:val="22"/>
                <w:szCs w:val="22"/>
                <w:lang w:val="en-US"/>
              </w:rPr>
              <w:t>13.467.940</w:t>
            </w:r>
          </w:p>
        </w:tc>
        <w:tc>
          <w:tcPr>
            <w:tcW w:w="1140" w:type="dxa"/>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4A62F7">
              <w:rPr>
                <w:color w:val="000000"/>
                <w:sz w:val="22"/>
                <w:szCs w:val="22"/>
                <w:lang w:val="en-US"/>
              </w:rPr>
              <w:t>11.851.867</w:t>
            </w:r>
          </w:p>
        </w:tc>
        <w:tc>
          <w:tcPr>
            <w:tcW w:w="1140" w:type="dxa"/>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4A62F7">
              <w:rPr>
                <w:color w:val="000000"/>
                <w:sz w:val="22"/>
                <w:szCs w:val="22"/>
                <w:lang w:val="en-US"/>
              </w:rPr>
              <w:t>18.489.700</w:t>
            </w:r>
          </w:p>
        </w:tc>
        <w:tc>
          <w:tcPr>
            <w:tcW w:w="1140" w:type="dxa"/>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4A62F7">
              <w:rPr>
                <w:color w:val="000000"/>
                <w:sz w:val="22"/>
                <w:szCs w:val="22"/>
                <w:lang w:val="en-US"/>
              </w:rPr>
              <w:t>20.518.216</w:t>
            </w:r>
          </w:p>
        </w:tc>
        <w:tc>
          <w:tcPr>
            <w:tcW w:w="1140" w:type="dxa"/>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2"/>
                <w:szCs w:val="22"/>
                <w:lang w:val="en-US"/>
              </w:rPr>
            </w:pPr>
            <w:r w:rsidRPr="004A62F7">
              <w:rPr>
                <w:color w:val="000000"/>
                <w:sz w:val="22"/>
                <w:szCs w:val="22"/>
                <w:lang w:val="en-US"/>
              </w:rPr>
              <w:t>19.849.000</w:t>
            </w:r>
          </w:p>
        </w:tc>
        <w:tc>
          <w:tcPr>
            <w:tcW w:w="1140" w:type="dxa"/>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4A62F7">
              <w:rPr>
                <w:rFonts w:ascii="Arial" w:hAnsi="Arial" w:cs="Arial"/>
                <w:color w:val="000000"/>
                <w:sz w:val="20"/>
                <w:szCs w:val="20"/>
                <w:lang w:val="en-US"/>
              </w:rPr>
              <w:t>23.064.743</w:t>
            </w:r>
          </w:p>
        </w:tc>
      </w:tr>
      <w:tr w:rsidR="001B3496" w:rsidRPr="004A62F7" w:rsidTr="004A62F7">
        <w:trPr>
          <w:trHeight w:val="315"/>
          <w:jc w:val="center"/>
        </w:trPr>
        <w:tc>
          <w:tcPr>
            <w:cnfStyle w:val="001000000000" w:firstRow="0" w:lastRow="0" w:firstColumn="1" w:lastColumn="0" w:oddVBand="0" w:evenVBand="0" w:oddHBand="0" w:evenHBand="0" w:firstRowFirstColumn="0" w:firstRowLastColumn="0" w:lastRowFirstColumn="0" w:lastRowLastColumn="0"/>
            <w:tcW w:w="1140" w:type="dxa"/>
            <w:shd w:val="clear" w:color="auto" w:fill="auto"/>
            <w:noWrap/>
            <w:hideMark/>
          </w:tcPr>
          <w:p w:rsidR="001B3496" w:rsidRPr="004A62F7" w:rsidRDefault="001B3496" w:rsidP="004A62F7">
            <w:pPr>
              <w:rPr>
                <w:b w:val="0"/>
                <w:color w:val="000000"/>
                <w:sz w:val="22"/>
                <w:szCs w:val="22"/>
                <w:lang w:val="en-US"/>
              </w:rPr>
            </w:pPr>
            <w:proofErr w:type="spellStart"/>
            <w:r w:rsidRPr="004A62F7">
              <w:rPr>
                <w:b w:val="0"/>
                <w:color w:val="000000"/>
                <w:sz w:val="22"/>
                <w:szCs w:val="22"/>
                <w:lang w:val="en-US"/>
              </w:rPr>
              <w:t>Inc.Rate</w:t>
            </w:r>
            <w:proofErr w:type="spellEnd"/>
          </w:p>
        </w:tc>
        <w:tc>
          <w:tcPr>
            <w:tcW w:w="1140" w:type="dxa"/>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val="en-US"/>
              </w:rPr>
            </w:pPr>
            <w:r w:rsidRPr="004A62F7">
              <w:rPr>
                <w:rFonts w:ascii="Calibri" w:hAnsi="Calibri" w:cs="Calibri"/>
                <w:color w:val="000000"/>
                <w:sz w:val="22"/>
                <w:szCs w:val="22"/>
                <w:lang w:val="en-US"/>
              </w:rPr>
              <w:t> </w:t>
            </w:r>
          </w:p>
        </w:tc>
        <w:tc>
          <w:tcPr>
            <w:tcW w:w="1140" w:type="dxa"/>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4A62F7">
              <w:rPr>
                <w:color w:val="000000"/>
                <w:sz w:val="22"/>
                <w:szCs w:val="22"/>
                <w:lang w:val="en-US"/>
              </w:rPr>
              <w:t>-12</w:t>
            </w:r>
          </w:p>
        </w:tc>
        <w:tc>
          <w:tcPr>
            <w:tcW w:w="1140" w:type="dxa"/>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4A62F7">
              <w:rPr>
                <w:color w:val="000000"/>
                <w:sz w:val="22"/>
                <w:szCs w:val="22"/>
                <w:lang w:val="en-US"/>
              </w:rPr>
              <w:t>56</w:t>
            </w:r>
          </w:p>
        </w:tc>
        <w:tc>
          <w:tcPr>
            <w:tcW w:w="1140" w:type="dxa"/>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4A62F7">
              <w:rPr>
                <w:color w:val="000000"/>
                <w:sz w:val="22"/>
                <w:szCs w:val="22"/>
                <w:lang w:val="en-US"/>
              </w:rPr>
              <w:t>11</w:t>
            </w:r>
          </w:p>
        </w:tc>
        <w:tc>
          <w:tcPr>
            <w:tcW w:w="1140" w:type="dxa"/>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2"/>
                <w:szCs w:val="22"/>
                <w:lang w:val="en-US"/>
              </w:rPr>
            </w:pPr>
            <w:r w:rsidRPr="004A62F7">
              <w:rPr>
                <w:color w:val="000000"/>
                <w:sz w:val="22"/>
                <w:szCs w:val="22"/>
                <w:lang w:val="en-US"/>
              </w:rPr>
              <w:t>-3</w:t>
            </w:r>
          </w:p>
        </w:tc>
        <w:tc>
          <w:tcPr>
            <w:tcW w:w="1140" w:type="dxa"/>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4A62F7">
              <w:rPr>
                <w:rFonts w:ascii="Arial" w:hAnsi="Arial" w:cs="Arial"/>
                <w:color w:val="000000"/>
                <w:sz w:val="20"/>
                <w:szCs w:val="20"/>
                <w:lang w:val="en-US"/>
              </w:rPr>
              <w:t>16,2</w:t>
            </w:r>
          </w:p>
        </w:tc>
      </w:tr>
    </w:tbl>
    <w:p w:rsidR="001B3496" w:rsidRPr="004A62F7" w:rsidRDefault="001B3496" w:rsidP="004A62F7">
      <w:pPr>
        <w:pStyle w:val="AralkYok"/>
        <w:jc w:val="center"/>
        <w:rPr>
          <w:rFonts w:ascii="Times New Roman" w:hAnsi="Times New Roman"/>
          <w:sz w:val="20"/>
        </w:rPr>
      </w:pPr>
      <w:r w:rsidRPr="004A62F7">
        <w:rPr>
          <w:rFonts w:ascii="Times New Roman" w:hAnsi="Times New Roman"/>
          <w:sz w:val="20"/>
        </w:rPr>
        <w:t>Source: Collected from data provided by (BAT, The Bank Association of Turkey, 2011) (BAT, The Bank Association of Turkey, 2012) (PBAT, The Participation Banks Association of Turkey, 2012).</w:t>
      </w:r>
    </w:p>
    <w:p w:rsidR="004A62F7" w:rsidRDefault="004A62F7" w:rsidP="004A62F7">
      <w:pPr>
        <w:pStyle w:val="Balk2"/>
        <w:numPr>
          <w:ilvl w:val="0"/>
          <w:numId w:val="0"/>
        </w:numPr>
        <w:ind w:left="284"/>
      </w:pPr>
    </w:p>
    <w:p w:rsidR="004A62F7" w:rsidRPr="004A62F7" w:rsidRDefault="004A62F7" w:rsidP="004A62F7">
      <w:pPr>
        <w:rPr>
          <w:lang w:val="en-US" w:eastAsia="en-US"/>
        </w:rPr>
      </w:pPr>
    </w:p>
    <w:p w:rsidR="001B3496" w:rsidRPr="004A62F7" w:rsidRDefault="001B3496" w:rsidP="004A62F7">
      <w:pPr>
        <w:pStyle w:val="Balk2"/>
        <w:numPr>
          <w:ilvl w:val="0"/>
          <w:numId w:val="0"/>
        </w:numPr>
        <w:ind w:left="284"/>
        <w:rPr>
          <w:sz w:val="24"/>
        </w:rPr>
      </w:pPr>
      <w:r w:rsidRPr="004A62F7">
        <w:rPr>
          <w:sz w:val="24"/>
        </w:rPr>
        <w:t>Growth of Asset (Equity Capital)</w:t>
      </w:r>
    </w:p>
    <w:p w:rsidR="004A62F7" w:rsidRPr="004A62F7" w:rsidRDefault="004A62F7" w:rsidP="004A62F7">
      <w:pPr>
        <w:rPr>
          <w:sz w:val="28"/>
          <w:lang w:val="en-US" w:eastAsia="en-US"/>
        </w:rPr>
      </w:pPr>
    </w:p>
    <w:p w:rsidR="001B3496" w:rsidRDefault="001B3496" w:rsidP="004A62F7">
      <w:pPr>
        <w:pStyle w:val="AralkYok"/>
        <w:jc w:val="both"/>
        <w:rPr>
          <w:rFonts w:ascii="Times New Roman" w:hAnsi="Times New Roman"/>
          <w:sz w:val="24"/>
        </w:rPr>
      </w:pPr>
      <w:r w:rsidRPr="004A62F7">
        <w:rPr>
          <w:rFonts w:ascii="Times New Roman" w:hAnsi="Times New Roman"/>
          <w:sz w:val="24"/>
        </w:rPr>
        <w:t xml:space="preserve">Looking at the table regarding the equity capital growth, it is seen that participation banks increased their equity in 2012 </w:t>
      </w:r>
      <w:r w:rsidRPr="004A62F7">
        <w:rPr>
          <w:rFonts w:ascii="Times New Roman" w:hAnsi="Times New Roman"/>
          <w:b/>
          <w:bCs/>
          <w:sz w:val="24"/>
        </w:rPr>
        <w:t>212%</w:t>
      </w:r>
      <w:r w:rsidRPr="004A62F7">
        <w:rPr>
          <w:rFonts w:ascii="Times New Roman" w:hAnsi="Times New Roman"/>
          <w:sz w:val="24"/>
        </w:rPr>
        <w:t xml:space="preserve"> according to the 2007. Looking at deposit banks for the 2007-2012 </w:t>
      </w:r>
      <w:r w:rsidR="004A62F7" w:rsidRPr="004A62F7">
        <w:rPr>
          <w:rFonts w:ascii="Times New Roman" w:hAnsi="Times New Roman"/>
          <w:sz w:val="24"/>
        </w:rPr>
        <w:t>periods</w:t>
      </w:r>
      <w:r w:rsidRPr="004A62F7">
        <w:rPr>
          <w:rFonts w:ascii="Times New Roman" w:hAnsi="Times New Roman"/>
          <w:sz w:val="24"/>
        </w:rPr>
        <w:t xml:space="preserve">, their equity capital increased by </w:t>
      </w:r>
      <w:r w:rsidRPr="004A62F7">
        <w:rPr>
          <w:rFonts w:ascii="Times New Roman" w:hAnsi="Times New Roman"/>
          <w:b/>
          <w:bCs/>
          <w:sz w:val="24"/>
        </w:rPr>
        <w:t>129 %</w:t>
      </w:r>
      <w:r w:rsidRPr="004A62F7">
        <w:rPr>
          <w:rFonts w:ascii="Times New Roman" w:hAnsi="Times New Roman"/>
          <w:sz w:val="24"/>
        </w:rPr>
        <w:t xml:space="preserve"> from 2007 to 2012.</w:t>
      </w:r>
    </w:p>
    <w:p w:rsidR="004A62F7" w:rsidRPr="004A62F7" w:rsidRDefault="004A62F7" w:rsidP="004A62F7">
      <w:pPr>
        <w:pStyle w:val="AralkYok"/>
        <w:jc w:val="both"/>
        <w:rPr>
          <w:rFonts w:ascii="Times New Roman" w:hAnsi="Times New Roman"/>
          <w:sz w:val="24"/>
        </w:rPr>
      </w:pPr>
    </w:p>
    <w:p w:rsidR="001B3496" w:rsidRPr="004A62F7" w:rsidRDefault="001B3496" w:rsidP="004A62F7">
      <w:pPr>
        <w:spacing w:after="120"/>
        <w:jc w:val="center"/>
        <w:rPr>
          <w:bCs/>
          <w:sz w:val="22"/>
          <w:szCs w:val="22"/>
          <w:lang w:val="en-US"/>
        </w:rPr>
      </w:pPr>
      <w:r w:rsidRPr="004A62F7">
        <w:rPr>
          <w:bCs/>
          <w:sz w:val="22"/>
          <w:szCs w:val="22"/>
          <w:lang w:val="en-US"/>
        </w:rPr>
        <w:t>Table</w:t>
      </w:r>
      <w:r w:rsidR="004A62F7">
        <w:rPr>
          <w:bCs/>
          <w:sz w:val="22"/>
          <w:szCs w:val="22"/>
          <w:lang w:val="en-US"/>
        </w:rPr>
        <w:t xml:space="preserve"> </w:t>
      </w:r>
      <w:r w:rsidRPr="004A62F7">
        <w:rPr>
          <w:bCs/>
          <w:sz w:val="22"/>
          <w:szCs w:val="22"/>
          <w:lang w:val="en-US"/>
        </w:rPr>
        <w:t>12/a</w:t>
      </w:r>
      <w:r w:rsidR="004A62F7">
        <w:rPr>
          <w:bCs/>
          <w:sz w:val="22"/>
          <w:szCs w:val="22"/>
          <w:lang w:val="en-US"/>
        </w:rPr>
        <w:t xml:space="preserve"> </w:t>
      </w:r>
      <w:r w:rsidRPr="004A62F7">
        <w:rPr>
          <w:bCs/>
          <w:sz w:val="22"/>
          <w:szCs w:val="22"/>
          <w:lang w:val="en-US"/>
        </w:rPr>
        <w:t>Growth of Equity Capital, 2007-2012 (1000TL)</w:t>
      </w:r>
    </w:p>
    <w:tbl>
      <w:tblPr>
        <w:tblStyle w:val="AkGlgeleme"/>
        <w:tblW w:w="4313" w:type="pct"/>
        <w:jc w:val="center"/>
        <w:tblLook w:val="04A0" w:firstRow="1" w:lastRow="0" w:firstColumn="1" w:lastColumn="0" w:noHBand="0" w:noVBand="1"/>
      </w:tblPr>
      <w:tblGrid>
        <w:gridCol w:w="1991"/>
        <w:gridCol w:w="1328"/>
        <w:gridCol w:w="1016"/>
        <w:gridCol w:w="1039"/>
        <w:gridCol w:w="1094"/>
        <w:gridCol w:w="1298"/>
      </w:tblGrid>
      <w:tr w:rsidR="001B3496" w:rsidRPr="004A62F7" w:rsidTr="004A62F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1390"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END OF YEAR</w:t>
            </w:r>
          </w:p>
        </w:tc>
        <w:tc>
          <w:tcPr>
            <w:tcW w:w="820"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ALBARAKA TÜRK</w:t>
            </w:r>
          </w:p>
        </w:tc>
        <w:tc>
          <w:tcPr>
            <w:tcW w:w="572"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BANK ASYA</w:t>
            </w:r>
          </w:p>
        </w:tc>
        <w:tc>
          <w:tcPr>
            <w:tcW w:w="620"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KUVEYT TÜRK</w:t>
            </w:r>
          </w:p>
        </w:tc>
        <w:tc>
          <w:tcPr>
            <w:tcW w:w="654"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TÜRKİYE FİNANS</w:t>
            </w:r>
          </w:p>
        </w:tc>
        <w:tc>
          <w:tcPr>
            <w:tcW w:w="944"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TOTAL SUM</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90"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Average 2007-2012</w:t>
            </w:r>
          </w:p>
        </w:tc>
        <w:tc>
          <w:tcPr>
            <w:tcW w:w="82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826.295</w:t>
            </w:r>
          </w:p>
        </w:tc>
        <w:tc>
          <w:tcPr>
            <w:tcW w:w="572"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1.732.301</w:t>
            </w:r>
          </w:p>
        </w:tc>
        <w:tc>
          <w:tcPr>
            <w:tcW w:w="62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1.043.379</w:t>
            </w:r>
          </w:p>
        </w:tc>
        <w:tc>
          <w:tcPr>
            <w:tcW w:w="65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1.321.276</w:t>
            </w:r>
          </w:p>
        </w:tc>
        <w:tc>
          <w:tcPr>
            <w:tcW w:w="94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4.923.251</w:t>
            </w:r>
          </w:p>
        </w:tc>
      </w:tr>
      <w:tr w:rsidR="001B3496" w:rsidRPr="004A62F7" w:rsidTr="004A62F7">
        <w:trPr>
          <w:trHeight w:val="225"/>
          <w:jc w:val="center"/>
        </w:trPr>
        <w:tc>
          <w:tcPr>
            <w:cnfStyle w:val="001000000000" w:firstRow="0" w:lastRow="0" w:firstColumn="1" w:lastColumn="0" w:oddVBand="0" w:evenVBand="0" w:oddHBand="0" w:evenHBand="0" w:firstRowFirstColumn="0" w:firstRowLastColumn="0" w:lastRowFirstColumn="0" w:lastRowLastColumn="0"/>
            <w:tcW w:w="1390"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2012</w:t>
            </w:r>
          </w:p>
        </w:tc>
        <w:tc>
          <w:tcPr>
            <w:tcW w:w="82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1.218.333</w:t>
            </w:r>
          </w:p>
        </w:tc>
        <w:tc>
          <w:tcPr>
            <w:tcW w:w="572"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2.349.273</w:t>
            </w:r>
          </w:p>
        </w:tc>
        <w:tc>
          <w:tcPr>
            <w:tcW w:w="62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1.684.037</w:t>
            </w:r>
          </w:p>
        </w:tc>
        <w:tc>
          <w:tcPr>
            <w:tcW w:w="654"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2.125.162</w:t>
            </w:r>
          </w:p>
        </w:tc>
        <w:tc>
          <w:tcPr>
            <w:tcW w:w="944"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7.376.805</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90"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2011</w:t>
            </w:r>
          </w:p>
        </w:tc>
        <w:tc>
          <w:tcPr>
            <w:tcW w:w="82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1.004.251</w:t>
            </w:r>
          </w:p>
        </w:tc>
        <w:tc>
          <w:tcPr>
            <w:tcW w:w="572"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2.137.426</w:t>
            </w:r>
          </w:p>
        </w:tc>
        <w:tc>
          <w:tcPr>
            <w:tcW w:w="62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1.437.978</w:t>
            </w:r>
          </w:p>
        </w:tc>
        <w:tc>
          <w:tcPr>
            <w:tcW w:w="65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1.613.659</w:t>
            </w:r>
          </w:p>
        </w:tc>
        <w:tc>
          <w:tcPr>
            <w:tcW w:w="94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6.193.314</w:t>
            </w:r>
          </w:p>
        </w:tc>
      </w:tr>
      <w:tr w:rsidR="001B3496" w:rsidRPr="004A62F7" w:rsidTr="004A62F7">
        <w:trPr>
          <w:trHeight w:val="225"/>
          <w:jc w:val="center"/>
        </w:trPr>
        <w:tc>
          <w:tcPr>
            <w:cnfStyle w:val="001000000000" w:firstRow="0" w:lastRow="0" w:firstColumn="1" w:lastColumn="0" w:oddVBand="0" w:evenVBand="0" w:oddHBand="0" w:evenHBand="0" w:firstRowFirstColumn="0" w:firstRowLastColumn="0" w:lastRowFirstColumn="0" w:lastRowLastColumn="0"/>
            <w:tcW w:w="1390"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2010</w:t>
            </w:r>
          </w:p>
        </w:tc>
        <w:tc>
          <w:tcPr>
            <w:tcW w:w="82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852.635</w:t>
            </w:r>
          </w:p>
        </w:tc>
        <w:tc>
          <w:tcPr>
            <w:tcW w:w="572"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1.941.667</w:t>
            </w:r>
          </w:p>
        </w:tc>
        <w:tc>
          <w:tcPr>
            <w:tcW w:w="62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1.256.685</w:t>
            </w:r>
          </w:p>
        </w:tc>
        <w:tc>
          <w:tcPr>
            <w:tcW w:w="654"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1.406.096</w:t>
            </w:r>
          </w:p>
        </w:tc>
        <w:tc>
          <w:tcPr>
            <w:tcW w:w="944"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5.457.083</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90"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2009</w:t>
            </w:r>
          </w:p>
        </w:tc>
        <w:tc>
          <w:tcPr>
            <w:tcW w:w="82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710.666</w:t>
            </w:r>
          </w:p>
        </w:tc>
        <w:tc>
          <w:tcPr>
            <w:tcW w:w="572"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1.707.894</w:t>
            </w:r>
          </w:p>
        </w:tc>
        <w:tc>
          <w:tcPr>
            <w:tcW w:w="62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807.312</w:t>
            </w:r>
          </w:p>
        </w:tc>
        <w:tc>
          <w:tcPr>
            <w:tcW w:w="65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1.193.692</w:t>
            </w:r>
          </w:p>
        </w:tc>
        <w:tc>
          <w:tcPr>
            <w:tcW w:w="94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4.419.564</w:t>
            </w:r>
          </w:p>
        </w:tc>
      </w:tr>
      <w:tr w:rsidR="001B3496" w:rsidRPr="004A62F7" w:rsidTr="004A62F7">
        <w:trPr>
          <w:trHeight w:val="225"/>
          <w:jc w:val="center"/>
        </w:trPr>
        <w:tc>
          <w:tcPr>
            <w:cnfStyle w:val="001000000000" w:firstRow="0" w:lastRow="0" w:firstColumn="1" w:lastColumn="0" w:oddVBand="0" w:evenVBand="0" w:oddHBand="0" w:evenHBand="0" w:firstRowFirstColumn="0" w:firstRowLastColumn="0" w:lastRowFirstColumn="0" w:lastRowLastColumn="0"/>
            <w:tcW w:w="1390"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2008</w:t>
            </w:r>
          </w:p>
        </w:tc>
        <w:tc>
          <w:tcPr>
            <w:tcW w:w="82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638.102</w:t>
            </w:r>
          </w:p>
        </w:tc>
        <w:tc>
          <w:tcPr>
            <w:tcW w:w="572"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1.403.692</w:t>
            </w:r>
          </w:p>
        </w:tc>
        <w:tc>
          <w:tcPr>
            <w:tcW w:w="62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685.679</w:t>
            </w:r>
          </w:p>
        </w:tc>
        <w:tc>
          <w:tcPr>
            <w:tcW w:w="654"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1.001.456</w:t>
            </w:r>
          </w:p>
        </w:tc>
        <w:tc>
          <w:tcPr>
            <w:tcW w:w="944"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3.728.929</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90"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2007</w:t>
            </w:r>
          </w:p>
        </w:tc>
        <w:tc>
          <w:tcPr>
            <w:tcW w:w="82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533.780</w:t>
            </w:r>
          </w:p>
        </w:tc>
        <w:tc>
          <w:tcPr>
            <w:tcW w:w="572"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853.856</w:t>
            </w:r>
          </w:p>
        </w:tc>
        <w:tc>
          <w:tcPr>
            <w:tcW w:w="62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388.583</w:t>
            </w:r>
          </w:p>
        </w:tc>
        <w:tc>
          <w:tcPr>
            <w:tcW w:w="65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587.592</w:t>
            </w:r>
          </w:p>
        </w:tc>
        <w:tc>
          <w:tcPr>
            <w:tcW w:w="94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2.363.811</w:t>
            </w:r>
          </w:p>
        </w:tc>
      </w:tr>
    </w:tbl>
    <w:p w:rsidR="004A62F7" w:rsidRDefault="004A62F7" w:rsidP="001B3496">
      <w:pPr>
        <w:spacing w:after="120"/>
        <w:jc w:val="center"/>
        <w:rPr>
          <w:b/>
          <w:bCs/>
          <w:sz w:val="22"/>
          <w:szCs w:val="22"/>
          <w:lang w:val="en-US"/>
        </w:rPr>
      </w:pPr>
    </w:p>
    <w:p w:rsidR="001B3496" w:rsidRPr="004A62F7" w:rsidRDefault="004A62F7" w:rsidP="001B3496">
      <w:pPr>
        <w:spacing w:after="120"/>
        <w:jc w:val="center"/>
        <w:rPr>
          <w:bCs/>
          <w:sz w:val="22"/>
          <w:szCs w:val="22"/>
          <w:lang w:val="en-US"/>
        </w:rPr>
      </w:pPr>
      <w:r w:rsidRPr="004A62F7">
        <w:rPr>
          <w:bCs/>
          <w:sz w:val="22"/>
          <w:szCs w:val="22"/>
          <w:lang w:val="en-US"/>
        </w:rPr>
        <w:t>Table 12/b</w:t>
      </w:r>
      <w:r w:rsidR="001B3496" w:rsidRPr="004A62F7">
        <w:rPr>
          <w:bCs/>
          <w:sz w:val="22"/>
          <w:szCs w:val="22"/>
          <w:lang w:val="en-US"/>
        </w:rPr>
        <w:t xml:space="preserve"> Increase Rate from Previous Year at Equity Capital, 2007-2012 (1.000TL)</w:t>
      </w:r>
    </w:p>
    <w:tbl>
      <w:tblPr>
        <w:tblStyle w:val="AkGlgeleme"/>
        <w:tblW w:w="4461" w:type="pct"/>
        <w:jc w:val="center"/>
        <w:tblLook w:val="04A0" w:firstRow="1" w:lastRow="0" w:firstColumn="1" w:lastColumn="0" w:noHBand="0" w:noVBand="1"/>
      </w:tblPr>
      <w:tblGrid>
        <w:gridCol w:w="1875"/>
        <w:gridCol w:w="1328"/>
        <w:gridCol w:w="783"/>
        <w:gridCol w:w="1039"/>
        <w:gridCol w:w="1094"/>
        <w:gridCol w:w="1913"/>
      </w:tblGrid>
      <w:tr w:rsidR="001B3496" w:rsidRPr="004A62F7" w:rsidTr="004A62F7">
        <w:trPr>
          <w:cnfStyle w:val="100000000000" w:firstRow="1" w:lastRow="0" w:firstColumn="0" w:lastColumn="0" w:oddVBand="0" w:evenVBand="0" w:oddHBand="0"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1220"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END OF YEAR</w:t>
            </w:r>
          </w:p>
        </w:tc>
        <w:tc>
          <w:tcPr>
            <w:tcW w:w="802"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ALBARAKA TÜRK</w:t>
            </w:r>
          </w:p>
        </w:tc>
        <w:tc>
          <w:tcPr>
            <w:tcW w:w="445"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BANK ASYA</w:t>
            </w:r>
          </w:p>
        </w:tc>
        <w:tc>
          <w:tcPr>
            <w:tcW w:w="620"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KUVEYT TÜRK</w:t>
            </w:r>
          </w:p>
        </w:tc>
        <w:tc>
          <w:tcPr>
            <w:tcW w:w="669"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TÜRKİYE FİNANS</w:t>
            </w:r>
          </w:p>
        </w:tc>
        <w:tc>
          <w:tcPr>
            <w:tcW w:w="1244"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 xml:space="preserve">Increase Rate From </w:t>
            </w:r>
            <w:proofErr w:type="spellStart"/>
            <w:r w:rsidRPr="004A62F7">
              <w:rPr>
                <w:b w:val="0"/>
                <w:bCs w:val="0"/>
                <w:sz w:val="20"/>
                <w:szCs w:val="20"/>
                <w:lang w:val="en-US"/>
              </w:rPr>
              <w:t>Prev.Year</w:t>
            </w:r>
            <w:proofErr w:type="spellEnd"/>
            <w:r w:rsidRPr="004A62F7">
              <w:rPr>
                <w:b w:val="0"/>
                <w:bCs w:val="0"/>
                <w:sz w:val="20"/>
                <w:szCs w:val="20"/>
                <w:lang w:val="en-US"/>
              </w:rPr>
              <w:t xml:space="preserve"> Total Sum</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220"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Average 2007-2012</w:t>
            </w:r>
          </w:p>
        </w:tc>
        <w:tc>
          <w:tcPr>
            <w:tcW w:w="802"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35%</w:t>
            </w:r>
          </w:p>
        </w:tc>
        <w:tc>
          <w:tcPr>
            <w:tcW w:w="445"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26%</w:t>
            </w:r>
          </w:p>
        </w:tc>
        <w:tc>
          <w:tcPr>
            <w:tcW w:w="62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39%</w:t>
            </w:r>
          </w:p>
        </w:tc>
        <w:tc>
          <w:tcPr>
            <w:tcW w:w="669"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31%</w:t>
            </w:r>
          </w:p>
        </w:tc>
        <w:tc>
          <w:tcPr>
            <w:tcW w:w="124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31%</w:t>
            </w:r>
          </w:p>
        </w:tc>
      </w:tr>
      <w:tr w:rsidR="001B3496" w:rsidRPr="004A62F7" w:rsidTr="004A62F7">
        <w:trPr>
          <w:trHeight w:val="225"/>
          <w:jc w:val="center"/>
        </w:trPr>
        <w:tc>
          <w:tcPr>
            <w:cnfStyle w:val="001000000000" w:firstRow="0" w:lastRow="0" w:firstColumn="1" w:lastColumn="0" w:oddVBand="0" w:evenVBand="0" w:oddHBand="0" w:evenHBand="0" w:firstRowFirstColumn="0" w:firstRowLastColumn="0" w:lastRowFirstColumn="0" w:lastRowLastColumn="0"/>
            <w:tcW w:w="1220" w:type="pct"/>
            <w:shd w:val="clear" w:color="auto" w:fill="auto"/>
            <w:hideMark/>
          </w:tcPr>
          <w:p w:rsidR="001B3496" w:rsidRPr="004A62F7" w:rsidRDefault="001B3496" w:rsidP="001B3496">
            <w:pPr>
              <w:jc w:val="right"/>
              <w:rPr>
                <w:b w:val="0"/>
                <w:bCs w:val="0"/>
                <w:sz w:val="20"/>
                <w:szCs w:val="20"/>
                <w:lang w:val="en-US"/>
              </w:rPr>
            </w:pPr>
            <w:r w:rsidRPr="004A62F7">
              <w:rPr>
                <w:b w:val="0"/>
                <w:bCs w:val="0"/>
                <w:sz w:val="20"/>
                <w:szCs w:val="20"/>
                <w:lang w:val="en-US"/>
              </w:rPr>
              <w:t>2012</w:t>
            </w:r>
          </w:p>
        </w:tc>
        <w:tc>
          <w:tcPr>
            <w:tcW w:w="802"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21%</w:t>
            </w:r>
          </w:p>
        </w:tc>
        <w:tc>
          <w:tcPr>
            <w:tcW w:w="445"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10%</w:t>
            </w:r>
          </w:p>
        </w:tc>
        <w:tc>
          <w:tcPr>
            <w:tcW w:w="62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17%</w:t>
            </w:r>
          </w:p>
        </w:tc>
        <w:tc>
          <w:tcPr>
            <w:tcW w:w="669"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32%</w:t>
            </w:r>
          </w:p>
        </w:tc>
        <w:tc>
          <w:tcPr>
            <w:tcW w:w="1244"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19%</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220" w:type="pct"/>
            <w:shd w:val="clear" w:color="auto" w:fill="auto"/>
            <w:hideMark/>
          </w:tcPr>
          <w:p w:rsidR="001B3496" w:rsidRPr="004A62F7" w:rsidRDefault="001B3496" w:rsidP="001B3496">
            <w:pPr>
              <w:jc w:val="right"/>
              <w:rPr>
                <w:b w:val="0"/>
                <w:bCs w:val="0"/>
                <w:sz w:val="20"/>
                <w:szCs w:val="20"/>
                <w:lang w:val="en-US"/>
              </w:rPr>
            </w:pPr>
            <w:r w:rsidRPr="004A62F7">
              <w:rPr>
                <w:b w:val="0"/>
                <w:bCs w:val="0"/>
                <w:sz w:val="20"/>
                <w:szCs w:val="20"/>
                <w:lang w:val="en-US"/>
              </w:rPr>
              <w:t>2011</w:t>
            </w:r>
          </w:p>
        </w:tc>
        <w:tc>
          <w:tcPr>
            <w:tcW w:w="802"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18%</w:t>
            </w:r>
          </w:p>
        </w:tc>
        <w:tc>
          <w:tcPr>
            <w:tcW w:w="445"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10%</w:t>
            </w:r>
          </w:p>
        </w:tc>
        <w:tc>
          <w:tcPr>
            <w:tcW w:w="62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14%</w:t>
            </w:r>
          </w:p>
        </w:tc>
        <w:tc>
          <w:tcPr>
            <w:tcW w:w="669"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15%</w:t>
            </w:r>
          </w:p>
        </w:tc>
        <w:tc>
          <w:tcPr>
            <w:tcW w:w="124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13%</w:t>
            </w:r>
          </w:p>
        </w:tc>
      </w:tr>
      <w:tr w:rsidR="001B3496" w:rsidRPr="004A62F7" w:rsidTr="004A62F7">
        <w:trPr>
          <w:trHeight w:val="225"/>
          <w:jc w:val="center"/>
        </w:trPr>
        <w:tc>
          <w:tcPr>
            <w:cnfStyle w:val="001000000000" w:firstRow="0" w:lastRow="0" w:firstColumn="1" w:lastColumn="0" w:oddVBand="0" w:evenVBand="0" w:oddHBand="0" w:evenHBand="0" w:firstRowFirstColumn="0" w:firstRowLastColumn="0" w:lastRowFirstColumn="0" w:lastRowLastColumn="0"/>
            <w:tcW w:w="1220" w:type="pct"/>
            <w:shd w:val="clear" w:color="auto" w:fill="auto"/>
            <w:hideMark/>
          </w:tcPr>
          <w:p w:rsidR="001B3496" w:rsidRPr="004A62F7" w:rsidRDefault="001B3496" w:rsidP="001B3496">
            <w:pPr>
              <w:jc w:val="right"/>
              <w:rPr>
                <w:b w:val="0"/>
                <w:bCs w:val="0"/>
                <w:sz w:val="20"/>
                <w:szCs w:val="20"/>
                <w:lang w:val="en-US"/>
              </w:rPr>
            </w:pPr>
            <w:r w:rsidRPr="004A62F7">
              <w:rPr>
                <w:b w:val="0"/>
                <w:bCs w:val="0"/>
                <w:sz w:val="20"/>
                <w:szCs w:val="20"/>
                <w:lang w:val="en-US"/>
              </w:rPr>
              <w:t>2010</w:t>
            </w:r>
          </w:p>
        </w:tc>
        <w:tc>
          <w:tcPr>
            <w:tcW w:w="802"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20%</w:t>
            </w:r>
          </w:p>
        </w:tc>
        <w:tc>
          <w:tcPr>
            <w:tcW w:w="445"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14%</w:t>
            </w:r>
          </w:p>
        </w:tc>
        <w:tc>
          <w:tcPr>
            <w:tcW w:w="62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56%</w:t>
            </w:r>
          </w:p>
        </w:tc>
        <w:tc>
          <w:tcPr>
            <w:tcW w:w="669"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18%</w:t>
            </w:r>
          </w:p>
        </w:tc>
        <w:tc>
          <w:tcPr>
            <w:tcW w:w="1244"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bCs/>
                <w:sz w:val="20"/>
                <w:szCs w:val="20"/>
                <w:lang w:val="en-US"/>
              </w:rPr>
            </w:pPr>
            <w:r w:rsidRPr="004A62F7">
              <w:rPr>
                <w:bCs/>
                <w:sz w:val="20"/>
                <w:szCs w:val="20"/>
                <w:lang w:val="en-US"/>
              </w:rPr>
              <w:t>23%</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220" w:type="pct"/>
            <w:shd w:val="clear" w:color="auto" w:fill="auto"/>
            <w:hideMark/>
          </w:tcPr>
          <w:p w:rsidR="001B3496" w:rsidRPr="004A62F7" w:rsidRDefault="001B3496" w:rsidP="001B3496">
            <w:pPr>
              <w:jc w:val="right"/>
              <w:rPr>
                <w:b w:val="0"/>
                <w:bCs w:val="0"/>
                <w:sz w:val="20"/>
                <w:szCs w:val="20"/>
                <w:lang w:val="en-US"/>
              </w:rPr>
            </w:pPr>
            <w:r w:rsidRPr="004A62F7">
              <w:rPr>
                <w:b w:val="0"/>
                <w:bCs w:val="0"/>
                <w:sz w:val="20"/>
                <w:szCs w:val="20"/>
                <w:lang w:val="en-US"/>
              </w:rPr>
              <w:t>2009</w:t>
            </w:r>
          </w:p>
        </w:tc>
        <w:tc>
          <w:tcPr>
            <w:tcW w:w="802"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11%</w:t>
            </w:r>
          </w:p>
        </w:tc>
        <w:tc>
          <w:tcPr>
            <w:tcW w:w="445"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22%</w:t>
            </w:r>
          </w:p>
        </w:tc>
        <w:tc>
          <w:tcPr>
            <w:tcW w:w="62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18%</w:t>
            </w:r>
          </w:p>
        </w:tc>
        <w:tc>
          <w:tcPr>
            <w:tcW w:w="669"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19%</w:t>
            </w:r>
          </w:p>
        </w:tc>
        <w:tc>
          <w:tcPr>
            <w:tcW w:w="124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19%</w:t>
            </w:r>
          </w:p>
        </w:tc>
      </w:tr>
      <w:tr w:rsidR="001B3496" w:rsidRPr="004A62F7" w:rsidTr="004A62F7">
        <w:trPr>
          <w:trHeight w:val="225"/>
          <w:jc w:val="center"/>
        </w:trPr>
        <w:tc>
          <w:tcPr>
            <w:cnfStyle w:val="001000000000" w:firstRow="0" w:lastRow="0" w:firstColumn="1" w:lastColumn="0" w:oddVBand="0" w:evenVBand="0" w:oddHBand="0" w:evenHBand="0" w:firstRowFirstColumn="0" w:firstRowLastColumn="0" w:lastRowFirstColumn="0" w:lastRowLastColumn="0"/>
            <w:tcW w:w="1220" w:type="pct"/>
            <w:shd w:val="clear" w:color="auto" w:fill="auto"/>
            <w:hideMark/>
          </w:tcPr>
          <w:p w:rsidR="001B3496" w:rsidRPr="004A62F7" w:rsidRDefault="001B3496" w:rsidP="001B3496">
            <w:pPr>
              <w:jc w:val="right"/>
              <w:rPr>
                <w:b w:val="0"/>
                <w:bCs w:val="0"/>
                <w:sz w:val="20"/>
                <w:szCs w:val="20"/>
                <w:lang w:val="en-US"/>
              </w:rPr>
            </w:pPr>
            <w:r w:rsidRPr="004A62F7">
              <w:rPr>
                <w:b w:val="0"/>
                <w:bCs w:val="0"/>
                <w:sz w:val="20"/>
                <w:szCs w:val="20"/>
                <w:lang w:val="en-US"/>
              </w:rPr>
              <w:t>2008</w:t>
            </w:r>
          </w:p>
        </w:tc>
        <w:tc>
          <w:tcPr>
            <w:tcW w:w="802"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20%</w:t>
            </w:r>
          </w:p>
        </w:tc>
        <w:tc>
          <w:tcPr>
            <w:tcW w:w="445"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64%</w:t>
            </w:r>
          </w:p>
        </w:tc>
        <w:tc>
          <w:tcPr>
            <w:tcW w:w="62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76%</w:t>
            </w:r>
          </w:p>
        </w:tc>
        <w:tc>
          <w:tcPr>
            <w:tcW w:w="669"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70%</w:t>
            </w:r>
          </w:p>
        </w:tc>
        <w:tc>
          <w:tcPr>
            <w:tcW w:w="1244"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bCs/>
                <w:sz w:val="20"/>
                <w:szCs w:val="20"/>
                <w:lang w:val="en-US"/>
              </w:rPr>
            </w:pPr>
            <w:r w:rsidRPr="004A62F7">
              <w:rPr>
                <w:bCs/>
                <w:sz w:val="20"/>
                <w:szCs w:val="20"/>
                <w:lang w:val="en-US"/>
              </w:rPr>
              <w:t>58%</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220" w:type="pct"/>
            <w:shd w:val="clear" w:color="auto" w:fill="auto"/>
            <w:hideMark/>
          </w:tcPr>
          <w:p w:rsidR="001B3496" w:rsidRPr="004A62F7" w:rsidRDefault="001B3496" w:rsidP="001B3496">
            <w:pPr>
              <w:jc w:val="right"/>
              <w:rPr>
                <w:b w:val="0"/>
                <w:bCs w:val="0"/>
                <w:sz w:val="20"/>
                <w:szCs w:val="20"/>
                <w:lang w:val="en-US"/>
              </w:rPr>
            </w:pPr>
            <w:r w:rsidRPr="004A62F7">
              <w:rPr>
                <w:b w:val="0"/>
                <w:bCs w:val="0"/>
                <w:sz w:val="20"/>
                <w:szCs w:val="20"/>
                <w:lang w:val="en-US"/>
              </w:rPr>
              <w:t>2007</w:t>
            </w:r>
          </w:p>
        </w:tc>
        <w:tc>
          <w:tcPr>
            <w:tcW w:w="802"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117%</w:t>
            </w:r>
          </w:p>
        </w:tc>
        <w:tc>
          <w:tcPr>
            <w:tcW w:w="445"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35%</w:t>
            </w:r>
          </w:p>
        </w:tc>
        <w:tc>
          <w:tcPr>
            <w:tcW w:w="62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55%</w:t>
            </w:r>
          </w:p>
        </w:tc>
        <w:tc>
          <w:tcPr>
            <w:tcW w:w="669"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35%</w:t>
            </w:r>
          </w:p>
        </w:tc>
        <w:tc>
          <w:tcPr>
            <w:tcW w:w="124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52%</w:t>
            </w:r>
          </w:p>
        </w:tc>
      </w:tr>
    </w:tbl>
    <w:p w:rsidR="001B3496" w:rsidRDefault="001B3496" w:rsidP="004A62F7">
      <w:pPr>
        <w:pStyle w:val="AralkYok"/>
        <w:jc w:val="center"/>
        <w:rPr>
          <w:rFonts w:ascii="Times New Roman" w:hAnsi="Times New Roman"/>
          <w:sz w:val="20"/>
        </w:rPr>
      </w:pPr>
      <w:r w:rsidRPr="004A62F7">
        <w:rPr>
          <w:rFonts w:ascii="Times New Roman" w:hAnsi="Times New Roman"/>
          <w:sz w:val="20"/>
        </w:rPr>
        <w:t>Source: Collected from data provided by (BAT, The Bank Association of Turkey, 2011) (BAT, The Bank Association of Turkey, 2012) (PBAT, The Participation Banks Association of Turkey, 2012).</w:t>
      </w:r>
    </w:p>
    <w:p w:rsidR="004A62F7" w:rsidRPr="004A62F7" w:rsidRDefault="004A62F7" w:rsidP="004A62F7">
      <w:pPr>
        <w:pStyle w:val="AralkYok"/>
        <w:jc w:val="center"/>
        <w:rPr>
          <w:rFonts w:ascii="Times New Roman" w:hAnsi="Times New Roman"/>
          <w:sz w:val="20"/>
        </w:rPr>
      </w:pPr>
    </w:p>
    <w:p w:rsidR="001B3496" w:rsidRDefault="001B3496" w:rsidP="004A62F7">
      <w:pPr>
        <w:pStyle w:val="AralkYok"/>
        <w:jc w:val="both"/>
        <w:rPr>
          <w:rFonts w:ascii="Times New Roman" w:hAnsi="Times New Roman"/>
          <w:sz w:val="24"/>
        </w:rPr>
      </w:pPr>
      <w:r w:rsidRPr="004A62F7">
        <w:rPr>
          <w:rFonts w:ascii="Times New Roman" w:hAnsi="Times New Roman"/>
          <w:sz w:val="24"/>
        </w:rPr>
        <w:lastRenderedPageBreak/>
        <w:t xml:space="preserve">Bank </w:t>
      </w:r>
      <w:proofErr w:type="spellStart"/>
      <w:r w:rsidRPr="004A62F7">
        <w:rPr>
          <w:rFonts w:ascii="Times New Roman" w:hAnsi="Times New Roman"/>
          <w:sz w:val="24"/>
        </w:rPr>
        <w:t>Asya</w:t>
      </w:r>
      <w:proofErr w:type="spellEnd"/>
      <w:r w:rsidRPr="004A62F7">
        <w:rPr>
          <w:rFonts w:ascii="Times New Roman" w:hAnsi="Times New Roman"/>
          <w:sz w:val="24"/>
        </w:rPr>
        <w:t xml:space="preserve"> has the biggest share in total equity capital of total participating banks at the end of 2012. </w:t>
      </w:r>
      <w:proofErr w:type="spellStart"/>
      <w:r w:rsidRPr="004A62F7">
        <w:rPr>
          <w:rFonts w:ascii="Times New Roman" w:hAnsi="Times New Roman"/>
          <w:sz w:val="24"/>
        </w:rPr>
        <w:t>Türkiye</w:t>
      </w:r>
      <w:proofErr w:type="spellEnd"/>
      <w:r w:rsidRPr="004A62F7">
        <w:rPr>
          <w:rFonts w:ascii="Times New Roman" w:hAnsi="Times New Roman"/>
          <w:sz w:val="24"/>
        </w:rPr>
        <w:t xml:space="preserve"> </w:t>
      </w:r>
      <w:proofErr w:type="spellStart"/>
      <w:r w:rsidRPr="004A62F7">
        <w:rPr>
          <w:rFonts w:ascii="Times New Roman" w:hAnsi="Times New Roman"/>
          <w:sz w:val="24"/>
        </w:rPr>
        <w:t>Finans</w:t>
      </w:r>
      <w:proofErr w:type="spellEnd"/>
      <w:r w:rsidRPr="004A62F7">
        <w:rPr>
          <w:rFonts w:ascii="Times New Roman" w:hAnsi="Times New Roman"/>
          <w:sz w:val="24"/>
        </w:rPr>
        <w:t xml:space="preserve">, </w:t>
      </w:r>
      <w:proofErr w:type="spellStart"/>
      <w:r w:rsidRPr="004A62F7">
        <w:rPr>
          <w:rFonts w:ascii="Times New Roman" w:hAnsi="Times New Roman"/>
          <w:sz w:val="24"/>
        </w:rPr>
        <w:t>Kuveyt</w:t>
      </w:r>
      <w:proofErr w:type="spellEnd"/>
      <w:r w:rsidRPr="004A62F7">
        <w:rPr>
          <w:rFonts w:ascii="Times New Roman" w:hAnsi="Times New Roman"/>
          <w:sz w:val="24"/>
        </w:rPr>
        <w:t xml:space="preserve"> </w:t>
      </w:r>
      <w:proofErr w:type="spellStart"/>
      <w:r w:rsidRPr="004A62F7">
        <w:rPr>
          <w:rFonts w:ascii="Times New Roman" w:hAnsi="Times New Roman"/>
          <w:sz w:val="24"/>
        </w:rPr>
        <w:t>Türk</w:t>
      </w:r>
      <w:proofErr w:type="spellEnd"/>
      <w:r w:rsidRPr="004A62F7">
        <w:rPr>
          <w:rFonts w:ascii="Times New Roman" w:hAnsi="Times New Roman"/>
          <w:sz w:val="24"/>
        </w:rPr>
        <w:t xml:space="preserve"> and Al Baraka follow it respectively. Furthermore, </w:t>
      </w:r>
      <w:proofErr w:type="spellStart"/>
      <w:r w:rsidRPr="004A62F7">
        <w:rPr>
          <w:rFonts w:ascii="Times New Roman" w:hAnsi="Times New Roman"/>
          <w:sz w:val="24"/>
        </w:rPr>
        <w:t>Kuveyt</w:t>
      </w:r>
      <w:proofErr w:type="spellEnd"/>
      <w:r w:rsidRPr="004A62F7">
        <w:rPr>
          <w:rFonts w:ascii="Times New Roman" w:hAnsi="Times New Roman"/>
          <w:sz w:val="24"/>
        </w:rPr>
        <w:t xml:space="preserve"> </w:t>
      </w:r>
      <w:proofErr w:type="spellStart"/>
      <w:r w:rsidRPr="004A62F7">
        <w:rPr>
          <w:rFonts w:ascii="Times New Roman" w:hAnsi="Times New Roman"/>
          <w:sz w:val="24"/>
        </w:rPr>
        <w:t>Türk</w:t>
      </w:r>
      <w:proofErr w:type="spellEnd"/>
      <w:r w:rsidRPr="004A62F7">
        <w:rPr>
          <w:rFonts w:ascii="Times New Roman" w:hAnsi="Times New Roman"/>
          <w:sz w:val="24"/>
        </w:rPr>
        <w:t xml:space="preserve"> has the highest average equity capital increase rate among the others. </w:t>
      </w:r>
      <w:proofErr w:type="spellStart"/>
      <w:r w:rsidRPr="004A62F7">
        <w:rPr>
          <w:rFonts w:ascii="Times New Roman" w:hAnsi="Times New Roman"/>
          <w:sz w:val="24"/>
        </w:rPr>
        <w:t>Kuveyt</w:t>
      </w:r>
      <w:proofErr w:type="spellEnd"/>
      <w:r w:rsidRPr="004A62F7">
        <w:rPr>
          <w:rFonts w:ascii="Times New Roman" w:hAnsi="Times New Roman"/>
          <w:sz w:val="24"/>
        </w:rPr>
        <w:t xml:space="preserve"> </w:t>
      </w:r>
      <w:proofErr w:type="spellStart"/>
      <w:r w:rsidRPr="004A62F7">
        <w:rPr>
          <w:rFonts w:ascii="Times New Roman" w:hAnsi="Times New Roman"/>
          <w:sz w:val="24"/>
        </w:rPr>
        <w:t>Türk</w:t>
      </w:r>
      <w:proofErr w:type="spellEnd"/>
      <w:r w:rsidRPr="004A62F7">
        <w:rPr>
          <w:rFonts w:ascii="Times New Roman" w:hAnsi="Times New Roman"/>
          <w:sz w:val="24"/>
        </w:rPr>
        <w:t xml:space="preserve"> has biggest equity growing rate at the last six years.</w:t>
      </w:r>
    </w:p>
    <w:p w:rsidR="004A62F7" w:rsidRPr="004A62F7" w:rsidRDefault="004A62F7" w:rsidP="004A62F7">
      <w:pPr>
        <w:pStyle w:val="AralkYok"/>
        <w:jc w:val="both"/>
        <w:rPr>
          <w:rFonts w:ascii="Times New Roman" w:hAnsi="Times New Roman"/>
          <w:sz w:val="24"/>
        </w:rPr>
      </w:pPr>
    </w:p>
    <w:p w:rsidR="001B3496" w:rsidRPr="004A62F7" w:rsidRDefault="001B3496" w:rsidP="004A62F7">
      <w:pPr>
        <w:spacing w:after="120"/>
        <w:jc w:val="center"/>
        <w:rPr>
          <w:bCs/>
          <w:sz w:val="22"/>
          <w:szCs w:val="22"/>
          <w:lang w:val="en-US"/>
        </w:rPr>
      </w:pPr>
      <w:r w:rsidRPr="004A62F7">
        <w:rPr>
          <w:bCs/>
          <w:sz w:val="22"/>
          <w:szCs w:val="22"/>
          <w:lang w:val="en-US"/>
        </w:rPr>
        <w:t>Table</w:t>
      </w:r>
      <w:r w:rsidR="004A62F7">
        <w:rPr>
          <w:bCs/>
          <w:sz w:val="22"/>
          <w:szCs w:val="22"/>
          <w:lang w:val="en-US"/>
        </w:rPr>
        <w:t xml:space="preserve"> </w:t>
      </w:r>
      <w:r w:rsidRPr="004A62F7">
        <w:rPr>
          <w:bCs/>
          <w:sz w:val="22"/>
          <w:szCs w:val="22"/>
          <w:lang w:val="en-US"/>
        </w:rPr>
        <w:t>13</w:t>
      </w:r>
      <w:r w:rsidR="004A62F7">
        <w:rPr>
          <w:bCs/>
          <w:sz w:val="22"/>
          <w:szCs w:val="22"/>
          <w:lang w:val="en-US"/>
        </w:rPr>
        <w:t xml:space="preserve"> </w:t>
      </w:r>
      <w:r w:rsidRPr="004A62F7">
        <w:rPr>
          <w:bCs/>
          <w:sz w:val="22"/>
          <w:szCs w:val="22"/>
          <w:lang w:val="en-US"/>
        </w:rPr>
        <w:t>Equity Growth of Deposit Banks</w:t>
      </w:r>
      <w:proofErr w:type="gramStart"/>
      <w:r w:rsidRPr="004A62F7">
        <w:rPr>
          <w:bCs/>
          <w:sz w:val="22"/>
          <w:szCs w:val="22"/>
          <w:lang w:val="en-US"/>
        </w:rPr>
        <w:t>,2007</w:t>
      </w:r>
      <w:proofErr w:type="gramEnd"/>
      <w:r w:rsidRPr="004A62F7">
        <w:rPr>
          <w:bCs/>
          <w:sz w:val="22"/>
          <w:szCs w:val="22"/>
          <w:lang w:val="en-US"/>
        </w:rPr>
        <w:t>-2012(1.000 TL)</w:t>
      </w:r>
    </w:p>
    <w:tbl>
      <w:tblPr>
        <w:tblStyle w:val="AkGlgeleme"/>
        <w:tblW w:w="7983" w:type="dxa"/>
        <w:jc w:val="center"/>
        <w:tblLook w:val="04A0" w:firstRow="1" w:lastRow="0" w:firstColumn="1" w:lastColumn="0" w:noHBand="0" w:noVBand="1"/>
      </w:tblPr>
      <w:tblGrid>
        <w:gridCol w:w="1140"/>
        <w:gridCol w:w="1140"/>
        <w:gridCol w:w="1140"/>
        <w:gridCol w:w="1140"/>
        <w:gridCol w:w="1216"/>
        <w:gridCol w:w="1216"/>
        <w:gridCol w:w="1329"/>
      </w:tblGrid>
      <w:tr w:rsidR="001B3496" w:rsidRPr="004A62F7" w:rsidTr="004A62F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40" w:type="dxa"/>
            <w:shd w:val="clear" w:color="auto" w:fill="auto"/>
            <w:noWrap/>
            <w:hideMark/>
          </w:tcPr>
          <w:p w:rsidR="001B3496" w:rsidRPr="004A62F7" w:rsidRDefault="001B3496" w:rsidP="004A62F7">
            <w:pPr>
              <w:rPr>
                <w:b w:val="0"/>
                <w:color w:val="000000"/>
                <w:sz w:val="20"/>
                <w:szCs w:val="20"/>
                <w:lang w:val="en-US"/>
              </w:rPr>
            </w:pPr>
            <w:r w:rsidRPr="004A62F7">
              <w:rPr>
                <w:b w:val="0"/>
                <w:color w:val="000000"/>
                <w:sz w:val="20"/>
                <w:szCs w:val="20"/>
                <w:lang w:val="en-US"/>
              </w:rPr>
              <w:t>Year</w:t>
            </w:r>
          </w:p>
        </w:tc>
        <w:tc>
          <w:tcPr>
            <w:tcW w:w="1140" w:type="dxa"/>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4A62F7">
              <w:rPr>
                <w:b w:val="0"/>
                <w:color w:val="000000"/>
                <w:sz w:val="20"/>
                <w:szCs w:val="20"/>
                <w:lang w:val="en-US"/>
              </w:rPr>
              <w:t>2007</w:t>
            </w:r>
          </w:p>
        </w:tc>
        <w:tc>
          <w:tcPr>
            <w:tcW w:w="1140" w:type="dxa"/>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4A62F7">
              <w:rPr>
                <w:b w:val="0"/>
                <w:color w:val="000000"/>
                <w:sz w:val="20"/>
                <w:szCs w:val="20"/>
                <w:lang w:val="en-US"/>
              </w:rPr>
              <w:t>2008</w:t>
            </w:r>
          </w:p>
        </w:tc>
        <w:tc>
          <w:tcPr>
            <w:tcW w:w="1140" w:type="dxa"/>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4A62F7">
              <w:rPr>
                <w:b w:val="0"/>
                <w:color w:val="000000"/>
                <w:sz w:val="20"/>
                <w:szCs w:val="20"/>
                <w:lang w:val="en-US"/>
              </w:rPr>
              <w:t>2009</w:t>
            </w:r>
          </w:p>
        </w:tc>
        <w:tc>
          <w:tcPr>
            <w:tcW w:w="1140" w:type="dxa"/>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4A62F7">
              <w:rPr>
                <w:b w:val="0"/>
                <w:color w:val="000000"/>
                <w:sz w:val="20"/>
                <w:szCs w:val="20"/>
                <w:lang w:val="en-US"/>
              </w:rPr>
              <w:t>2010</w:t>
            </w:r>
          </w:p>
        </w:tc>
        <w:tc>
          <w:tcPr>
            <w:tcW w:w="1140" w:type="dxa"/>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4A62F7">
              <w:rPr>
                <w:b w:val="0"/>
                <w:color w:val="000000"/>
                <w:sz w:val="20"/>
                <w:szCs w:val="20"/>
                <w:lang w:val="en-US"/>
              </w:rPr>
              <w:t>2011</w:t>
            </w:r>
          </w:p>
        </w:tc>
        <w:tc>
          <w:tcPr>
            <w:tcW w:w="1143" w:type="dxa"/>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FF"/>
                <w:sz w:val="20"/>
                <w:szCs w:val="20"/>
                <w:u w:val="single"/>
                <w:lang w:val="en-US"/>
              </w:rPr>
            </w:pPr>
            <w:r w:rsidRPr="004A62F7">
              <w:rPr>
                <w:b w:val="0"/>
                <w:sz w:val="20"/>
                <w:szCs w:val="20"/>
                <w:lang w:val="en-US"/>
              </w:rPr>
              <w:t>2012</w:t>
            </w:r>
            <w:r w:rsidRPr="004A62F7">
              <w:rPr>
                <w:b w:val="0"/>
                <w:sz w:val="20"/>
                <w:szCs w:val="20"/>
                <w:lang w:val="en-US"/>
              </w:rPr>
              <w:footnoteReference w:customMarkFollows="1" w:id="5"/>
              <w:t>*</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140" w:type="dxa"/>
            <w:shd w:val="clear" w:color="auto" w:fill="auto"/>
            <w:noWrap/>
            <w:hideMark/>
          </w:tcPr>
          <w:p w:rsidR="001B3496" w:rsidRPr="004A62F7" w:rsidRDefault="001B3496" w:rsidP="004A62F7">
            <w:pPr>
              <w:rPr>
                <w:b w:val="0"/>
                <w:color w:val="000000"/>
                <w:sz w:val="20"/>
                <w:szCs w:val="20"/>
                <w:lang w:val="en-US"/>
              </w:rPr>
            </w:pPr>
            <w:r w:rsidRPr="004A62F7">
              <w:rPr>
                <w:b w:val="0"/>
                <w:color w:val="000000"/>
                <w:sz w:val="20"/>
                <w:szCs w:val="20"/>
                <w:lang w:val="en-US"/>
              </w:rPr>
              <w:t>Total</w:t>
            </w:r>
          </w:p>
        </w:tc>
        <w:tc>
          <w:tcPr>
            <w:tcW w:w="1140" w:type="dxa"/>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64.533.482</w:t>
            </w:r>
          </w:p>
        </w:tc>
        <w:tc>
          <w:tcPr>
            <w:tcW w:w="1140" w:type="dxa"/>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72.060.575</w:t>
            </w:r>
          </w:p>
        </w:tc>
        <w:tc>
          <w:tcPr>
            <w:tcW w:w="1140" w:type="dxa"/>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93.832.584</w:t>
            </w:r>
          </w:p>
        </w:tc>
        <w:tc>
          <w:tcPr>
            <w:tcW w:w="1140" w:type="dxa"/>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114.978.956</w:t>
            </w:r>
          </w:p>
        </w:tc>
        <w:tc>
          <w:tcPr>
            <w:tcW w:w="1140" w:type="dxa"/>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123.007.000</w:t>
            </w:r>
          </w:p>
        </w:tc>
        <w:tc>
          <w:tcPr>
            <w:tcW w:w="1143" w:type="dxa"/>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4A62F7">
              <w:rPr>
                <w:rFonts w:ascii="Arial" w:hAnsi="Arial" w:cs="Arial"/>
                <w:color w:val="000000"/>
                <w:sz w:val="20"/>
                <w:szCs w:val="20"/>
                <w:lang w:val="en-US"/>
              </w:rPr>
              <w:t>147.585.754</w:t>
            </w:r>
          </w:p>
        </w:tc>
      </w:tr>
      <w:tr w:rsidR="001B3496" w:rsidRPr="004A62F7" w:rsidTr="004A62F7">
        <w:trPr>
          <w:trHeight w:val="315"/>
          <w:jc w:val="center"/>
        </w:trPr>
        <w:tc>
          <w:tcPr>
            <w:cnfStyle w:val="001000000000" w:firstRow="0" w:lastRow="0" w:firstColumn="1" w:lastColumn="0" w:oddVBand="0" w:evenVBand="0" w:oddHBand="0" w:evenHBand="0" w:firstRowFirstColumn="0" w:firstRowLastColumn="0" w:lastRowFirstColumn="0" w:lastRowLastColumn="0"/>
            <w:tcW w:w="1140" w:type="dxa"/>
            <w:shd w:val="clear" w:color="auto" w:fill="auto"/>
            <w:noWrap/>
            <w:hideMark/>
          </w:tcPr>
          <w:p w:rsidR="001B3496" w:rsidRPr="004A62F7" w:rsidRDefault="001B3496" w:rsidP="004A62F7">
            <w:pPr>
              <w:rPr>
                <w:b w:val="0"/>
                <w:color w:val="000000"/>
                <w:sz w:val="20"/>
                <w:szCs w:val="20"/>
                <w:lang w:val="en-US"/>
              </w:rPr>
            </w:pPr>
            <w:proofErr w:type="spellStart"/>
            <w:r w:rsidRPr="004A62F7">
              <w:rPr>
                <w:b w:val="0"/>
                <w:color w:val="000000"/>
                <w:sz w:val="20"/>
                <w:szCs w:val="20"/>
                <w:lang w:val="en-US"/>
              </w:rPr>
              <w:t>Inc.Rate</w:t>
            </w:r>
            <w:proofErr w:type="spellEnd"/>
          </w:p>
        </w:tc>
        <w:tc>
          <w:tcPr>
            <w:tcW w:w="1140" w:type="dxa"/>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US"/>
              </w:rPr>
            </w:pPr>
            <w:r w:rsidRPr="004A62F7">
              <w:rPr>
                <w:rFonts w:ascii="Calibri" w:hAnsi="Calibri" w:cs="Calibri"/>
                <w:color w:val="000000"/>
                <w:sz w:val="20"/>
                <w:szCs w:val="20"/>
                <w:lang w:val="en-US"/>
              </w:rPr>
              <w:t> </w:t>
            </w:r>
          </w:p>
        </w:tc>
        <w:tc>
          <w:tcPr>
            <w:tcW w:w="1140" w:type="dxa"/>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12</w:t>
            </w:r>
          </w:p>
        </w:tc>
        <w:tc>
          <w:tcPr>
            <w:tcW w:w="1140" w:type="dxa"/>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30</w:t>
            </w:r>
          </w:p>
        </w:tc>
        <w:tc>
          <w:tcPr>
            <w:tcW w:w="1140" w:type="dxa"/>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23</w:t>
            </w:r>
          </w:p>
        </w:tc>
        <w:tc>
          <w:tcPr>
            <w:tcW w:w="1140" w:type="dxa"/>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7</w:t>
            </w:r>
          </w:p>
        </w:tc>
        <w:tc>
          <w:tcPr>
            <w:tcW w:w="1143" w:type="dxa"/>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20</w:t>
            </w:r>
          </w:p>
        </w:tc>
      </w:tr>
    </w:tbl>
    <w:p w:rsidR="001B3496" w:rsidRPr="004A62F7" w:rsidRDefault="001B3496" w:rsidP="004A62F7">
      <w:pPr>
        <w:pStyle w:val="AralkYok"/>
        <w:jc w:val="center"/>
        <w:rPr>
          <w:rFonts w:ascii="Times New Roman" w:hAnsi="Times New Roman"/>
          <w:sz w:val="20"/>
          <w:szCs w:val="20"/>
        </w:rPr>
      </w:pPr>
      <w:r w:rsidRPr="004A62F7">
        <w:rPr>
          <w:rFonts w:ascii="Times New Roman" w:hAnsi="Times New Roman"/>
          <w:sz w:val="20"/>
          <w:szCs w:val="20"/>
        </w:rPr>
        <w:t>Source: Collected from data provided by (BAT, The Bank Association of Turkey, 2011) (BAT, The Bank Association of Turkey, 2012) (PBAT, The Participation Banks Association of Turkey, 2012) (BAT, The Bank Association of Turkey, 2013)</w:t>
      </w:r>
    </w:p>
    <w:p w:rsidR="004A62F7" w:rsidRDefault="004A62F7" w:rsidP="001B3496">
      <w:pPr>
        <w:pStyle w:val="Balk2"/>
        <w:numPr>
          <w:ilvl w:val="0"/>
          <w:numId w:val="0"/>
        </w:numPr>
        <w:spacing w:after="120"/>
        <w:ind w:left="284"/>
      </w:pPr>
    </w:p>
    <w:p w:rsidR="004A62F7" w:rsidRDefault="004A62F7" w:rsidP="001B3496">
      <w:pPr>
        <w:pStyle w:val="Balk2"/>
        <w:numPr>
          <w:ilvl w:val="0"/>
          <w:numId w:val="0"/>
        </w:numPr>
        <w:spacing w:after="120"/>
        <w:ind w:left="284"/>
      </w:pPr>
    </w:p>
    <w:p w:rsidR="001B3496" w:rsidRDefault="001B3496" w:rsidP="001B3496">
      <w:pPr>
        <w:pStyle w:val="Balk2"/>
        <w:numPr>
          <w:ilvl w:val="0"/>
          <w:numId w:val="0"/>
        </w:numPr>
        <w:spacing w:after="120"/>
        <w:ind w:left="284"/>
      </w:pPr>
      <w:r w:rsidRPr="00106B8C">
        <w:t xml:space="preserve">Growth of Total Assets </w:t>
      </w:r>
    </w:p>
    <w:p w:rsidR="004A62F7" w:rsidRPr="004A62F7" w:rsidRDefault="004A62F7" w:rsidP="004A62F7">
      <w:pPr>
        <w:rPr>
          <w:lang w:val="en-US" w:eastAsia="en-US"/>
        </w:rPr>
      </w:pPr>
    </w:p>
    <w:p w:rsidR="001B3496" w:rsidRPr="004A62F7" w:rsidRDefault="001B3496" w:rsidP="004A62F7">
      <w:pPr>
        <w:pStyle w:val="Balk2"/>
        <w:numPr>
          <w:ilvl w:val="0"/>
          <w:numId w:val="0"/>
        </w:numPr>
        <w:spacing w:after="120"/>
        <w:ind w:left="284"/>
        <w:jc w:val="center"/>
        <w:rPr>
          <w:b w:val="0"/>
          <w:bCs/>
        </w:rPr>
      </w:pPr>
      <w:r w:rsidRPr="004A62F7">
        <w:rPr>
          <w:b w:val="0"/>
          <w:bCs/>
        </w:rPr>
        <w:t>Table</w:t>
      </w:r>
      <w:r w:rsidR="004A62F7">
        <w:rPr>
          <w:b w:val="0"/>
          <w:bCs/>
        </w:rPr>
        <w:t xml:space="preserve"> </w:t>
      </w:r>
      <w:r w:rsidRPr="004A62F7">
        <w:rPr>
          <w:b w:val="0"/>
          <w:bCs/>
        </w:rPr>
        <w:t>14/a Growth of Total Assets in Participation Banks, 2007- 2012 (1000TL)</w:t>
      </w:r>
    </w:p>
    <w:tbl>
      <w:tblPr>
        <w:tblStyle w:val="AkGlgeleme"/>
        <w:tblW w:w="4239" w:type="pct"/>
        <w:jc w:val="center"/>
        <w:tblLook w:val="04A0" w:firstRow="1" w:lastRow="0" w:firstColumn="1" w:lastColumn="0" w:noHBand="0" w:noVBand="1"/>
      </w:tblPr>
      <w:tblGrid>
        <w:gridCol w:w="1816"/>
        <w:gridCol w:w="1328"/>
        <w:gridCol w:w="1116"/>
        <w:gridCol w:w="1116"/>
        <w:gridCol w:w="1116"/>
        <w:gridCol w:w="1141"/>
      </w:tblGrid>
      <w:tr w:rsidR="001B3496" w:rsidRPr="004A62F7" w:rsidTr="004A62F7">
        <w:trPr>
          <w:cnfStyle w:val="100000000000" w:firstRow="1" w:lastRow="0" w:firstColumn="0" w:lastColumn="0" w:oddVBand="0" w:evenVBand="0" w:oddHBand="0" w:evenHBand="0" w:firstRowFirstColumn="0" w:firstRowLastColumn="0" w:lastRowFirstColumn="0" w:lastRowLastColumn="0"/>
          <w:trHeight w:val="369"/>
          <w:jc w:val="center"/>
        </w:trPr>
        <w:tc>
          <w:tcPr>
            <w:cnfStyle w:val="001000000000" w:firstRow="0" w:lastRow="0" w:firstColumn="1" w:lastColumn="0" w:oddVBand="0" w:evenVBand="0" w:oddHBand="0" w:evenHBand="0" w:firstRowFirstColumn="0" w:firstRowLastColumn="0" w:lastRowFirstColumn="0" w:lastRowLastColumn="0"/>
            <w:tcW w:w="1333"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END OF YEAR</w:t>
            </w:r>
          </w:p>
        </w:tc>
        <w:tc>
          <w:tcPr>
            <w:tcW w:w="798"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ALBARAKA TÜRK</w:t>
            </w:r>
          </w:p>
        </w:tc>
        <w:tc>
          <w:tcPr>
            <w:tcW w:w="644"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BANK ASYA</w:t>
            </w:r>
          </w:p>
        </w:tc>
        <w:tc>
          <w:tcPr>
            <w:tcW w:w="644"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KUVEYT TÜRK</w:t>
            </w:r>
          </w:p>
        </w:tc>
        <w:tc>
          <w:tcPr>
            <w:tcW w:w="690"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TÜRKİYE FİNANS</w:t>
            </w:r>
          </w:p>
        </w:tc>
        <w:tc>
          <w:tcPr>
            <w:tcW w:w="890"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TOTAL SUM</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333"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Average 2007-2012</w:t>
            </w:r>
          </w:p>
        </w:tc>
        <w:tc>
          <w:tcPr>
            <w:tcW w:w="798"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7.681.482</w:t>
            </w:r>
          </w:p>
        </w:tc>
        <w:tc>
          <w:tcPr>
            <w:tcW w:w="64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13.178.446</w:t>
            </w:r>
          </w:p>
        </w:tc>
        <w:tc>
          <w:tcPr>
            <w:tcW w:w="64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10.012.683</w:t>
            </w:r>
          </w:p>
        </w:tc>
        <w:tc>
          <w:tcPr>
            <w:tcW w:w="69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10.542.867</w:t>
            </w:r>
          </w:p>
        </w:tc>
        <w:tc>
          <w:tcPr>
            <w:tcW w:w="89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41.415.478</w:t>
            </w:r>
          </w:p>
        </w:tc>
      </w:tr>
      <w:tr w:rsidR="001B3496" w:rsidRPr="004A62F7" w:rsidTr="004A62F7">
        <w:trPr>
          <w:trHeight w:val="210"/>
          <w:jc w:val="center"/>
        </w:trPr>
        <w:tc>
          <w:tcPr>
            <w:cnfStyle w:val="001000000000" w:firstRow="0" w:lastRow="0" w:firstColumn="1" w:lastColumn="0" w:oddVBand="0" w:evenVBand="0" w:oddHBand="0" w:evenHBand="0" w:firstRowFirstColumn="0" w:firstRowLastColumn="0" w:lastRowFirstColumn="0" w:lastRowLastColumn="0"/>
            <w:tcW w:w="1333"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2012</w:t>
            </w:r>
          </w:p>
        </w:tc>
        <w:tc>
          <w:tcPr>
            <w:tcW w:w="798"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12.327.654</w:t>
            </w:r>
          </w:p>
        </w:tc>
        <w:tc>
          <w:tcPr>
            <w:tcW w:w="644"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21.390.024</w:t>
            </w:r>
          </w:p>
        </w:tc>
        <w:tc>
          <w:tcPr>
            <w:tcW w:w="644"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18.910.513</w:t>
            </w:r>
          </w:p>
        </w:tc>
        <w:tc>
          <w:tcPr>
            <w:tcW w:w="69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17.616.504</w:t>
            </w:r>
          </w:p>
        </w:tc>
        <w:tc>
          <w:tcPr>
            <w:tcW w:w="89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70.244.695</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33"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2011</w:t>
            </w:r>
          </w:p>
        </w:tc>
        <w:tc>
          <w:tcPr>
            <w:tcW w:w="798"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10.460.885</w:t>
            </w:r>
          </w:p>
        </w:tc>
        <w:tc>
          <w:tcPr>
            <w:tcW w:w="64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17.190.099</w:t>
            </w:r>
          </w:p>
        </w:tc>
        <w:tc>
          <w:tcPr>
            <w:tcW w:w="64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14.897.592</w:t>
            </w:r>
          </w:p>
        </w:tc>
        <w:tc>
          <w:tcPr>
            <w:tcW w:w="69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13.528.353</w:t>
            </w:r>
          </w:p>
        </w:tc>
        <w:tc>
          <w:tcPr>
            <w:tcW w:w="89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56.076.929</w:t>
            </w:r>
          </w:p>
        </w:tc>
      </w:tr>
      <w:tr w:rsidR="001B3496" w:rsidRPr="004A62F7" w:rsidTr="004A62F7">
        <w:trPr>
          <w:trHeight w:val="225"/>
          <w:jc w:val="center"/>
        </w:trPr>
        <w:tc>
          <w:tcPr>
            <w:cnfStyle w:val="001000000000" w:firstRow="0" w:lastRow="0" w:firstColumn="1" w:lastColumn="0" w:oddVBand="0" w:evenVBand="0" w:oddHBand="0" w:evenHBand="0" w:firstRowFirstColumn="0" w:firstRowLastColumn="0" w:lastRowFirstColumn="0" w:lastRowLastColumn="0"/>
            <w:tcW w:w="1333"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2010</w:t>
            </w:r>
          </w:p>
        </w:tc>
        <w:tc>
          <w:tcPr>
            <w:tcW w:w="798"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8.406.301</w:t>
            </w:r>
          </w:p>
        </w:tc>
        <w:tc>
          <w:tcPr>
            <w:tcW w:w="644"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14.513.419</w:t>
            </w:r>
          </w:p>
        </w:tc>
        <w:tc>
          <w:tcPr>
            <w:tcW w:w="644"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9.727.117</w:t>
            </w:r>
          </w:p>
        </w:tc>
        <w:tc>
          <w:tcPr>
            <w:tcW w:w="69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10.691.860</w:t>
            </w:r>
          </w:p>
        </w:tc>
        <w:tc>
          <w:tcPr>
            <w:tcW w:w="89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43.338.697</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33"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2009</w:t>
            </w:r>
          </w:p>
        </w:tc>
        <w:tc>
          <w:tcPr>
            <w:tcW w:w="798"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6.414.914</w:t>
            </w:r>
          </w:p>
        </w:tc>
        <w:tc>
          <w:tcPr>
            <w:tcW w:w="64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11.608.955</w:t>
            </w:r>
          </w:p>
        </w:tc>
        <w:tc>
          <w:tcPr>
            <w:tcW w:w="64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6.904.526</w:t>
            </w:r>
          </w:p>
        </w:tc>
        <w:tc>
          <w:tcPr>
            <w:tcW w:w="69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8.699.643</w:t>
            </w:r>
          </w:p>
        </w:tc>
        <w:tc>
          <w:tcPr>
            <w:tcW w:w="89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33.628.038</w:t>
            </w:r>
          </w:p>
        </w:tc>
      </w:tr>
      <w:tr w:rsidR="001B3496" w:rsidRPr="004A62F7" w:rsidTr="004A62F7">
        <w:trPr>
          <w:trHeight w:val="225"/>
          <w:jc w:val="center"/>
        </w:trPr>
        <w:tc>
          <w:tcPr>
            <w:cnfStyle w:val="001000000000" w:firstRow="0" w:lastRow="0" w:firstColumn="1" w:lastColumn="0" w:oddVBand="0" w:evenVBand="0" w:oddHBand="0" w:evenHBand="0" w:firstRowFirstColumn="0" w:firstRowLastColumn="0" w:lastRowFirstColumn="0" w:lastRowLastColumn="0"/>
            <w:tcW w:w="1333"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2008</w:t>
            </w:r>
          </w:p>
        </w:tc>
        <w:tc>
          <w:tcPr>
            <w:tcW w:w="798"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4.789.108</w:t>
            </w:r>
          </w:p>
        </w:tc>
        <w:tc>
          <w:tcPr>
            <w:tcW w:w="644"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8.108.129</w:t>
            </w:r>
          </w:p>
        </w:tc>
        <w:tc>
          <w:tcPr>
            <w:tcW w:w="644"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5.768.034</w:t>
            </w:r>
          </w:p>
        </w:tc>
        <w:tc>
          <w:tcPr>
            <w:tcW w:w="69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7.104.156</w:t>
            </w:r>
          </w:p>
        </w:tc>
        <w:tc>
          <w:tcPr>
            <w:tcW w:w="89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25.769.427</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333"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2007</w:t>
            </w:r>
          </w:p>
        </w:tc>
        <w:tc>
          <w:tcPr>
            <w:tcW w:w="798"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3.690.029</w:t>
            </w:r>
          </w:p>
        </w:tc>
        <w:tc>
          <w:tcPr>
            <w:tcW w:w="64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6.260.048</w:t>
            </w:r>
          </w:p>
        </w:tc>
        <w:tc>
          <w:tcPr>
            <w:tcW w:w="64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3.868.318</w:t>
            </w:r>
          </w:p>
        </w:tc>
        <w:tc>
          <w:tcPr>
            <w:tcW w:w="69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5.616.687</w:t>
            </w:r>
          </w:p>
        </w:tc>
        <w:tc>
          <w:tcPr>
            <w:tcW w:w="89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19.435.082</w:t>
            </w:r>
          </w:p>
        </w:tc>
      </w:tr>
    </w:tbl>
    <w:p w:rsidR="004A62F7" w:rsidRDefault="004A62F7" w:rsidP="001B3496">
      <w:pPr>
        <w:spacing w:after="120"/>
        <w:jc w:val="center"/>
        <w:rPr>
          <w:b/>
          <w:bCs/>
          <w:sz w:val="22"/>
          <w:szCs w:val="22"/>
          <w:lang w:val="en-US"/>
        </w:rPr>
      </w:pPr>
    </w:p>
    <w:p w:rsidR="001B3496" w:rsidRPr="004A62F7" w:rsidRDefault="004A62F7" w:rsidP="001B3496">
      <w:pPr>
        <w:spacing w:after="120"/>
        <w:jc w:val="center"/>
        <w:rPr>
          <w:bCs/>
          <w:sz w:val="22"/>
          <w:szCs w:val="22"/>
          <w:lang w:val="en-US"/>
        </w:rPr>
      </w:pPr>
      <w:r>
        <w:rPr>
          <w:bCs/>
          <w:sz w:val="22"/>
          <w:szCs w:val="22"/>
          <w:lang w:val="en-US"/>
        </w:rPr>
        <w:t>Table 14/b</w:t>
      </w:r>
      <w:r w:rsidR="001B3496" w:rsidRPr="004A62F7">
        <w:rPr>
          <w:bCs/>
          <w:sz w:val="22"/>
          <w:szCs w:val="22"/>
          <w:lang w:val="en-US"/>
        </w:rPr>
        <w:t xml:space="preserve"> Increase Rate from Previous Year at Total Assets in Participation Banks,</w:t>
      </w:r>
      <w:r>
        <w:rPr>
          <w:bCs/>
          <w:sz w:val="22"/>
          <w:szCs w:val="22"/>
          <w:lang w:val="en-US"/>
        </w:rPr>
        <w:t xml:space="preserve"> </w:t>
      </w:r>
      <w:r w:rsidR="001B3496" w:rsidRPr="004A62F7">
        <w:rPr>
          <w:bCs/>
          <w:sz w:val="22"/>
          <w:szCs w:val="22"/>
          <w:lang w:val="en-US"/>
        </w:rPr>
        <w:t>2007-12</w:t>
      </w:r>
      <w:r>
        <w:rPr>
          <w:bCs/>
          <w:sz w:val="22"/>
          <w:szCs w:val="22"/>
          <w:lang w:val="en-US"/>
        </w:rPr>
        <w:t xml:space="preserve"> </w:t>
      </w:r>
      <w:r w:rsidR="001B3496" w:rsidRPr="004A62F7">
        <w:rPr>
          <w:bCs/>
          <w:sz w:val="22"/>
          <w:szCs w:val="22"/>
          <w:lang w:val="en-US"/>
        </w:rPr>
        <w:t>(1000TL)</w:t>
      </w:r>
    </w:p>
    <w:tbl>
      <w:tblPr>
        <w:tblStyle w:val="AkGlgeleme"/>
        <w:tblW w:w="4437" w:type="pct"/>
        <w:jc w:val="center"/>
        <w:tblLook w:val="04A0" w:firstRow="1" w:lastRow="0" w:firstColumn="1" w:lastColumn="0" w:noHBand="0" w:noVBand="1"/>
      </w:tblPr>
      <w:tblGrid>
        <w:gridCol w:w="1804"/>
        <w:gridCol w:w="1328"/>
        <w:gridCol w:w="783"/>
        <w:gridCol w:w="1039"/>
        <w:gridCol w:w="1094"/>
        <w:gridCol w:w="1941"/>
      </w:tblGrid>
      <w:tr w:rsidR="001B3496" w:rsidRPr="004A62F7" w:rsidTr="004A62F7">
        <w:trPr>
          <w:cnfStyle w:val="100000000000" w:firstRow="1" w:lastRow="0" w:firstColumn="0" w:lastColumn="0" w:oddVBand="0" w:evenVBand="0" w:oddHBand="0" w:evenHBand="0" w:firstRowFirstColumn="0" w:firstRowLastColumn="0" w:lastRowFirstColumn="0" w:lastRowLastColumn="0"/>
          <w:trHeight w:val="168"/>
          <w:jc w:val="center"/>
        </w:trPr>
        <w:tc>
          <w:tcPr>
            <w:cnfStyle w:val="001000000000" w:firstRow="0" w:lastRow="0" w:firstColumn="1" w:lastColumn="0" w:oddVBand="0" w:evenVBand="0" w:oddHBand="0" w:evenHBand="0" w:firstRowFirstColumn="0" w:firstRowLastColumn="0" w:lastRowFirstColumn="0" w:lastRowLastColumn="0"/>
            <w:tcW w:w="1164"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20"/>
                <w:szCs w:val="20"/>
                <w:lang w:val="en-US"/>
              </w:rPr>
              <w:t>END OF YEAR</w:t>
            </w:r>
          </w:p>
        </w:tc>
        <w:tc>
          <w:tcPr>
            <w:tcW w:w="831"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ALBARAKA TÜRK</w:t>
            </w:r>
          </w:p>
        </w:tc>
        <w:tc>
          <w:tcPr>
            <w:tcW w:w="490"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BANK ASYA</w:t>
            </w:r>
          </w:p>
        </w:tc>
        <w:tc>
          <w:tcPr>
            <w:tcW w:w="650"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KUVEYT TÜRK</w:t>
            </w:r>
          </w:p>
        </w:tc>
        <w:tc>
          <w:tcPr>
            <w:tcW w:w="614"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TÜRKİYE FİNANS</w:t>
            </w:r>
          </w:p>
        </w:tc>
        <w:tc>
          <w:tcPr>
            <w:tcW w:w="1250" w:type="pct"/>
            <w:shd w:val="clear" w:color="auto" w:fill="auto"/>
            <w:hideMark/>
          </w:tcPr>
          <w:p w:rsidR="001B3496" w:rsidRPr="004A62F7" w:rsidRDefault="001B3496" w:rsidP="001B3496">
            <w:pPr>
              <w:jc w:val="center"/>
              <w:cnfStyle w:val="100000000000" w:firstRow="1" w:lastRow="0" w:firstColumn="0" w:lastColumn="0" w:oddVBand="0" w:evenVBand="0" w:oddHBand="0" w:evenHBand="0" w:firstRowFirstColumn="0" w:firstRowLastColumn="0" w:lastRowFirstColumn="0" w:lastRowLastColumn="0"/>
              <w:rPr>
                <w:b w:val="0"/>
                <w:bCs w:val="0"/>
                <w:sz w:val="20"/>
                <w:szCs w:val="20"/>
                <w:lang w:val="en-US"/>
              </w:rPr>
            </w:pPr>
            <w:r w:rsidRPr="004A62F7">
              <w:rPr>
                <w:b w:val="0"/>
                <w:bCs w:val="0"/>
                <w:sz w:val="20"/>
                <w:szCs w:val="20"/>
                <w:lang w:val="en-US"/>
              </w:rPr>
              <w:t xml:space="preserve">Increase Rate From </w:t>
            </w:r>
            <w:proofErr w:type="spellStart"/>
            <w:r w:rsidRPr="004A62F7">
              <w:rPr>
                <w:b w:val="0"/>
                <w:bCs w:val="0"/>
                <w:sz w:val="20"/>
                <w:szCs w:val="20"/>
                <w:lang w:val="en-US"/>
              </w:rPr>
              <w:t>Prev.Year</w:t>
            </w:r>
            <w:proofErr w:type="spellEnd"/>
            <w:r w:rsidRPr="004A62F7">
              <w:rPr>
                <w:b w:val="0"/>
                <w:bCs w:val="0"/>
                <w:sz w:val="20"/>
                <w:szCs w:val="20"/>
                <w:lang w:val="en-US"/>
              </w:rPr>
              <w:t xml:space="preserve"> Total Sum</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1164" w:type="pct"/>
            <w:shd w:val="clear" w:color="auto" w:fill="auto"/>
            <w:hideMark/>
          </w:tcPr>
          <w:p w:rsidR="001B3496" w:rsidRPr="004A62F7" w:rsidRDefault="001B3496" w:rsidP="001B3496">
            <w:pPr>
              <w:jc w:val="center"/>
              <w:rPr>
                <w:b w:val="0"/>
                <w:bCs w:val="0"/>
                <w:sz w:val="20"/>
                <w:szCs w:val="20"/>
                <w:lang w:val="en-US"/>
              </w:rPr>
            </w:pPr>
            <w:r w:rsidRPr="004A62F7">
              <w:rPr>
                <w:b w:val="0"/>
                <w:bCs w:val="0"/>
                <w:sz w:val="18"/>
                <w:szCs w:val="20"/>
                <w:lang w:val="en-US"/>
              </w:rPr>
              <w:t>Average 2007-2012</w:t>
            </w:r>
          </w:p>
        </w:tc>
        <w:tc>
          <w:tcPr>
            <w:tcW w:w="831"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27%</w:t>
            </w:r>
          </w:p>
        </w:tc>
        <w:tc>
          <w:tcPr>
            <w:tcW w:w="49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32%</w:t>
            </w:r>
          </w:p>
        </w:tc>
        <w:tc>
          <w:tcPr>
            <w:tcW w:w="65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37%</w:t>
            </w:r>
          </w:p>
        </w:tc>
        <w:tc>
          <w:tcPr>
            <w:tcW w:w="61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27%</w:t>
            </w:r>
          </w:p>
        </w:tc>
        <w:tc>
          <w:tcPr>
            <w:tcW w:w="125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31%</w:t>
            </w:r>
          </w:p>
        </w:tc>
      </w:tr>
      <w:tr w:rsidR="001B3496" w:rsidRPr="004A62F7" w:rsidTr="004A62F7">
        <w:trPr>
          <w:trHeight w:val="210"/>
          <w:jc w:val="center"/>
        </w:trPr>
        <w:tc>
          <w:tcPr>
            <w:cnfStyle w:val="001000000000" w:firstRow="0" w:lastRow="0" w:firstColumn="1" w:lastColumn="0" w:oddVBand="0" w:evenVBand="0" w:oddHBand="0" w:evenHBand="0" w:firstRowFirstColumn="0" w:firstRowLastColumn="0" w:lastRowFirstColumn="0" w:lastRowLastColumn="0"/>
            <w:tcW w:w="1164" w:type="pct"/>
            <w:shd w:val="clear" w:color="auto" w:fill="auto"/>
            <w:hideMark/>
          </w:tcPr>
          <w:p w:rsidR="001B3496" w:rsidRPr="004A62F7" w:rsidRDefault="001B3496" w:rsidP="001B3496">
            <w:pPr>
              <w:jc w:val="right"/>
              <w:rPr>
                <w:b w:val="0"/>
                <w:bCs w:val="0"/>
                <w:sz w:val="20"/>
                <w:szCs w:val="20"/>
                <w:lang w:val="en-US"/>
              </w:rPr>
            </w:pPr>
            <w:r w:rsidRPr="004A62F7">
              <w:rPr>
                <w:b w:val="0"/>
                <w:bCs w:val="0"/>
                <w:sz w:val="20"/>
                <w:szCs w:val="20"/>
                <w:lang w:val="en-US"/>
              </w:rPr>
              <w:t>2012</w:t>
            </w:r>
          </w:p>
        </w:tc>
        <w:tc>
          <w:tcPr>
            <w:tcW w:w="831"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18%</w:t>
            </w:r>
          </w:p>
        </w:tc>
        <w:tc>
          <w:tcPr>
            <w:tcW w:w="49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24%</w:t>
            </w:r>
          </w:p>
        </w:tc>
        <w:tc>
          <w:tcPr>
            <w:tcW w:w="65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27%</w:t>
            </w:r>
          </w:p>
        </w:tc>
        <w:tc>
          <w:tcPr>
            <w:tcW w:w="614"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30%</w:t>
            </w:r>
          </w:p>
        </w:tc>
        <w:tc>
          <w:tcPr>
            <w:tcW w:w="125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25%</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164" w:type="pct"/>
            <w:shd w:val="clear" w:color="auto" w:fill="auto"/>
            <w:hideMark/>
          </w:tcPr>
          <w:p w:rsidR="001B3496" w:rsidRPr="004A62F7" w:rsidRDefault="001B3496" w:rsidP="001B3496">
            <w:pPr>
              <w:jc w:val="right"/>
              <w:rPr>
                <w:b w:val="0"/>
                <w:bCs w:val="0"/>
                <w:sz w:val="20"/>
                <w:szCs w:val="20"/>
                <w:lang w:val="en-US"/>
              </w:rPr>
            </w:pPr>
            <w:r w:rsidRPr="004A62F7">
              <w:rPr>
                <w:b w:val="0"/>
                <w:bCs w:val="0"/>
                <w:sz w:val="20"/>
                <w:szCs w:val="20"/>
                <w:lang w:val="en-US"/>
              </w:rPr>
              <w:t>2011</w:t>
            </w:r>
          </w:p>
        </w:tc>
        <w:tc>
          <w:tcPr>
            <w:tcW w:w="831"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3%</w:t>
            </w:r>
          </w:p>
        </w:tc>
        <w:tc>
          <w:tcPr>
            <w:tcW w:w="49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18%</w:t>
            </w:r>
          </w:p>
        </w:tc>
        <w:tc>
          <w:tcPr>
            <w:tcW w:w="65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53%</w:t>
            </w:r>
          </w:p>
        </w:tc>
        <w:tc>
          <w:tcPr>
            <w:tcW w:w="61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27%</w:t>
            </w:r>
          </w:p>
        </w:tc>
        <w:tc>
          <w:tcPr>
            <w:tcW w:w="125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29%</w:t>
            </w:r>
          </w:p>
        </w:tc>
      </w:tr>
      <w:tr w:rsidR="001B3496" w:rsidRPr="004A62F7" w:rsidTr="004A62F7">
        <w:trPr>
          <w:trHeight w:val="225"/>
          <w:jc w:val="center"/>
        </w:trPr>
        <w:tc>
          <w:tcPr>
            <w:cnfStyle w:val="001000000000" w:firstRow="0" w:lastRow="0" w:firstColumn="1" w:lastColumn="0" w:oddVBand="0" w:evenVBand="0" w:oddHBand="0" w:evenHBand="0" w:firstRowFirstColumn="0" w:firstRowLastColumn="0" w:lastRowFirstColumn="0" w:lastRowLastColumn="0"/>
            <w:tcW w:w="1164" w:type="pct"/>
            <w:shd w:val="clear" w:color="auto" w:fill="auto"/>
            <w:hideMark/>
          </w:tcPr>
          <w:p w:rsidR="001B3496" w:rsidRPr="004A62F7" w:rsidRDefault="001B3496" w:rsidP="001B3496">
            <w:pPr>
              <w:jc w:val="right"/>
              <w:rPr>
                <w:b w:val="0"/>
                <w:bCs w:val="0"/>
                <w:sz w:val="20"/>
                <w:szCs w:val="20"/>
                <w:lang w:val="en-US"/>
              </w:rPr>
            </w:pPr>
            <w:r w:rsidRPr="004A62F7">
              <w:rPr>
                <w:b w:val="0"/>
                <w:bCs w:val="0"/>
                <w:sz w:val="20"/>
                <w:szCs w:val="20"/>
                <w:lang w:val="en-US"/>
              </w:rPr>
              <w:t>2010</w:t>
            </w:r>
          </w:p>
        </w:tc>
        <w:tc>
          <w:tcPr>
            <w:tcW w:w="831"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31%</w:t>
            </w:r>
          </w:p>
        </w:tc>
        <w:tc>
          <w:tcPr>
            <w:tcW w:w="49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25%</w:t>
            </w:r>
          </w:p>
        </w:tc>
        <w:tc>
          <w:tcPr>
            <w:tcW w:w="65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41%</w:t>
            </w:r>
          </w:p>
        </w:tc>
        <w:tc>
          <w:tcPr>
            <w:tcW w:w="614"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23%</w:t>
            </w:r>
          </w:p>
        </w:tc>
        <w:tc>
          <w:tcPr>
            <w:tcW w:w="125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bCs/>
                <w:sz w:val="20"/>
                <w:szCs w:val="20"/>
                <w:lang w:val="en-US"/>
              </w:rPr>
            </w:pPr>
            <w:r w:rsidRPr="004A62F7">
              <w:rPr>
                <w:bCs/>
                <w:sz w:val="20"/>
                <w:szCs w:val="20"/>
                <w:lang w:val="en-US"/>
              </w:rPr>
              <w:t>29%</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164" w:type="pct"/>
            <w:shd w:val="clear" w:color="auto" w:fill="auto"/>
            <w:hideMark/>
          </w:tcPr>
          <w:p w:rsidR="001B3496" w:rsidRPr="004A62F7" w:rsidRDefault="001B3496" w:rsidP="001B3496">
            <w:pPr>
              <w:jc w:val="right"/>
              <w:rPr>
                <w:b w:val="0"/>
                <w:bCs w:val="0"/>
                <w:sz w:val="20"/>
                <w:szCs w:val="20"/>
                <w:lang w:val="en-US"/>
              </w:rPr>
            </w:pPr>
            <w:r w:rsidRPr="004A62F7">
              <w:rPr>
                <w:b w:val="0"/>
                <w:bCs w:val="0"/>
                <w:sz w:val="20"/>
                <w:szCs w:val="20"/>
                <w:lang w:val="en-US"/>
              </w:rPr>
              <w:t>2009</w:t>
            </w:r>
          </w:p>
        </w:tc>
        <w:tc>
          <w:tcPr>
            <w:tcW w:w="831"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34%</w:t>
            </w:r>
          </w:p>
        </w:tc>
        <w:tc>
          <w:tcPr>
            <w:tcW w:w="49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43%</w:t>
            </w:r>
          </w:p>
        </w:tc>
        <w:tc>
          <w:tcPr>
            <w:tcW w:w="65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20%</w:t>
            </w:r>
          </w:p>
        </w:tc>
        <w:tc>
          <w:tcPr>
            <w:tcW w:w="61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22%</w:t>
            </w:r>
          </w:p>
        </w:tc>
        <w:tc>
          <w:tcPr>
            <w:tcW w:w="125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30%</w:t>
            </w:r>
          </w:p>
        </w:tc>
      </w:tr>
      <w:tr w:rsidR="001B3496" w:rsidRPr="004A62F7" w:rsidTr="004A62F7">
        <w:trPr>
          <w:trHeight w:val="225"/>
          <w:jc w:val="center"/>
        </w:trPr>
        <w:tc>
          <w:tcPr>
            <w:cnfStyle w:val="001000000000" w:firstRow="0" w:lastRow="0" w:firstColumn="1" w:lastColumn="0" w:oddVBand="0" w:evenVBand="0" w:oddHBand="0" w:evenHBand="0" w:firstRowFirstColumn="0" w:firstRowLastColumn="0" w:lastRowFirstColumn="0" w:lastRowLastColumn="0"/>
            <w:tcW w:w="1164" w:type="pct"/>
            <w:shd w:val="clear" w:color="auto" w:fill="auto"/>
            <w:hideMark/>
          </w:tcPr>
          <w:p w:rsidR="001B3496" w:rsidRPr="004A62F7" w:rsidRDefault="001B3496" w:rsidP="001B3496">
            <w:pPr>
              <w:jc w:val="right"/>
              <w:rPr>
                <w:b w:val="0"/>
                <w:bCs w:val="0"/>
                <w:sz w:val="20"/>
                <w:szCs w:val="20"/>
                <w:lang w:val="en-US"/>
              </w:rPr>
            </w:pPr>
            <w:r w:rsidRPr="004A62F7">
              <w:rPr>
                <w:b w:val="0"/>
                <w:bCs w:val="0"/>
                <w:sz w:val="20"/>
                <w:szCs w:val="20"/>
                <w:lang w:val="en-US"/>
              </w:rPr>
              <w:t>2008</w:t>
            </w:r>
          </w:p>
        </w:tc>
        <w:tc>
          <w:tcPr>
            <w:tcW w:w="831"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30%</w:t>
            </w:r>
          </w:p>
        </w:tc>
        <w:tc>
          <w:tcPr>
            <w:tcW w:w="49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30%</w:t>
            </w:r>
          </w:p>
        </w:tc>
        <w:tc>
          <w:tcPr>
            <w:tcW w:w="65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49%</w:t>
            </w:r>
          </w:p>
        </w:tc>
        <w:tc>
          <w:tcPr>
            <w:tcW w:w="614"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sz w:val="20"/>
                <w:szCs w:val="20"/>
                <w:lang w:val="en-US"/>
              </w:rPr>
            </w:pPr>
            <w:r w:rsidRPr="004A62F7">
              <w:rPr>
                <w:sz w:val="20"/>
                <w:szCs w:val="20"/>
                <w:lang w:val="en-US"/>
              </w:rPr>
              <w:t>26%</w:t>
            </w:r>
          </w:p>
        </w:tc>
        <w:tc>
          <w:tcPr>
            <w:tcW w:w="1250" w:type="pct"/>
            <w:shd w:val="clear" w:color="auto" w:fill="auto"/>
            <w:noWrap/>
            <w:hideMark/>
          </w:tcPr>
          <w:p w:rsidR="001B3496" w:rsidRPr="004A62F7" w:rsidRDefault="001B3496" w:rsidP="001B3496">
            <w:pPr>
              <w:jc w:val="right"/>
              <w:cnfStyle w:val="000000000000" w:firstRow="0" w:lastRow="0" w:firstColumn="0" w:lastColumn="0" w:oddVBand="0" w:evenVBand="0" w:oddHBand="0" w:evenHBand="0" w:firstRowFirstColumn="0" w:firstRowLastColumn="0" w:lastRowFirstColumn="0" w:lastRowLastColumn="0"/>
              <w:rPr>
                <w:bCs/>
                <w:sz w:val="20"/>
                <w:szCs w:val="20"/>
                <w:lang w:val="en-US"/>
              </w:rPr>
            </w:pPr>
            <w:r w:rsidRPr="004A62F7">
              <w:rPr>
                <w:bCs/>
                <w:sz w:val="20"/>
                <w:szCs w:val="20"/>
                <w:lang w:val="en-US"/>
              </w:rPr>
              <w:t>33%</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25"/>
          <w:jc w:val="center"/>
        </w:trPr>
        <w:tc>
          <w:tcPr>
            <w:cnfStyle w:val="001000000000" w:firstRow="0" w:lastRow="0" w:firstColumn="1" w:lastColumn="0" w:oddVBand="0" w:evenVBand="0" w:oddHBand="0" w:evenHBand="0" w:firstRowFirstColumn="0" w:firstRowLastColumn="0" w:lastRowFirstColumn="0" w:lastRowLastColumn="0"/>
            <w:tcW w:w="1164" w:type="pct"/>
            <w:shd w:val="clear" w:color="auto" w:fill="auto"/>
            <w:hideMark/>
          </w:tcPr>
          <w:p w:rsidR="001B3496" w:rsidRPr="004A62F7" w:rsidRDefault="001B3496" w:rsidP="001B3496">
            <w:pPr>
              <w:jc w:val="right"/>
              <w:rPr>
                <w:b w:val="0"/>
                <w:bCs w:val="0"/>
                <w:sz w:val="20"/>
                <w:szCs w:val="20"/>
                <w:lang w:val="en-US"/>
              </w:rPr>
            </w:pPr>
            <w:r w:rsidRPr="004A62F7">
              <w:rPr>
                <w:b w:val="0"/>
                <w:bCs w:val="0"/>
                <w:sz w:val="20"/>
                <w:szCs w:val="20"/>
                <w:lang w:val="en-US"/>
              </w:rPr>
              <w:t>2007</w:t>
            </w:r>
          </w:p>
        </w:tc>
        <w:tc>
          <w:tcPr>
            <w:tcW w:w="831"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48%</w:t>
            </w:r>
          </w:p>
        </w:tc>
        <w:tc>
          <w:tcPr>
            <w:tcW w:w="49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50%</w:t>
            </w:r>
          </w:p>
        </w:tc>
        <w:tc>
          <w:tcPr>
            <w:tcW w:w="65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32%</w:t>
            </w:r>
          </w:p>
        </w:tc>
        <w:tc>
          <w:tcPr>
            <w:tcW w:w="614"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sz w:val="20"/>
                <w:szCs w:val="20"/>
                <w:lang w:val="en-US"/>
              </w:rPr>
            </w:pPr>
            <w:r w:rsidRPr="004A62F7">
              <w:rPr>
                <w:sz w:val="20"/>
                <w:szCs w:val="20"/>
                <w:lang w:val="en-US"/>
              </w:rPr>
              <w:t>36%</w:t>
            </w:r>
          </w:p>
        </w:tc>
        <w:tc>
          <w:tcPr>
            <w:tcW w:w="1250" w:type="pct"/>
            <w:shd w:val="clear" w:color="auto" w:fill="auto"/>
            <w:noWrap/>
            <w:hideMark/>
          </w:tcPr>
          <w:p w:rsidR="001B3496" w:rsidRPr="004A62F7" w:rsidRDefault="001B3496" w:rsidP="001B3496">
            <w:pPr>
              <w:jc w:val="right"/>
              <w:cnfStyle w:val="000000100000" w:firstRow="0" w:lastRow="0" w:firstColumn="0" w:lastColumn="0" w:oddVBand="0" w:evenVBand="0" w:oddHBand="1" w:evenHBand="0" w:firstRowFirstColumn="0" w:firstRowLastColumn="0" w:lastRowFirstColumn="0" w:lastRowLastColumn="0"/>
              <w:rPr>
                <w:bCs/>
                <w:sz w:val="20"/>
                <w:szCs w:val="20"/>
                <w:lang w:val="en-US"/>
              </w:rPr>
            </w:pPr>
            <w:r w:rsidRPr="004A62F7">
              <w:rPr>
                <w:bCs/>
                <w:sz w:val="20"/>
                <w:szCs w:val="20"/>
                <w:lang w:val="en-US"/>
              </w:rPr>
              <w:t>42%</w:t>
            </w:r>
          </w:p>
        </w:tc>
      </w:tr>
    </w:tbl>
    <w:p w:rsidR="001B3496" w:rsidRDefault="001B3496" w:rsidP="004A62F7">
      <w:pPr>
        <w:pStyle w:val="AralkYok"/>
        <w:jc w:val="center"/>
        <w:rPr>
          <w:rFonts w:ascii="Times New Roman" w:hAnsi="Times New Roman"/>
          <w:sz w:val="20"/>
        </w:rPr>
      </w:pPr>
      <w:r w:rsidRPr="004A62F7">
        <w:rPr>
          <w:rFonts w:ascii="Times New Roman" w:hAnsi="Times New Roman"/>
          <w:sz w:val="20"/>
        </w:rPr>
        <w:t>Source: Collected from data provided by (BAT, The Bank Association of Turkey, 2011) (BAT, The Bank Association of Turkey, 2012) (PBAT, The Participation Banks Association of Turkey, 2012).</w:t>
      </w:r>
    </w:p>
    <w:p w:rsidR="004A62F7" w:rsidRDefault="004A62F7" w:rsidP="004A62F7">
      <w:pPr>
        <w:pStyle w:val="AralkYok"/>
        <w:jc w:val="center"/>
        <w:rPr>
          <w:rFonts w:ascii="Times New Roman" w:hAnsi="Times New Roman"/>
          <w:sz w:val="20"/>
        </w:rPr>
      </w:pPr>
    </w:p>
    <w:p w:rsidR="004A62F7" w:rsidRPr="004A62F7" w:rsidRDefault="004A62F7" w:rsidP="004A62F7">
      <w:pPr>
        <w:pStyle w:val="AralkYok"/>
        <w:jc w:val="center"/>
        <w:rPr>
          <w:rFonts w:ascii="Times New Roman" w:hAnsi="Times New Roman"/>
          <w:sz w:val="20"/>
        </w:rPr>
      </w:pPr>
    </w:p>
    <w:p w:rsidR="001B3496" w:rsidRPr="004A62F7" w:rsidRDefault="001B3496" w:rsidP="004A62F7">
      <w:pPr>
        <w:pStyle w:val="AralkYok"/>
        <w:jc w:val="both"/>
        <w:rPr>
          <w:rFonts w:ascii="Times New Roman" w:hAnsi="Times New Roman"/>
          <w:sz w:val="24"/>
        </w:rPr>
      </w:pPr>
      <w:r w:rsidRPr="004A62F7">
        <w:rPr>
          <w:rFonts w:ascii="Times New Roman" w:hAnsi="Times New Roman"/>
          <w:sz w:val="24"/>
        </w:rPr>
        <w:t xml:space="preserve">When we look at the table of growth of assets, it is seen that participation banks provide in the 2007-2012 period according to deposit banks. Participation banks increased their total assets </w:t>
      </w:r>
      <w:r w:rsidRPr="004A62F7">
        <w:rPr>
          <w:rFonts w:ascii="Times New Roman" w:hAnsi="Times New Roman"/>
          <w:b/>
          <w:bCs/>
          <w:sz w:val="24"/>
        </w:rPr>
        <w:t>261%</w:t>
      </w:r>
      <w:r w:rsidRPr="004A62F7">
        <w:rPr>
          <w:rFonts w:ascii="Times New Roman" w:hAnsi="Times New Roman"/>
          <w:sz w:val="24"/>
        </w:rPr>
        <w:t xml:space="preserve"> owing to deposit banks increased their total assets </w:t>
      </w:r>
      <w:r w:rsidRPr="004A62F7">
        <w:rPr>
          <w:rFonts w:ascii="Times New Roman" w:hAnsi="Times New Roman"/>
          <w:b/>
          <w:bCs/>
          <w:sz w:val="24"/>
        </w:rPr>
        <w:t>119%.</w:t>
      </w:r>
    </w:p>
    <w:p w:rsidR="001B3496" w:rsidRPr="004A62F7" w:rsidRDefault="001B3496" w:rsidP="004A62F7">
      <w:pPr>
        <w:pStyle w:val="AralkYok"/>
        <w:jc w:val="both"/>
        <w:rPr>
          <w:rFonts w:ascii="Times New Roman" w:hAnsi="Times New Roman"/>
          <w:sz w:val="24"/>
        </w:rPr>
      </w:pPr>
      <w:r w:rsidRPr="004A62F7">
        <w:rPr>
          <w:rFonts w:ascii="Times New Roman" w:hAnsi="Times New Roman"/>
          <w:sz w:val="24"/>
        </w:rPr>
        <w:t xml:space="preserve">Bank </w:t>
      </w:r>
      <w:proofErr w:type="spellStart"/>
      <w:r w:rsidRPr="004A62F7">
        <w:rPr>
          <w:rFonts w:ascii="Times New Roman" w:hAnsi="Times New Roman"/>
          <w:sz w:val="24"/>
        </w:rPr>
        <w:t>Asya</w:t>
      </w:r>
      <w:proofErr w:type="spellEnd"/>
      <w:r w:rsidRPr="004A62F7">
        <w:rPr>
          <w:rFonts w:ascii="Times New Roman" w:hAnsi="Times New Roman"/>
          <w:sz w:val="24"/>
        </w:rPr>
        <w:t xml:space="preserve"> has the biggest asset among participation banks, which is followed by </w:t>
      </w:r>
      <w:proofErr w:type="spellStart"/>
      <w:r w:rsidRPr="004A62F7">
        <w:rPr>
          <w:rFonts w:ascii="Times New Roman" w:hAnsi="Times New Roman"/>
          <w:sz w:val="24"/>
        </w:rPr>
        <w:t>Kuveyt</w:t>
      </w:r>
      <w:proofErr w:type="spellEnd"/>
      <w:r w:rsidRPr="004A62F7">
        <w:rPr>
          <w:rFonts w:ascii="Times New Roman" w:hAnsi="Times New Roman"/>
          <w:sz w:val="24"/>
        </w:rPr>
        <w:t xml:space="preserve"> </w:t>
      </w:r>
      <w:proofErr w:type="spellStart"/>
      <w:r w:rsidRPr="004A62F7">
        <w:rPr>
          <w:rFonts w:ascii="Times New Roman" w:hAnsi="Times New Roman"/>
          <w:sz w:val="24"/>
        </w:rPr>
        <w:t>Türk</w:t>
      </w:r>
      <w:proofErr w:type="spellEnd"/>
      <w:r w:rsidRPr="004A62F7">
        <w:rPr>
          <w:rFonts w:ascii="Times New Roman" w:hAnsi="Times New Roman"/>
          <w:sz w:val="24"/>
        </w:rPr>
        <w:t xml:space="preserve"> at the end of 2012.</w:t>
      </w:r>
    </w:p>
    <w:p w:rsidR="001B3496" w:rsidRDefault="001B3496" w:rsidP="004A62F7">
      <w:pPr>
        <w:pStyle w:val="AralkYok"/>
        <w:jc w:val="both"/>
        <w:rPr>
          <w:rFonts w:ascii="Times New Roman" w:hAnsi="Times New Roman"/>
          <w:sz w:val="24"/>
        </w:rPr>
      </w:pPr>
      <w:r w:rsidRPr="004A62F7">
        <w:rPr>
          <w:rFonts w:ascii="Times New Roman" w:hAnsi="Times New Roman"/>
          <w:sz w:val="24"/>
        </w:rPr>
        <w:lastRenderedPageBreak/>
        <w:t xml:space="preserve">Similarly in this case, </w:t>
      </w:r>
      <w:proofErr w:type="spellStart"/>
      <w:r w:rsidRPr="004A62F7">
        <w:rPr>
          <w:rFonts w:ascii="Times New Roman" w:hAnsi="Times New Roman"/>
          <w:sz w:val="24"/>
        </w:rPr>
        <w:t>Kuveyt</w:t>
      </w:r>
      <w:proofErr w:type="spellEnd"/>
      <w:r w:rsidRPr="004A62F7">
        <w:rPr>
          <w:rFonts w:ascii="Times New Roman" w:hAnsi="Times New Roman"/>
          <w:sz w:val="24"/>
        </w:rPr>
        <w:t xml:space="preserve"> </w:t>
      </w:r>
      <w:proofErr w:type="spellStart"/>
      <w:r w:rsidRPr="004A62F7">
        <w:rPr>
          <w:rFonts w:ascii="Times New Roman" w:hAnsi="Times New Roman"/>
          <w:sz w:val="24"/>
        </w:rPr>
        <w:t>Türk</w:t>
      </w:r>
      <w:proofErr w:type="spellEnd"/>
      <w:r w:rsidRPr="004A62F7">
        <w:rPr>
          <w:rFonts w:ascii="Times New Roman" w:hAnsi="Times New Roman"/>
          <w:sz w:val="24"/>
        </w:rPr>
        <w:t xml:space="preserve"> has the highest average increase rate for 2007-2012 </w:t>
      </w:r>
      <w:r w:rsidR="004A62F7" w:rsidRPr="004A62F7">
        <w:rPr>
          <w:rFonts w:ascii="Times New Roman" w:hAnsi="Times New Roman"/>
          <w:sz w:val="24"/>
        </w:rPr>
        <w:t>periods</w:t>
      </w:r>
      <w:r w:rsidRPr="004A62F7">
        <w:rPr>
          <w:rFonts w:ascii="Times New Roman" w:hAnsi="Times New Roman"/>
          <w:sz w:val="24"/>
        </w:rPr>
        <w:t xml:space="preserve">. Bank </w:t>
      </w:r>
      <w:proofErr w:type="spellStart"/>
      <w:r w:rsidRPr="004A62F7">
        <w:rPr>
          <w:rFonts w:ascii="Times New Roman" w:hAnsi="Times New Roman"/>
          <w:sz w:val="24"/>
        </w:rPr>
        <w:t>Asya</w:t>
      </w:r>
      <w:proofErr w:type="spellEnd"/>
      <w:r w:rsidRPr="004A62F7">
        <w:rPr>
          <w:rFonts w:ascii="Times New Roman" w:hAnsi="Times New Roman"/>
          <w:sz w:val="24"/>
        </w:rPr>
        <w:t xml:space="preserve">, Al Baraka and </w:t>
      </w:r>
      <w:proofErr w:type="spellStart"/>
      <w:r w:rsidRPr="004A62F7">
        <w:rPr>
          <w:rFonts w:ascii="Times New Roman" w:hAnsi="Times New Roman"/>
          <w:sz w:val="24"/>
        </w:rPr>
        <w:t>Türkiye</w:t>
      </w:r>
      <w:proofErr w:type="spellEnd"/>
      <w:r w:rsidRPr="004A62F7">
        <w:rPr>
          <w:rFonts w:ascii="Times New Roman" w:hAnsi="Times New Roman"/>
          <w:sz w:val="24"/>
        </w:rPr>
        <w:t xml:space="preserve"> </w:t>
      </w:r>
      <w:proofErr w:type="spellStart"/>
      <w:r w:rsidRPr="004A62F7">
        <w:rPr>
          <w:rFonts w:ascii="Times New Roman" w:hAnsi="Times New Roman"/>
          <w:sz w:val="24"/>
        </w:rPr>
        <w:t>Finans</w:t>
      </w:r>
      <w:proofErr w:type="spellEnd"/>
      <w:r w:rsidRPr="004A62F7">
        <w:rPr>
          <w:rFonts w:ascii="Times New Roman" w:hAnsi="Times New Roman"/>
          <w:sz w:val="24"/>
        </w:rPr>
        <w:t xml:space="preserve"> follow it respectively</w:t>
      </w:r>
    </w:p>
    <w:p w:rsidR="004A62F7" w:rsidRPr="004A62F7" w:rsidRDefault="004A62F7" w:rsidP="004A62F7">
      <w:pPr>
        <w:pStyle w:val="AralkYok"/>
        <w:jc w:val="both"/>
        <w:rPr>
          <w:rFonts w:ascii="Times New Roman" w:hAnsi="Times New Roman"/>
          <w:sz w:val="24"/>
        </w:rPr>
      </w:pPr>
    </w:p>
    <w:p w:rsidR="001B3496" w:rsidRPr="004A62F7" w:rsidRDefault="001B3496" w:rsidP="004A62F7">
      <w:pPr>
        <w:spacing w:after="120"/>
        <w:jc w:val="center"/>
        <w:rPr>
          <w:bCs/>
          <w:sz w:val="22"/>
          <w:szCs w:val="22"/>
          <w:lang w:val="en-US"/>
        </w:rPr>
      </w:pPr>
      <w:r w:rsidRPr="004A62F7">
        <w:rPr>
          <w:bCs/>
          <w:sz w:val="22"/>
          <w:szCs w:val="22"/>
          <w:lang w:val="en-US"/>
        </w:rPr>
        <w:t>Table</w:t>
      </w:r>
      <w:r w:rsidR="004A62F7">
        <w:rPr>
          <w:bCs/>
          <w:sz w:val="22"/>
          <w:szCs w:val="22"/>
          <w:lang w:val="en-US"/>
        </w:rPr>
        <w:t xml:space="preserve"> </w:t>
      </w:r>
      <w:r w:rsidRPr="004A62F7">
        <w:rPr>
          <w:bCs/>
          <w:sz w:val="22"/>
          <w:szCs w:val="22"/>
          <w:lang w:val="en-US"/>
        </w:rPr>
        <w:t>15 Growth of Total Assets in Deposit Banks, 2007- 2012</w:t>
      </w:r>
    </w:p>
    <w:tbl>
      <w:tblPr>
        <w:tblStyle w:val="AkGlgeleme"/>
        <w:tblW w:w="7900" w:type="dxa"/>
        <w:jc w:val="center"/>
        <w:tblLook w:val="04A0" w:firstRow="1" w:lastRow="0" w:firstColumn="1" w:lastColumn="0" w:noHBand="0" w:noVBand="1"/>
      </w:tblPr>
      <w:tblGrid>
        <w:gridCol w:w="1081"/>
        <w:gridCol w:w="1216"/>
        <w:gridCol w:w="1216"/>
        <w:gridCol w:w="1216"/>
        <w:gridCol w:w="1216"/>
        <w:gridCol w:w="1366"/>
        <w:gridCol w:w="1496"/>
      </w:tblGrid>
      <w:tr w:rsidR="001B3496" w:rsidRPr="004A62F7" w:rsidTr="004A62F7">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081" w:type="dxa"/>
            <w:shd w:val="clear" w:color="auto" w:fill="auto"/>
            <w:noWrap/>
            <w:hideMark/>
          </w:tcPr>
          <w:p w:rsidR="001B3496" w:rsidRPr="004A62F7" w:rsidRDefault="001B3496" w:rsidP="004A62F7">
            <w:pPr>
              <w:rPr>
                <w:b w:val="0"/>
                <w:color w:val="000000"/>
                <w:sz w:val="20"/>
                <w:szCs w:val="20"/>
                <w:lang w:val="en-US"/>
              </w:rPr>
            </w:pPr>
            <w:r w:rsidRPr="004A62F7">
              <w:rPr>
                <w:b w:val="0"/>
                <w:color w:val="000000"/>
                <w:sz w:val="20"/>
                <w:szCs w:val="20"/>
                <w:lang w:val="en-US"/>
              </w:rPr>
              <w:t>Year</w:t>
            </w:r>
          </w:p>
        </w:tc>
        <w:tc>
          <w:tcPr>
            <w:tcW w:w="1081" w:type="dxa"/>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4A62F7">
              <w:rPr>
                <w:b w:val="0"/>
                <w:color w:val="000000"/>
                <w:sz w:val="20"/>
                <w:szCs w:val="20"/>
                <w:lang w:val="en-US"/>
              </w:rPr>
              <w:t>2007</w:t>
            </w:r>
          </w:p>
        </w:tc>
        <w:tc>
          <w:tcPr>
            <w:tcW w:w="1081" w:type="dxa"/>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4A62F7">
              <w:rPr>
                <w:b w:val="0"/>
                <w:color w:val="000000"/>
                <w:sz w:val="20"/>
                <w:szCs w:val="20"/>
                <w:lang w:val="en-US"/>
              </w:rPr>
              <w:t>2008</w:t>
            </w:r>
          </w:p>
        </w:tc>
        <w:tc>
          <w:tcPr>
            <w:tcW w:w="1081" w:type="dxa"/>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4A62F7">
              <w:rPr>
                <w:b w:val="0"/>
                <w:color w:val="000000"/>
                <w:sz w:val="20"/>
                <w:szCs w:val="20"/>
                <w:lang w:val="en-US"/>
              </w:rPr>
              <w:t>2009</w:t>
            </w:r>
          </w:p>
        </w:tc>
        <w:tc>
          <w:tcPr>
            <w:tcW w:w="1081" w:type="dxa"/>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4A62F7">
              <w:rPr>
                <w:b w:val="0"/>
                <w:color w:val="000000"/>
                <w:sz w:val="20"/>
                <w:szCs w:val="20"/>
                <w:lang w:val="en-US"/>
              </w:rPr>
              <w:t>2010</w:t>
            </w:r>
          </w:p>
        </w:tc>
        <w:tc>
          <w:tcPr>
            <w:tcW w:w="1191" w:type="dxa"/>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4A62F7">
              <w:rPr>
                <w:b w:val="0"/>
                <w:color w:val="000000"/>
                <w:sz w:val="20"/>
                <w:szCs w:val="20"/>
                <w:lang w:val="en-US"/>
              </w:rPr>
              <w:t>2011</w:t>
            </w:r>
          </w:p>
        </w:tc>
        <w:tc>
          <w:tcPr>
            <w:tcW w:w="1304" w:type="dxa"/>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FF"/>
                <w:sz w:val="20"/>
                <w:szCs w:val="20"/>
                <w:u w:val="single"/>
                <w:lang w:val="en-US"/>
              </w:rPr>
            </w:pPr>
            <w:r w:rsidRPr="004A62F7">
              <w:rPr>
                <w:b w:val="0"/>
                <w:sz w:val="20"/>
                <w:szCs w:val="20"/>
                <w:lang w:val="en-US"/>
              </w:rPr>
              <w:t>2012*</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1081" w:type="dxa"/>
            <w:shd w:val="clear" w:color="auto" w:fill="auto"/>
            <w:noWrap/>
            <w:hideMark/>
          </w:tcPr>
          <w:p w:rsidR="001B3496" w:rsidRPr="004A62F7" w:rsidRDefault="001B3496" w:rsidP="004A62F7">
            <w:pPr>
              <w:rPr>
                <w:b w:val="0"/>
                <w:color w:val="000000"/>
                <w:sz w:val="20"/>
                <w:szCs w:val="20"/>
                <w:lang w:val="en-US"/>
              </w:rPr>
            </w:pPr>
            <w:r w:rsidRPr="004A62F7">
              <w:rPr>
                <w:b w:val="0"/>
                <w:color w:val="000000"/>
                <w:sz w:val="20"/>
                <w:szCs w:val="20"/>
                <w:lang w:val="en-US"/>
              </w:rPr>
              <w:t>Total</w:t>
            </w:r>
          </w:p>
        </w:tc>
        <w:tc>
          <w:tcPr>
            <w:tcW w:w="1081" w:type="dxa"/>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542.293.125</w:t>
            </w:r>
          </w:p>
        </w:tc>
        <w:tc>
          <w:tcPr>
            <w:tcW w:w="1081" w:type="dxa"/>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682.936.916</w:t>
            </w:r>
          </w:p>
        </w:tc>
        <w:tc>
          <w:tcPr>
            <w:tcW w:w="1081" w:type="dxa"/>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771.511.791</w:t>
            </w:r>
          </w:p>
        </w:tc>
        <w:tc>
          <w:tcPr>
            <w:tcW w:w="1081" w:type="dxa"/>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930.947.266</w:t>
            </w:r>
          </w:p>
        </w:tc>
        <w:tc>
          <w:tcPr>
            <w:tcW w:w="1191" w:type="dxa"/>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1.119.911.000</w:t>
            </w:r>
          </w:p>
        </w:tc>
        <w:tc>
          <w:tcPr>
            <w:tcW w:w="1304" w:type="dxa"/>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n-US"/>
              </w:rPr>
            </w:pPr>
            <w:r w:rsidRPr="004A62F7">
              <w:rPr>
                <w:rFonts w:ascii="Arial" w:hAnsi="Arial" w:cs="Arial"/>
                <w:color w:val="000000"/>
                <w:sz w:val="20"/>
                <w:szCs w:val="20"/>
                <w:lang w:val="en-US"/>
              </w:rPr>
              <w:t>1.190.124.718</w:t>
            </w:r>
          </w:p>
        </w:tc>
      </w:tr>
      <w:tr w:rsidR="001B3496" w:rsidRPr="004A62F7" w:rsidTr="004A62F7">
        <w:trPr>
          <w:trHeight w:val="332"/>
          <w:jc w:val="center"/>
        </w:trPr>
        <w:tc>
          <w:tcPr>
            <w:cnfStyle w:val="001000000000" w:firstRow="0" w:lastRow="0" w:firstColumn="1" w:lastColumn="0" w:oddVBand="0" w:evenVBand="0" w:oddHBand="0" w:evenHBand="0" w:firstRowFirstColumn="0" w:firstRowLastColumn="0" w:lastRowFirstColumn="0" w:lastRowLastColumn="0"/>
            <w:tcW w:w="1081" w:type="dxa"/>
            <w:shd w:val="clear" w:color="auto" w:fill="auto"/>
            <w:noWrap/>
            <w:hideMark/>
          </w:tcPr>
          <w:p w:rsidR="001B3496" w:rsidRPr="004A62F7" w:rsidRDefault="001B3496" w:rsidP="004A62F7">
            <w:pPr>
              <w:rPr>
                <w:b w:val="0"/>
                <w:color w:val="000000"/>
                <w:sz w:val="20"/>
                <w:szCs w:val="20"/>
                <w:lang w:val="en-US"/>
              </w:rPr>
            </w:pPr>
            <w:proofErr w:type="spellStart"/>
            <w:r w:rsidRPr="004A62F7">
              <w:rPr>
                <w:b w:val="0"/>
                <w:color w:val="000000"/>
                <w:sz w:val="20"/>
                <w:szCs w:val="20"/>
                <w:lang w:val="en-US"/>
              </w:rPr>
              <w:t>Inc.Rate</w:t>
            </w:r>
            <w:proofErr w:type="spellEnd"/>
          </w:p>
        </w:tc>
        <w:tc>
          <w:tcPr>
            <w:tcW w:w="1081" w:type="dxa"/>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lang w:val="en-US"/>
              </w:rPr>
            </w:pPr>
            <w:r w:rsidRPr="004A62F7">
              <w:rPr>
                <w:rFonts w:ascii="Calibri" w:hAnsi="Calibri" w:cs="Calibri"/>
                <w:color w:val="000000"/>
                <w:sz w:val="20"/>
                <w:szCs w:val="20"/>
                <w:lang w:val="en-US"/>
              </w:rPr>
              <w:t> </w:t>
            </w:r>
          </w:p>
        </w:tc>
        <w:tc>
          <w:tcPr>
            <w:tcW w:w="1081" w:type="dxa"/>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26</w:t>
            </w:r>
          </w:p>
        </w:tc>
        <w:tc>
          <w:tcPr>
            <w:tcW w:w="1081" w:type="dxa"/>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13</w:t>
            </w:r>
          </w:p>
        </w:tc>
        <w:tc>
          <w:tcPr>
            <w:tcW w:w="1081" w:type="dxa"/>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21</w:t>
            </w:r>
          </w:p>
        </w:tc>
        <w:tc>
          <w:tcPr>
            <w:tcW w:w="1191" w:type="dxa"/>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20</w:t>
            </w:r>
          </w:p>
        </w:tc>
        <w:tc>
          <w:tcPr>
            <w:tcW w:w="1304" w:type="dxa"/>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6,3</w:t>
            </w:r>
          </w:p>
        </w:tc>
      </w:tr>
    </w:tbl>
    <w:p w:rsidR="001B3496" w:rsidRDefault="001B3496" w:rsidP="004A62F7">
      <w:pPr>
        <w:pStyle w:val="AralkYok"/>
        <w:jc w:val="center"/>
        <w:rPr>
          <w:rFonts w:ascii="Times New Roman" w:hAnsi="Times New Roman"/>
          <w:sz w:val="20"/>
        </w:rPr>
      </w:pPr>
      <w:r w:rsidRPr="004A62F7">
        <w:rPr>
          <w:rFonts w:ascii="Times New Roman" w:hAnsi="Times New Roman"/>
          <w:sz w:val="20"/>
        </w:rPr>
        <w:t>Source: Collected from data provided by (BAT, The Bank Association of Turkey, 2011) (BAT, The Bank Association of Turkey, 2012) (PBAT, The Participation Banks Association of Turkey, 2012).</w:t>
      </w:r>
    </w:p>
    <w:p w:rsidR="004A62F7" w:rsidRDefault="004A62F7" w:rsidP="004A62F7">
      <w:pPr>
        <w:pStyle w:val="AralkYok"/>
        <w:jc w:val="center"/>
        <w:rPr>
          <w:rFonts w:ascii="Times New Roman" w:hAnsi="Times New Roman"/>
          <w:sz w:val="20"/>
        </w:rPr>
      </w:pPr>
    </w:p>
    <w:p w:rsidR="004A62F7" w:rsidRPr="004A62F7" w:rsidRDefault="004A62F7" w:rsidP="004A62F7">
      <w:pPr>
        <w:pStyle w:val="AralkYok"/>
        <w:jc w:val="center"/>
        <w:rPr>
          <w:rFonts w:ascii="Times New Roman" w:hAnsi="Times New Roman"/>
          <w:sz w:val="20"/>
        </w:rPr>
      </w:pPr>
    </w:p>
    <w:p w:rsidR="001B3496" w:rsidRPr="004A62F7" w:rsidRDefault="004A62F7" w:rsidP="004A62F7">
      <w:pPr>
        <w:spacing w:after="120"/>
        <w:jc w:val="center"/>
        <w:rPr>
          <w:bCs/>
          <w:sz w:val="22"/>
          <w:szCs w:val="22"/>
          <w:lang w:val="en-US"/>
        </w:rPr>
      </w:pPr>
      <w:r>
        <w:rPr>
          <w:bCs/>
          <w:sz w:val="22"/>
          <w:szCs w:val="22"/>
          <w:lang w:val="en-US"/>
        </w:rPr>
        <w:t>Table 16</w:t>
      </w:r>
      <w:r w:rsidR="001B3496" w:rsidRPr="004A62F7">
        <w:rPr>
          <w:bCs/>
          <w:sz w:val="22"/>
          <w:szCs w:val="22"/>
          <w:lang w:val="en-US"/>
        </w:rPr>
        <w:t xml:space="preserve"> </w:t>
      </w:r>
      <w:proofErr w:type="gramStart"/>
      <w:r w:rsidR="001B3496" w:rsidRPr="004A62F7">
        <w:rPr>
          <w:bCs/>
          <w:sz w:val="22"/>
          <w:szCs w:val="22"/>
          <w:lang w:val="en-US"/>
        </w:rPr>
        <w:t>The</w:t>
      </w:r>
      <w:proofErr w:type="gramEnd"/>
      <w:r w:rsidR="001B3496" w:rsidRPr="004A62F7">
        <w:rPr>
          <w:bCs/>
          <w:sz w:val="22"/>
          <w:szCs w:val="22"/>
          <w:lang w:val="en-US"/>
        </w:rPr>
        <w:t xml:space="preserve"> Shares of Participation Banks within the Sector</w:t>
      </w:r>
    </w:p>
    <w:tbl>
      <w:tblPr>
        <w:tblStyle w:val="AkGlgeleme"/>
        <w:tblW w:w="4524" w:type="pct"/>
        <w:jc w:val="center"/>
        <w:tblLayout w:type="fixed"/>
        <w:tblLook w:val="04A0" w:firstRow="1" w:lastRow="0" w:firstColumn="1" w:lastColumn="0" w:noHBand="0" w:noVBand="1"/>
      </w:tblPr>
      <w:tblGrid>
        <w:gridCol w:w="638"/>
        <w:gridCol w:w="1093"/>
        <w:gridCol w:w="1074"/>
        <w:gridCol w:w="1000"/>
        <w:gridCol w:w="1074"/>
        <w:gridCol w:w="1000"/>
        <w:gridCol w:w="1074"/>
        <w:gridCol w:w="1193"/>
      </w:tblGrid>
      <w:tr w:rsidR="001B3496" w:rsidRPr="004A62F7" w:rsidTr="004A62F7">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92" w:type="pct"/>
            <w:shd w:val="clear" w:color="auto" w:fill="auto"/>
            <w:noWrap/>
            <w:hideMark/>
          </w:tcPr>
          <w:p w:rsidR="001B3496" w:rsidRPr="004A62F7" w:rsidRDefault="001B3496" w:rsidP="004A62F7">
            <w:pPr>
              <w:rPr>
                <w:b w:val="0"/>
                <w:color w:val="000000"/>
                <w:sz w:val="20"/>
                <w:szCs w:val="20"/>
                <w:lang w:val="en-US"/>
              </w:rPr>
            </w:pPr>
            <w:r w:rsidRPr="004A62F7">
              <w:rPr>
                <w:b w:val="0"/>
                <w:color w:val="000000"/>
                <w:sz w:val="20"/>
                <w:szCs w:val="20"/>
                <w:lang w:val="en-US"/>
              </w:rPr>
              <w:t> </w:t>
            </w:r>
          </w:p>
        </w:tc>
        <w:tc>
          <w:tcPr>
            <w:tcW w:w="671" w:type="pct"/>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4A62F7">
              <w:rPr>
                <w:b w:val="0"/>
                <w:color w:val="000000"/>
                <w:sz w:val="20"/>
                <w:szCs w:val="20"/>
                <w:lang w:val="en-US"/>
              </w:rPr>
              <w:t> </w:t>
            </w:r>
          </w:p>
        </w:tc>
        <w:tc>
          <w:tcPr>
            <w:tcW w:w="1273" w:type="pct"/>
            <w:gridSpan w:val="2"/>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4A62F7">
              <w:rPr>
                <w:b w:val="0"/>
                <w:color w:val="000000"/>
                <w:sz w:val="20"/>
                <w:szCs w:val="20"/>
                <w:lang w:val="en-US"/>
              </w:rPr>
              <w:t>Deposit Banks </w:t>
            </w:r>
          </w:p>
        </w:tc>
        <w:tc>
          <w:tcPr>
            <w:tcW w:w="1273" w:type="pct"/>
            <w:gridSpan w:val="2"/>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4A62F7">
              <w:rPr>
                <w:b w:val="0"/>
                <w:color w:val="000000"/>
                <w:sz w:val="20"/>
                <w:szCs w:val="20"/>
                <w:lang w:val="en-US"/>
              </w:rPr>
              <w:t>Dev. and Inv. Banks </w:t>
            </w:r>
          </w:p>
        </w:tc>
        <w:tc>
          <w:tcPr>
            <w:tcW w:w="1392" w:type="pct"/>
            <w:gridSpan w:val="2"/>
            <w:shd w:val="clear" w:color="auto" w:fill="auto"/>
            <w:noWrap/>
            <w:hideMark/>
          </w:tcPr>
          <w:p w:rsidR="001B3496" w:rsidRPr="004A62F7" w:rsidRDefault="001B3496" w:rsidP="004A62F7">
            <w:pPr>
              <w:cnfStyle w:val="100000000000" w:firstRow="1" w:lastRow="0" w:firstColumn="0" w:lastColumn="0" w:oddVBand="0" w:evenVBand="0" w:oddHBand="0" w:evenHBand="0" w:firstRowFirstColumn="0" w:firstRowLastColumn="0" w:lastRowFirstColumn="0" w:lastRowLastColumn="0"/>
              <w:rPr>
                <w:b w:val="0"/>
                <w:color w:val="000000"/>
                <w:sz w:val="20"/>
                <w:szCs w:val="20"/>
                <w:lang w:val="en-US"/>
              </w:rPr>
            </w:pPr>
            <w:r w:rsidRPr="004A62F7">
              <w:rPr>
                <w:b w:val="0"/>
                <w:color w:val="000000"/>
                <w:sz w:val="20"/>
                <w:szCs w:val="20"/>
                <w:lang w:val="en-US"/>
              </w:rPr>
              <w:t>Participation Banks </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392" w:type="pct"/>
            <w:shd w:val="clear" w:color="auto" w:fill="auto"/>
            <w:noWrap/>
            <w:hideMark/>
          </w:tcPr>
          <w:p w:rsidR="001B3496" w:rsidRPr="004A62F7" w:rsidRDefault="001B3496" w:rsidP="004A62F7">
            <w:pPr>
              <w:rPr>
                <w:b w:val="0"/>
                <w:color w:val="000000"/>
                <w:sz w:val="20"/>
                <w:szCs w:val="20"/>
                <w:lang w:val="en-US"/>
              </w:rPr>
            </w:pPr>
            <w:r w:rsidRPr="004A62F7">
              <w:rPr>
                <w:b w:val="0"/>
                <w:color w:val="000000"/>
                <w:sz w:val="20"/>
                <w:szCs w:val="20"/>
                <w:lang w:val="en-US"/>
              </w:rPr>
              <w:t>Year</w:t>
            </w:r>
          </w:p>
        </w:tc>
        <w:tc>
          <w:tcPr>
            <w:tcW w:w="671"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Sector</w:t>
            </w:r>
          </w:p>
        </w:tc>
        <w:tc>
          <w:tcPr>
            <w:tcW w:w="659"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Total Assets</w:t>
            </w:r>
          </w:p>
        </w:tc>
        <w:tc>
          <w:tcPr>
            <w:tcW w:w="614"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Ratio in the Sector</w:t>
            </w:r>
          </w:p>
        </w:tc>
        <w:tc>
          <w:tcPr>
            <w:tcW w:w="659"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Total Assets</w:t>
            </w:r>
          </w:p>
        </w:tc>
        <w:tc>
          <w:tcPr>
            <w:tcW w:w="614"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Ratio in the Sector</w:t>
            </w:r>
          </w:p>
        </w:tc>
        <w:tc>
          <w:tcPr>
            <w:tcW w:w="659"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Total Assets</w:t>
            </w:r>
          </w:p>
        </w:tc>
        <w:tc>
          <w:tcPr>
            <w:tcW w:w="733"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Ratio in the Sector</w:t>
            </w:r>
          </w:p>
        </w:tc>
      </w:tr>
      <w:tr w:rsidR="001B3496" w:rsidRPr="004A62F7" w:rsidTr="004A62F7">
        <w:trPr>
          <w:trHeight w:val="255"/>
          <w:jc w:val="center"/>
        </w:trPr>
        <w:tc>
          <w:tcPr>
            <w:cnfStyle w:val="001000000000" w:firstRow="0" w:lastRow="0" w:firstColumn="1" w:lastColumn="0" w:oddVBand="0" w:evenVBand="0" w:oddHBand="0" w:evenHBand="0" w:firstRowFirstColumn="0" w:firstRowLastColumn="0" w:lastRowFirstColumn="0" w:lastRowLastColumn="0"/>
            <w:tcW w:w="392" w:type="pct"/>
            <w:shd w:val="clear" w:color="auto" w:fill="auto"/>
            <w:noWrap/>
            <w:hideMark/>
          </w:tcPr>
          <w:p w:rsidR="001B3496" w:rsidRPr="004A62F7" w:rsidRDefault="001B3496" w:rsidP="004A62F7">
            <w:pPr>
              <w:rPr>
                <w:b w:val="0"/>
                <w:color w:val="000000"/>
                <w:sz w:val="20"/>
                <w:szCs w:val="20"/>
                <w:lang w:val="en-US"/>
              </w:rPr>
            </w:pPr>
            <w:r w:rsidRPr="004A62F7">
              <w:rPr>
                <w:b w:val="0"/>
                <w:color w:val="000000"/>
                <w:sz w:val="20"/>
                <w:szCs w:val="20"/>
                <w:lang w:val="en-US"/>
              </w:rPr>
              <w:t>2012</w:t>
            </w:r>
          </w:p>
        </w:tc>
        <w:tc>
          <w:tcPr>
            <w:tcW w:w="671"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1.315.759</w:t>
            </w:r>
          </w:p>
        </w:tc>
        <w:tc>
          <w:tcPr>
            <w:tcW w:w="659"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1.190.125</w:t>
            </w:r>
            <w:r w:rsidRPr="004A62F7">
              <w:rPr>
                <w:sz w:val="20"/>
                <w:szCs w:val="20"/>
                <w:lang w:val="en-US"/>
              </w:rPr>
              <w:footnoteReference w:customMarkFollows="1" w:id="6"/>
              <w:t>*</w:t>
            </w:r>
          </w:p>
        </w:tc>
        <w:tc>
          <w:tcPr>
            <w:tcW w:w="614"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90,5%</w:t>
            </w:r>
          </w:p>
        </w:tc>
        <w:tc>
          <w:tcPr>
            <w:tcW w:w="659"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55.389*</w:t>
            </w:r>
          </w:p>
        </w:tc>
        <w:tc>
          <w:tcPr>
            <w:tcW w:w="614"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4,2%</w:t>
            </w:r>
          </w:p>
        </w:tc>
        <w:tc>
          <w:tcPr>
            <w:tcW w:w="659"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sz w:val="20"/>
                <w:szCs w:val="20"/>
                <w:lang w:val="en-US"/>
              </w:rPr>
              <w:t>70.245</w:t>
            </w:r>
          </w:p>
        </w:tc>
        <w:tc>
          <w:tcPr>
            <w:tcW w:w="733"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5,3%**</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92" w:type="pct"/>
            <w:shd w:val="clear" w:color="auto" w:fill="auto"/>
            <w:noWrap/>
            <w:hideMark/>
          </w:tcPr>
          <w:p w:rsidR="001B3496" w:rsidRPr="004A62F7" w:rsidRDefault="001B3496" w:rsidP="004A62F7">
            <w:pPr>
              <w:rPr>
                <w:b w:val="0"/>
                <w:color w:val="000000"/>
                <w:sz w:val="20"/>
                <w:szCs w:val="20"/>
                <w:lang w:val="en-US"/>
              </w:rPr>
            </w:pPr>
            <w:r w:rsidRPr="004A62F7">
              <w:rPr>
                <w:b w:val="0"/>
                <w:color w:val="000000"/>
                <w:sz w:val="20"/>
                <w:szCs w:val="20"/>
                <w:lang w:val="en-US"/>
              </w:rPr>
              <w:t>2.011</w:t>
            </w:r>
          </w:p>
        </w:tc>
        <w:tc>
          <w:tcPr>
            <w:tcW w:w="671"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1.217.695</w:t>
            </w:r>
          </w:p>
        </w:tc>
        <w:tc>
          <w:tcPr>
            <w:tcW w:w="659"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1.119.911</w:t>
            </w:r>
          </w:p>
        </w:tc>
        <w:tc>
          <w:tcPr>
            <w:tcW w:w="614"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92,0%</w:t>
            </w:r>
          </w:p>
        </w:tc>
        <w:tc>
          <w:tcPr>
            <w:tcW w:w="659"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41.636</w:t>
            </w:r>
          </w:p>
        </w:tc>
        <w:tc>
          <w:tcPr>
            <w:tcW w:w="614"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3,4%</w:t>
            </w:r>
          </w:p>
        </w:tc>
        <w:tc>
          <w:tcPr>
            <w:tcW w:w="659"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56.148</w:t>
            </w:r>
          </w:p>
        </w:tc>
        <w:tc>
          <w:tcPr>
            <w:tcW w:w="733"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4,6%</w:t>
            </w:r>
          </w:p>
        </w:tc>
      </w:tr>
      <w:tr w:rsidR="001B3496" w:rsidRPr="004A62F7" w:rsidTr="004A62F7">
        <w:trPr>
          <w:trHeight w:val="255"/>
          <w:jc w:val="center"/>
        </w:trPr>
        <w:tc>
          <w:tcPr>
            <w:cnfStyle w:val="001000000000" w:firstRow="0" w:lastRow="0" w:firstColumn="1" w:lastColumn="0" w:oddVBand="0" w:evenVBand="0" w:oddHBand="0" w:evenHBand="0" w:firstRowFirstColumn="0" w:firstRowLastColumn="0" w:lastRowFirstColumn="0" w:lastRowLastColumn="0"/>
            <w:tcW w:w="392" w:type="pct"/>
            <w:shd w:val="clear" w:color="auto" w:fill="auto"/>
            <w:noWrap/>
            <w:hideMark/>
          </w:tcPr>
          <w:p w:rsidR="001B3496" w:rsidRPr="004A62F7" w:rsidRDefault="001B3496" w:rsidP="004A62F7">
            <w:pPr>
              <w:rPr>
                <w:b w:val="0"/>
                <w:color w:val="000000"/>
                <w:sz w:val="20"/>
                <w:szCs w:val="20"/>
                <w:lang w:val="en-US"/>
              </w:rPr>
            </w:pPr>
            <w:r w:rsidRPr="004A62F7">
              <w:rPr>
                <w:b w:val="0"/>
                <w:color w:val="000000"/>
                <w:sz w:val="20"/>
                <w:szCs w:val="20"/>
                <w:lang w:val="en-US"/>
              </w:rPr>
              <w:t>2.010</w:t>
            </w:r>
          </w:p>
        </w:tc>
        <w:tc>
          <w:tcPr>
            <w:tcW w:w="671"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1.006.667</w:t>
            </w:r>
          </w:p>
        </w:tc>
        <w:tc>
          <w:tcPr>
            <w:tcW w:w="659"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932.371</w:t>
            </w:r>
          </w:p>
        </w:tc>
        <w:tc>
          <w:tcPr>
            <w:tcW w:w="614"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92,6%</w:t>
            </w:r>
          </w:p>
        </w:tc>
        <w:tc>
          <w:tcPr>
            <w:tcW w:w="659"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30.958</w:t>
            </w:r>
          </w:p>
        </w:tc>
        <w:tc>
          <w:tcPr>
            <w:tcW w:w="614"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3,1%</w:t>
            </w:r>
          </w:p>
        </w:tc>
        <w:tc>
          <w:tcPr>
            <w:tcW w:w="659"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43.339</w:t>
            </w:r>
          </w:p>
        </w:tc>
        <w:tc>
          <w:tcPr>
            <w:tcW w:w="733"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4,3%</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92" w:type="pct"/>
            <w:shd w:val="clear" w:color="auto" w:fill="auto"/>
            <w:noWrap/>
            <w:hideMark/>
          </w:tcPr>
          <w:p w:rsidR="001B3496" w:rsidRPr="004A62F7" w:rsidRDefault="001B3496" w:rsidP="004A62F7">
            <w:pPr>
              <w:rPr>
                <w:b w:val="0"/>
                <w:color w:val="000000"/>
                <w:sz w:val="20"/>
                <w:szCs w:val="20"/>
                <w:lang w:val="en-US"/>
              </w:rPr>
            </w:pPr>
            <w:r w:rsidRPr="004A62F7">
              <w:rPr>
                <w:b w:val="0"/>
                <w:color w:val="000000"/>
                <w:sz w:val="20"/>
                <w:szCs w:val="20"/>
                <w:lang w:val="en-US"/>
              </w:rPr>
              <w:t>2.009</w:t>
            </w:r>
          </w:p>
        </w:tc>
        <w:tc>
          <w:tcPr>
            <w:tcW w:w="671"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834.014</w:t>
            </w:r>
          </w:p>
        </w:tc>
        <w:tc>
          <w:tcPr>
            <w:tcW w:w="659"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773.357</w:t>
            </w:r>
          </w:p>
        </w:tc>
        <w:tc>
          <w:tcPr>
            <w:tcW w:w="614"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92,7%</w:t>
            </w:r>
          </w:p>
        </w:tc>
        <w:tc>
          <w:tcPr>
            <w:tcW w:w="659"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27.029</w:t>
            </w:r>
          </w:p>
        </w:tc>
        <w:tc>
          <w:tcPr>
            <w:tcW w:w="614"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3,2%</w:t>
            </w:r>
          </w:p>
        </w:tc>
        <w:tc>
          <w:tcPr>
            <w:tcW w:w="659"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33.628</w:t>
            </w:r>
          </w:p>
        </w:tc>
        <w:tc>
          <w:tcPr>
            <w:tcW w:w="733"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4,0%</w:t>
            </w:r>
          </w:p>
        </w:tc>
      </w:tr>
      <w:tr w:rsidR="001B3496" w:rsidRPr="004A62F7" w:rsidTr="004A62F7">
        <w:trPr>
          <w:trHeight w:val="255"/>
          <w:jc w:val="center"/>
        </w:trPr>
        <w:tc>
          <w:tcPr>
            <w:cnfStyle w:val="001000000000" w:firstRow="0" w:lastRow="0" w:firstColumn="1" w:lastColumn="0" w:oddVBand="0" w:evenVBand="0" w:oddHBand="0" w:evenHBand="0" w:firstRowFirstColumn="0" w:firstRowLastColumn="0" w:lastRowFirstColumn="0" w:lastRowLastColumn="0"/>
            <w:tcW w:w="392" w:type="pct"/>
            <w:shd w:val="clear" w:color="auto" w:fill="auto"/>
            <w:noWrap/>
            <w:hideMark/>
          </w:tcPr>
          <w:p w:rsidR="001B3496" w:rsidRPr="004A62F7" w:rsidRDefault="001B3496" w:rsidP="004A62F7">
            <w:pPr>
              <w:rPr>
                <w:b w:val="0"/>
                <w:color w:val="000000"/>
                <w:sz w:val="20"/>
                <w:szCs w:val="20"/>
                <w:lang w:val="en-US"/>
              </w:rPr>
            </w:pPr>
            <w:r w:rsidRPr="004A62F7">
              <w:rPr>
                <w:b w:val="0"/>
                <w:color w:val="000000"/>
                <w:sz w:val="20"/>
                <w:szCs w:val="20"/>
                <w:lang w:val="en-US"/>
              </w:rPr>
              <w:t>2.008</w:t>
            </w:r>
          </w:p>
        </w:tc>
        <w:tc>
          <w:tcPr>
            <w:tcW w:w="671"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732.536</w:t>
            </w:r>
          </w:p>
        </w:tc>
        <w:tc>
          <w:tcPr>
            <w:tcW w:w="659"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683.823</w:t>
            </w:r>
          </w:p>
        </w:tc>
        <w:tc>
          <w:tcPr>
            <w:tcW w:w="614"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93,4%</w:t>
            </w:r>
          </w:p>
        </w:tc>
        <w:tc>
          <w:tcPr>
            <w:tcW w:w="659"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22.943</w:t>
            </w:r>
          </w:p>
        </w:tc>
        <w:tc>
          <w:tcPr>
            <w:tcW w:w="614"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3,1%</w:t>
            </w:r>
          </w:p>
        </w:tc>
        <w:tc>
          <w:tcPr>
            <w:tcW w:w="659"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25.770</w:t>
            </w:r>
          </w:p>
        </w:tc>
        <w:tc>
          <w:tcPr>
            <w:tcW w:w="733" w:type="pct"/>
            <w:shd w:val="clear" w:color="auto" w:fill="auto"/>
            <w:noWrap/>
            <w:hideMark/>
          </w:tcPr>
          <w:p w:rsidR="001B3496" w:rsidRPr="004A62F7" w:rsidRDefault="001B3496" w:rsidP="004A62F7">
            <w:pPr>
              <w:cnfStyle w:val="000000000000" w:firstRow="0" w:lastRow="0" w:firstColumn="0" w:lastColumn="0" w:oddVBand="0" w:evenVBand="0" w:oddHBand="0" w:evenHBand="0" w:firstRowFirstColumn="0" w:firstRowLastColumn="0" w:lastRowFirstColumn="0" w:lastRowLastColumn="0"/>
              <w:rPr>
                <w:color w:val="000000"/>
                <w:sz w:val="20"/>
                <w:szCs w:val="20"/>
                <w:lang w:val="en-US"/>
              </w:rPr>
            </w:pPr>
            <w:r w:rsidRPr="004A62F7">
              <w:rPr>
                <w:color w:val="000000"/>
                <w:sz w:val="20"/>
                <w:szCs w:val="20"/>
                <w:lang w:val="en-US"/>
              </w:rPr>
              <w:t>3,5%</w:t>
            </w:r>
          </w:p>
        </w:tc>
      </w:tr>
      <w:tr w:rsidR="001B3496" w:rsidRPr="004A62F7" w:rsidTr="004A62F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92" w:type="pct"/>
            <w:shd w:val="clear" w:color="auto" w:fill="auto"/>
            <w:noWrap/>
            <w:hideMark/>
          </w:tcPr>
          <w:p w:rsidR="001B3496" w:rsidRPr="004A62F7" w:rsidRDefault="001B3496" w:rsidP="004A62F7">
            <w:pPr>
              <w:rPr>
                <w:b w:val="0"/>
                <w:color w:val="000000"/>
                <w:sz w:val="20"/>
                <w:szCs w:val="20"/>
                <w:lang w:val="en-US"/>
              </w:rPr>
            </w:pPr>
            <w:r w:rsidRPr="004A62F7">
              <w:rPr>
                <w:b w:val="0"/>
                <w:color w:val="000000"/>
                <w:sz w:val="20"/>
                <w:szCs w:val="20"/>
                <w:lang w:val="en-US"/>
              </w:rPr>
              <w:t>2.007</w:t>
            </w:r>
          </w:p>
        </w:tc>
        <w:tc>
          <w:tcPr>
            <w:tcW w:w="671"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581.606</w:t>
            </w:r>
          </w:p>
        </w:tc>
        <w:tc>
          <w:tcPr>
            <w:tcW w:w="659"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543.272</w:t>
            </w:r>
          </w:p>
        </w:tc>
        <w:tc>
          <w:tcPr>
            <w:tcW w:w="614"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93,4%</w:t>
            </w:r>
          </w:p>
        </w:tc>
        <w:tc>
          <w:tcPr>
            <w:tcW w:w="659"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18.888</w:t>
            </w:r>
          </w:p>
        </w:tc>
        <w:tc>
          <w:tcPr>
            <w:tcW w:w="614"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3,2%</w:t>
            </w:r>
          </w:p>
        </w:tc>
        <w:tc>
          <w:tcPr>
            <w:tcW w:w="659"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19.445</w:t>
            </w:r>
          </w:p>
        </w:tc>
        <w:tc>
          <w:tcPr>
            <w:tcW w:w="733" w:type="pct"/>
            <w:shd w:val="clear" w:color="auto" w:fill="auto"/>
            <w:noWrap/>
            <w:hideMark/>
          </w:tcPr>
          <w:p w:rsidR="001B3496" w:rsidRPr="004A62F7" w:rsidRDefault="001B3496" w:rsidP="004A62F7">
            <w:pPr>
              <w:cnfStyle w:val="000000100000" w:firstRow="0" w:lastRow="0" w:firstColumn="0" w:lastColumn="0" w:oddVBand="0" w:evenVBand="0" w:oddHBand="1" w:evenHBand="0" w:firstRowFirstColumn="0" w:firstRowLastColumn="0" w:lastRowFirstColumn="0" w:lastRowLastColumn="0"/>
              <w:rPr>
                <w:color w:val="000000"/>
                <w:sz w:val="20"/>
                <w:szCs w:val="20"/>
                <w:lang w:val="en-US"/>
              </w:rPr>
            </w:pPr>
            <w:r w:rsidRPr="004A62F7">
              <w:rPr>
                <w:color w:val="000000"/>
                <w:sz w:val="20"/>
                <w:szCs w:val="20"/>
                <w:lang w:val="en-US"/>
              </w:rPr>
              <w:t>3,3%</w:t>
            </w:r>
          </w:p>
        </w:tc>
      </w:tr>
    </w:tbl>
    <w:p w:rsidR="001B3496" w:rsidRDefault="001B3496" w:rsidP="004A62F7">
      <w:pPr>
        <w:pStyle w:val="AralkYok"/>
        <w:jc w:val="center"/>
        <w:rPr>
          <w:rFonts w:ascii="Times New Roman" w:hAnsi="Times New Roman"/>
          <w:sz w:val="20"/>
        </w:rPr>
      </w:pPr>
      <w:r w:rsidRPr="004A62F7">
        <w:rPr>
          <w:rFonts w:ascii="Times New Roman" w:hAnsi="Times New Roman"/>
          <w:sz w:val="20"/>
        </w:rPr>
        <w:t>Source: Collected from data provided by (BAT, The Bank Association of Turkey, 2011) (BAT, The Bank Association of Turkey, 2012) (PBAT, The Participation Banks Association of Turkey, 2012).</w:t>
      </w:r>
    </w:p>
    <w:p w:rsidR="004A62F7" w:rsidRDefault="004A62F7" w:rsidP="004A62F7">
      <w:pPr>
        <w:pStyle w:val="AralkYok"/>
        <w:jc w:val="center"/>
        <w:rPr>
          <w:rFonts w:ascii="Times New Roman" w:hAnsi="Times New Roman"/>
          <w:sz w:val="20"/>
        </w:rPr>
      </w:pPr>
    </w:p>
    <w:p w:rsidR="004A62F7" w:rsidRPr="004A62F7" w:rsidRDefault="004A62F7" w:rsidP="004A62F7">
      <w:pPr>
        <w:pStyle w:val="AralkYok"/>
        <w:jc w:val="center"/>
        <w:rPr>
          <w:rFonts w:ascii="Times New Roman" w:hAnsi="Times New Roman"/>
          <w:sz w:val="20"/>
        </w:rPr>
      </w:pPr>
    </w:p>
    <w:p w:rsidR="001B3496" w:rsidRDefault="001B3496" w:rsidP="004A62F7">
      <w:pPr>
        <w:tabs>
          <w:tab w:val="num" w:pos="0"/>
        </w:tabs>
        <w:jc w:val="center"/>
        <w:rPr>
          <w:sz w:val="20"/>
          <w:szCs w:val="22"/>
          <w:lang w:val="en-US"/>
        </w:rPr>
      </w:pPr>
      <w:r w:rsidRPr="004A62F7">
        <w:rPr>
          <w:noProof/>
          <w:sz w:val="20"/>
          <w:szCs w:val="22"/>
          <w:lang w:val="en-US"/>
        </w:rPr>
        <w:drawing>
          <wp:inline distT="0" distB="0" distL="0" distR="0" wp14:anchorId="2F0A4C6B" wp14:editId="39226F93">
            <wp:extent cx="3305175" cy="1714500"/>
            <wp:effectExtent l="19050" t="0" r="9525"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62F7" w:rsidRDefault="004A62F7" w:rsidP="004A62F7">
      <w:pPr>
        <w:tabs>
          <w:tab w:val="num" w:pos="0"/>
        </w:tabs>
        <w:jc w:val="center"/>
        <w:rPr>
          <w:sz w:val="20"/>
          <w:szCs w:val="22"/>
          <w:lang w:val="en-US"/>
        </w:rPr>
      </w:pPr>
    </w:p>
    <w:p w:rsidR="004A62F7" w:rsidRPr="004A62F7" w:rsidRDefault="004A62F7" w:rsidP="004A62F7">
      <w:pPr>
        <w:tabs>
          <w:tab w:val="num" w:pos="0"/>
        </w:tabs>
        <w:jc w:val="center"/>
        <w:rPr>
          <w:sz w:val="20"/>
          <w:szCs w:val="22"/>
          <w:lang w:val="en-US"/>
        </w:rPr>
      </w:pPr>
    </w:p>
    <w:p w:rsidR="001B3496" w:rsidRDefault="001B3496" w:rsidP="001B3496">
      <w:pPr>
        <w:tabs>
          <w:tab w:val="num" w:pos="0"/>
        </w:tabs>
        <w:jc w:val="both"/>
        <w:rPr>
          <w:szCs w:val="22"/>
          <w:lang w:val="en-US"/>
        </w:rPr>
      </w:pPr>
      <w:r w:rsidRPr="004A62F7">
        <w:rPr>
          <w:szCs w:val="22"/>
          <w:lang w:val="en-US"/>
        </w:rPr>
        <w:t>The table clearly shows that The Participation banks have increased the theirs shares in the sector. While the share of Participation banks is %3</w:t>
      </w:r>
      <w:proofErr w:type="gramStart"/>
      <w:r w:rsidRPr="004A62F7">
        <w:rPr>
          <w:szCs w:val="22"/>
          <w:lang w:val="en-US"/>
        </w:rPr>
        <w:t>,3</w:t>
      </w:r>
      <w:proofErr w:type="gramEnd"/>
      <w:r w:rsidRPr="004A62F7">
        <w:rPr>
          <w:szCs w:val="22"/>
          <w:lang w:val="en-US"/>
        </w:rPr>
        <w:t xml:space="preserve"> in 2007, the share reaches to %5,3 in the end of 2012. The increasing rate of sector share is %61 as a number.</w:t>
      </w:r>
    </w:p>
    <w:p w:rsidR="004A62F7" w:rsidRDefault="004A62F7" w:rsidP="001B3496">
      <w:pPr>
        <w:tabs>
          <w:tab w:val="num" w:pos="0"/>
        </w:tabs>
        <w:jc w:val="both"/>
        <w:rPr>
          <w:szCs w:val="22"/>
          <w:lang w:val="en-US"/>
        </w:rPr>
      </w:pPr>
    </w:p>
    <w:p w:rsidR="004A62F7" w:rsidRPr="004A62F7" w:rsidRDefault="004A62F7" w:rsidP="001B3496">
      <w:pPr>
        <w:tabs>
          <w:tab w:val="num" w:pos="0"/>
        </w:tabs>
        <w:jc w:val="both"/>
        <w:rPr>
          <w:szCs w:val="22"/>
          <w:lang w:val="en-US"/>
        </w:rPr>
      </w:pPr>
    </w:p>
    <w:p w:rsidR="001B3496" w:rsidRPr="004A62F7" w:rsidRDefault="001B3496" w:rsidP="004A62F7">
      <w:pPr>
        <w:pStyle w:val="Balk1"/>
        <w:numPr>
          <w:ilvl w:val="0"/>
          <w:numId w:val="29"/>
        </w:numPr>
        <w:tabs>
          <w:tab w:val="clear" w:pos="720"/>
          <w:tab w:val="num" w:pos="540"/>
        </w:tabs>
        <w:ind w:left="0" w:firstLine="270"/>
        <w:rPr>
          <w:sz w:val="24"/>
        </w:rPr>
      </w:pPr>
      <w:r w:rsidRPr="004A62F7">
        <w:rPr>
          <w:sz w:val="24"/>
        </w:rPr>
        <w:lastRenderedPageBreak/>
        <w:t>Conclusions</w:t>
      </w:r>
    </w:p>
    <w:p w:rsidR="004A62F7" w:rsidRPr="004A62F7" w:rsidRDefault="004A62F7" w:rsidP="004A62F7">
      <w:pPr>
        <w:jc w:val="both"/>
        <w:rPr>
          <w:sz w:val="28"/>
          <w:lang w:val="en-US" w:eastAsia="lt-LT"/>
        </w:rPr>
      </w:pPr>
    </w:p>
    <w:p w:rsidR="001B3496" w:rsidRDefault="001B3496" w:rsidP="004A62F7">
      <w:pPr>
        <w:tabs>
          <w:tab w:val="num" w:pos="0"/>
        </w:tabs>
        <w:jc w:val="both"/>
        <w:rPr>
          <w:szCs w:val="22"/>
          <w:lang w:val="en-US"/>
        </w:rPr>
      </w:pPr>
      <w:r w:rsidRPr="004A62F7">
        <w:rPr>
          <w:szCs w:val="22"/>
          <w:lang w:val="en-US"/>
        </w:rPr>
        <w:t>Participation banks, with their old name Special Finance Houses, are institutions collecting funds similar to deposit through private current accounts and accounts giving right to profit/loss participation, and utilizing funds through methods such as production support, partnership of profit and loss, leasing, document against payment. In Turkey, the foundation of these institutions has been allowed since 1984. Their number which has increased to 6 decreased to 4 eventually parallel to the consolidation of deposit banks. However growth of volume and branch number in the finance sector especially in the last years is also extremely valid for these institutions. Their share is small today in total sector but it grows in a stable manner with their higher growth rate than other banks. In 2001, participation banks had total asset amount of 2,</w:t>
      </w:r>
      <w:r w:rsidR="004A62F7">
        <w:rPr>
          <w:szCs w:val="22"/>
          <w:lang w:val="en-US"/>
        </w:rPr>
        <w:t xml:space="preserve"> </w:t>
      </w:r>
      <w:r w:rsidRPr="004A62F7">
        <w:rPr>
          <w:szCs w:val="22"/>
          <w:lang w:val="en-US"/>
        </w:rPr>
        <w:t>4 billion TL which meant a share of 1,</w:t>
      </w:r>
      <w:r w:rsidR="004A62F7">
        <w:rPr>
          <w:szCs w:val="22"/>
          <w:lang w:val="en-US"/>
        </w:rPr>
        <w:t xml:space="preserve"> </w:t>
      </w:r>
      <w:r w:rsidRPr="004A62F7">
        <w:rPr>
          <w:szCs w:val="22"/>
          <w:lang w:val="en-US"/>
        </w:rPr>
        <w:t>08 % in the total assets of the sector. These amounts and shares were 7,</w:t>
      </w:r>
      <w:r w:rsidR="004A62F7">
        <w:rPr>
          <w:szCs w:val="22"/>
          <w:lang w:val="en-US"/>
        </w:rPr>
        <w:t xml:space="preserve"> </w:t>
      </w:r>
      <w:r w:rsidRPr="004A62F7">
        <w:rPr>
          <w:szCs w:val="22"/>
          <w:lang w:val="en-US"/>
        </w:rPr>
        <w:t>3 billion TL and 2,</w:t>
      </w:r>
      <w:r w:rsidR="004A62F7">
        <w:rPr>
          <w:szCs w:val="22"/>
          <w:lang w:val="en-US"/>
        </w:rPr>
        <w:t xml:space="preserve"> </w:t>
      </w:r>
      <w:r w:rsidRPr="004A62F7">
        <w:rPr>
          <w:szCs w:val="22"/>
          <w:lang w:val="en-US"/>
        </w:rPr>
        <w:t>34 % in 2004, 13.730 billion TL and 2,</w:t>
      </w:r>
      <w:r w:rsidR="004A62F7">
        <w:rPr>
          <w:szCs w:val="22"/>
          <w:lang w:val="en-US"/>
        </w:rPr>
        <w:t xml:space="preserve"> </w:t>
      </w:r>
      <w:r w:rsidRPr="004A62F7">
        <w:rPr>
          <w:szCs w:val="22"/>
          <w:lang w:val="en-US"/>
        </w:rPr>
        <w:t>83 % in 2006, 25.769 billion TL and % 3,</w:t>
      </w:r>
      <w:r w:rsidR="004A62F7">
        <w:rPr>
          <w:szCs w:val="22"/>
          <w:lang w:val="en-US"/>
        </w:rPr>
        <w:t xml:space="preserve"> </w:t>
      </w:r>
      <w:r w:rsidRPr="004A62F7">
        <w:rPr>
          <w:szCs w:val="22"/>
          <w:lang w:val="en-US"/>
        </w:rPr>
        <w:t>64 in 2008, and 56.148 billion TL and 5,</w:t>
      </w:r>
      <w:r w:rsidR="004A62F7">
        <w:rPr>
          <w:szCs w:val="22"/>
          <w:lang w:val="en-US"/>
        </w:rPr>
        <w:t xml:space="preserve"> </w:t>
      </w:r>
      <w:r w:rsidRPr="004A62F7">
        <w:rPr>
          <w:szCs w:val="22"/>
          <w:lang w:val="en-US"/>
        </w:rPr>
        <w:t>3 % as of the end of 2012.</w:t>
      </w:r>
    </w:p>
    <w:p w:rsidR="004A62F7" w:rsidRPr="004A62F7" w:rsidRDefault="004A62F7" w:rsidP="004A62F7">
      <w:pPr>
        <w:tabs>
          <w:tab w:val="num" w:pos="0"/>
        </w:tabs>
        <w:jc w:val="both"/>
        <w:rPr>
          <w:szCs w:val="22"/>
          <w:lang w:val="en-US"/>
        </w:rPr>
      </w:pPr>
    </w:p>
    <w:p w:rsidR="004A62F7" w:rsidRDefault="001B3496" w:rsidP="004A62F7">
      <w:pPr>
        <w:pStyle w:val="ListeParagraf"/>
        <w:numPr>
          <w:ilvl w:val="0"/>
          <w:numId w:val="32"/>
        </w:numPr>
        <w:tabs>
          <w:tab w:val="num" w:pos="0"/>
          <w:tab w:val="left" w:pos="1080"/>
        </w:tabs>
        <w:ind w:left="540" w:firstLine="0"/>
        <w:jc w:val="both"/>
        <w:rPr>
          <w:szCs w:val="22"/>
          <w:lang w:val="en-US"/>
        </w:rPr>
      </w:pPr>
      <w:r w:rsidRPr="004A62F7">
        <w:rPr>
          <w:szCs w:val="22"/>
          <w:lang w:val="en-US"/>
        </w:rPr>
        <w:t xml:space="preserve">These companies which are subject to most limitations of general arrangements and loan limitations in the Banking Act no. 5411 differ from deposit banks at most in terms of that they don’t undertake the risk of interest. </w:t>
      </w:r>
      <w:r w:rsidRPr="004A62F7">
        <w:rPr>
          <w:b/>
          <w:bCs/>
          <w:szCs w:val="22"/>
          <w:lang w:val="en-US"/>
        </w:rPr>
        <w:t>Because these kinds of banks don’t undertake the risk of interest which is one of the greatest risks which have to be managed in banking sector, we can talk about an asset-liability balance which is less sensitive to financial crisis.</w:t>
      </w:r>
      <w:r w:rsidRPr="004A62F7">
        <w:rPr>
          <w:szCs w:val="22"/>
          <w:lang w:val="en-US"/>
        </w:rPr>
        <w:t xml:space="preserve"> However not to undertake the risk of interest, in these kinds of banks, </w:t>
      </w:r>
      <w:r w:rsidRPr="004A62F7">
        <w:rPr>
          <w:b/>
          <w:bCs/>
          <w:szCs w:val="22"/>
          <w:lang w:val="en-US"/>
        </w:rPr>
        <w:t>differently from deposit banks, eliminates the opportunity to obtain sudden and high institutional profit based on interest rate difference</w:t>
      </w:r>
      <w:r w:rsidRPr="004A62F7">
        <w:rPr>
          <w:szCs w:val="22"/>
          <w:lang w:val="en-US"/>
        </w:rPr>
        <w:t>.</w:t>
      </w:r>
    </w:p>
    <w:p w:rsidR="004A62F7" w:rsidRDefault="001B3496" w:rsidP="004A62F7">
      <w:pPr>
        <w:pStyle w:val="ListeParagraf"/>
        <w:numPr>
          <w:ilvl w:val="0"/>
          <w:numId w:val="32"/>
        </w:numPr>
        <w:tabs>
          <w:tab w:val="num" w:pos="0"/>
          <w:tab w:val="left" w:pos="1080"/>
        </w:tabs>
        <w:ind w:left="540" w:firstLine="0"/>
        <w:jc w:val="both"/>
        <w:rPr>
          <w:szCs w:val="22"/>
          <w:lang w:val="en-US"/>
        </w:rPr>
      </w:pPr>
      <w:r w:rsidRPr="004A62F7">
        <w:rPr>
          <w:szCs w:val="22"/>
          <w:lang w:val="en-US"/>
        </w:rPr>
        <w:t xml:space="preserve">Putting three public banks and one SIDF bank aside, </w:t>
      </w:r>
      <w:r w:rsidRPr="004A62F7">
        <w:rPr>
          <w:b/>
          <w:bCs/>
          <w:szCs w:val="22"/>
          <w:lang w:val="en-US"/>
        </w:rPr>
        <w:t>while 28 private deposit banks have 254 branches</w:t>
      </w:r>
      <w:r w:rsidRPr="004A62F7">
        <w:rPr>
          <w:szCs w:val="22"/>
          <w:lang w:val="en-US"/>
        </w:rPr>
        <w:t xml:space="preserve"> on an average, </w:t>
      </w:r>
      <w:r w:rsidRPr="004A62F7">
        <w:rPr>
          <w:b/>
          <w:bCs/>
          <w:szCs w:val="22"/>
          <w:lang w:val="en-US"/>
        </w:rPr>
        <w:t>each of 4 participation banks has 207 branches on an average.</w:t>
      </w:r>
      <w:r w:rsidRPr="004A62F7">
        <w:rPr>
          <w:szCs w:val="22"/>
          <w:lang w:val="en-US"/>
        </w:rPr>
        <w:t xml:space="preserve"> However in terms of the increase rate of branches from 2007 to 2012, it is seen that participation banks reached almost three times bigger increase rate of branch numbers than deposit banks.</w:t>
      </w:r>
    </w:p>
    <w:p w:rsidR="004A62F7" w:rsidRDefault="001B3496" w:rsidP="004A62F7">
      <w:pPr>
        <w:pStyle w:val="ListeParagraf"/>
        <w:numPr>
          <w:ilvl w:val="0"/>
          <w:numId w:val="32"/>
        </w:numPr>
        <w:tabs>
          <w:tab w:val="num" w:pos="0"/>
          <w:tab w:val="left" w:pos="1080"/>
        </w:tabs>
        <w:ind w:left="540" w:firstLine="0"/>
        <w:jc w:val="both"/>
        <w:rPr>
          <w:szCs w:val="22"/>
          <w:lang w:val="en-US"/>
        </w:rPr>
      </w:pPr>
      <w:r w:rsidRPr="004A62F7">
        <w:rPr>
          <w:b/>
          <w:bCs/>
          <w:szCs w:val="22"/>
          <w:lang w:val="en-US"/>
        </w:rPr>
        <w:t>Increase rate of loan-fund utilization</w:t>
      </w:r>
      <w:r w:rsidRPr="004A62F7">
        <w:rPr>
          <w:szCs w:val="22"/>
          <w:lang w:val="en-US"/>
        </w:rPr>
        <w:t xml:space="preserve"> from the end of 2007 to the end of 2012 of participation banks higher than deposit bank’s rate. They are </w:t>
      </w:r>
      <w:r w:rsidRPr="004A62F7">
        <w:rPr>
          <w:b/>
          <w:bCs/>
          <w:szCs w:val="22"/>
          <w:lang w:val="en-US"/>
        </w:rPr>
        <w:t>226% and 166 %</w:t>
      </w:r>
      <w:r w:rsidRPr="004A62F7">
        <w:rPr>
          <w:szCs w:val="22"/>
          <w:lang w:val="en-US"/>
        </w:rPr>
        <w:t xml:space="preserve"> respectively.</w:t>
      </w:r>
    </w:p>
    <w:p w:rsidR="004A62F7" w:rsidRDefault="001B3496" w:rsidP="004A62F7">
      <w:pPr>
        <w:pStyle w:val="ListeParagraf"/>
        <w:numPr>
          <w:ilvl w:val="0"/>
          <w:numId w:val="32"/>
        </w:numPr>
        <w:tabs>
          <w:tab w:val="num" w:pos="0"/>
          <w:tab w:val="left" w:pos="1080"/>
        </w:tabs>
        <w:ind w:left="540" w:firstLine="0"/>
        <w:jc w:val="both"/>
        <w:rPr>
          <w:szCs w:val="22"/>
          <w:lang w:val="en-US"/>
        </w:rPr>
      </w:pPr>
      <w:r w:rsidRPr="004A62F7">
        <w:rPr>
          <w:b/>
          <w:bCs/>
          <w:szCs w:val="22"/>
          <w:lang w:val="en-US"/>
        </w:rPr>
        <w:t>Total net profits</w:t>
      </w:r>
      <w:r w:rsidRPr="004A62F7">
        <w:rPr>
          <w:szCs w:val="22"/>
          <w:lang w:val="en-US"/>
        </w:rPr>
        <w:t xml:space="preserve"> increasing rate of participant is </w:t>
      </w:r>
      <w:r w:rsidRPr="004A62F7">
        <w:rPr>
          <w:b/>
          <w:bCs/>
          <w:szCs w:val="22"/>
          <w:lang w:val="en-US"/>
        </w:rPr>
        <w:t xml:space="preserve">%74 </w:t>
      </w:r>
      <w:r w:rsidRPr="004A62F7">
        <w:rPr>
          <w:szCs w:val="22"/>
          <w:lang w:val="en-US"/>
        </w:rPr>
        <w:t xml:space="preserve">from the end of 2007 to the end of 2012. Looking at </w:t>
      </w:r>
      <w:r w:rsidRPr="004A62F7">
        <w:rPr>
          <w:b/>
          <w:bCs/>
          <w:szCs w:val="22"/>
          <w:lang w:val="en-US"/>
        </w:rPr>
        <w:t>deposit banks</w:t>
      </w:r>
      <w:r w:rsidRPr="004A62F7">
        <w:rPr>
          <w:szCs w:val="22"/>
          <w:lang w:val="en-US"/>
        </w:rPr>
        <w:t xml:space="preserve"> for the 2007-2012 period, their profit </w:t>
      </w:r>
      <w:r w:rsidRPr="004A62F7">
        <w:rPr>
          <w:b/>
          <w:bCs/>
          <w:szCs w:val="22"/>
          <w:lang w:val="en-US"/>
        </w:rPr>
        <w:t>increased by %71</w:t>
      </w:r>
      <w:r w:rsidRPr="004A62F7">
        <w:rPr>
          <w:szCs w:val="22"/>
          <w:lang w:val="en-US"/>
        </w:rPr>
        <w:t xml:space="preserve"> from 2007 to 2012, and reached to 18</w:t>
      </w:r>
      <w:proofErr w:type="gramStart"/>
      <w:r w:rsidRPr="004A62F7">
        <w:rPr>
          <w:szCs w:val="22"/>
          <w:lang w:val="en-US"/>
        </w:rPr>
        <w:t>,2</w:t>
      </w:r>
      <w:proofErr w:type="gramEnd"/>
      <w:r w:rsidRPr="004A62F7">
        <w:rPr>
          <w:szCs w:val="22"/>
          <w:lang w:val="en-US"/>
        </w:rPr>
        <w:t xml:space="preserve"> billion TL in 2011. The rate of participation </w:t>
      </w:r>
      <w:r w:rsidR="004A62F7" w:rsidRPr="004A62F7">
        <w:rPr>
          <w:szCs w:val="22"/>
          <w:lang w:val="en-US"/>
        </w:rPr>
        <w:t>banks</w:t>
      </w:r>
      <w:r w:rsidRPr="004A62F7">
        <w:rPr>
          <w:szCs w:val="22"/>
          <w:lang w:val="en-US"/>
        </w:rPr>
        <w:t xml:space="preserve"> is a little higher than deposit </w:t>
      </w:r>
      <w:r w:rsidR="004A62F7" w:rsidRPr="004A62F7">
        <w:rPr>
          <w:szCs w:val="22"/>
          <w:lang w:val="en-US"/>
        </w:rPr>
        <w:t>banks</w:t>
      </w:r>
      <w:r w:rsidRPr="004A62F7">
        <w:rPr>
          <w:szCs w:val="22"/>
          <w:lang w:val="en-US"/>
        </w:rPr>
        <w:t>. In terms of average profit per bank, deposit banks have too high figures compared to participation banks naturally. However it is also obvious that average scales, branch numbers and history of deposit banks are above participation banks</w:t>
      </w:r>
    </w:p>
    <w:p w:rsidR="004A62F7" w:rsidRDefault="001B3496" w:rsidP="004A62F7">
      <w:pPr>
        <w:pStyle w:val="ListeParagraf"/>
        <w:numPr>
          <w:ilvl w:val="0"/>
          <w:numId w:val="32"/>
        </w:numPr>
        <w:tabs>
          <w:tab w:val="num" w:pos="0"/>
          <w:tab w:val="left" w:pos="1080"/>
        </w:tabs>
        <w:ind w:left="540" w:firstLine="0"/>
        <w:jc w:val="both"/>
        <w:rPr>
          <w:szCs w:val="22"/>
          <w:lang w:val="en-US"/>
        </w:rPr>
      </w:pPr>
      <w:r w:rsidRPr="004A62F7">
        <w:rPr>
          <w:szCs w:val="22"/>
          <w:lang w:val="en-US"/>
        </w:rPr>
        <w:t xml:space="preserve">It is seen that </w:t>
      </w:r>
      <w:r w:rsidRPr="004A62F7">
        <w:rPr>
          <w:b/>
          <w:bCs/>
          <w:szCs w:val="22"/>
          <w:lang w:val="en-US"/>
        </w:rPr>
        <w:t>participation banks increased their equity in 2012 212% according to the 2007.</w:t>
      </w:r>
      <w:r w:rsidRPr="004A62F7">
        <w:rPr>
          <w:szCs w:val="22"/>
          <w:lang w:val="en-US"/>
        </w:rPr>
        <w:t xml:space="preserve"> Looking at deposit banks for the 2007-2012 </w:t>
      </w:r>
      <w:r w:rsidR="004A62F7" w:rsidRPr="004A62F7">
        <w:rPr>
          <w:szCs w:val="22"/>
          <w:lang w:val="en-US"/>
        </w:rPr>
        <w:t>periods</w:t>
      </w:r>
      <w:r w:rsidRPr="004A62F7">
        <w:rPr>
          <w:szCs w:val="22"/>
          <w:lang w:val="en-US"/>
        </w:rPr>
        <w:t>, their equity capital increased by</w:t>
      </w:r>
      <w:r w:rsidRPr="004A62F7">
        <w:rPr>
          <w:b/>
          <w:bCs/>
          <w:szCs w:val="22"/>
          <w:lang w:val="en-US"/>
        </w:rPr>
        <w:t xml:space="preserve"> 129 %</w:t>
      </w:r>
      <w:r w:rsidRPr="004A62F7">
        <w:rPr>
          <w:szCs w:val="22"/>
          <w:lang w:val="en-US"/>
        </w:rPr>
        <w:t xml:space="preserve"> from 2007 to 2012. </w:t>
      </w:r>
      <w:r w:rsidRPr="004A62F7">
        <w:rPr>
          <w:b/>
          <w:bCs/>
          <w:szCs w:val="22"/>
          <w:lang w:val="en-US"/>
        </w:rPr>
        <w:t xml:space="preserve">The </w:t>
      </w:r>
      <w:r w:rsidR="004A62F7" w:rsidRPr="004A62F7">
        <w:rPr>
          <w:b/>
          <w:bCs/>
          <w:szCs w:val="22"/>
          <w:lang w:val="en-US"/>
        </w:rPr>
        <w:t>difference between them is</w:t>
      </w:r>
      <w:r w:rsidRPr="004A62F7">
        <w:rPr>
          <w:b/>
          <w:bCs/>
          <w:szCs w:val="22"/>
          <w:lang w:val="en-US"/>
        </w:rPr>
        <w:t xml:space="preserve"> important</w:t>
      </w:r>
      <w:r w:rsidRPr="004A62F7">
        <w:rPr>
          <w:szCs w:val="22"/>
          <w:lang w:val="en-US"/>
        </w:rPr>
        <w:t xml:space="preserve">. </w:t>
      </w:r>
    </w:p>
    <w:p w:rsidR="004A62F7" w:rsidRDefault="001B3496" w:rsidP="004A62F7">
      <w:pPr>
        <w:pStyle w:val="ListeParagraf"/>
        <w:numPr>
          <w:ilvl w:val="0"/>
          <w:numId w:val="32"/>
        </w:numPr>
        <w:tabs>
          <w:tab w:val="num" w:pos="0"/>
          <w:tab w:val="left" w:pos="1080"/>
        </w:tabs>
        <w:ind w:left="540" w:firstLine="0"/>
        <w:jc w:val="both"/>
        <w:rPr>
          <w:szCs w:val="22"/>
          <w:lang w:val="en-US"/>
        </w:rPr>
      </w:pPr>
      <w:r w:rsidRPr="004A62F7">
        <w:rPr>
          <w:szCs w:val="22"/>
          <w:lang w:val="en-US"/>
        </w:rPr>
        <w:t xml:space="preserve">Thus </w:t>
      </w:r>
      <w:r w:rsidR="004A62F7" w:rsidRPr="004A62F7">
        <w:rPr>
          <w:szCs w:val="22"/>
          <w:lang w:val="en-US"/>
        </w:rPr>
        <w:t>those given results also all support</w:t>
      </w:r>
      <w:r w:rsidRPr="004A62F7">
        <w:rPr>
          <w:szCs w:val="22"/>
          <w:lang w:val="en-US"/>
        </w:rPr>
        <w:t xml:space="preserve"> our thesis in this paper. </w:t>
      </w:r>
    </w:p>
    <w:p w:rsidR="004A62F7" w:rsidRDefault="001B3496" w:rsidP="004A62F7">
      <w:pPr>
        <w:pStyle w:val="ListeParagraf"/>
        <w:numPr>
          <w:ilvl w:val="0"/>
          <w:numId w:val="32"/>
        </w:numPr>
        <w:tabs>
          <w:tab w:val="num" w:pos="0"/>
          <w:tab w:val="left" w:pos="1080"/>
        </w:tabs>
        <w:ind w:left="540" w:firstLine="0"/>
        <w:jc w:val="both"/>
        <w:rPr>
          <w:szCs w:val="22"/>
          <w:lang w:val="en-US"/>
        </w:rPr>
      </w:pPr>
      <w:r w:rsidRPr="004A62F7">
        <w:rPr>
          <w:b/>
          <w:bCs/>
          <w:szCs w:val="22"/>
          <w:lang w:val="en-US"/>
        </w:rPr>
        <w:t>Meanwhile</w:t>
      </w:r>
      <w:r w:rsidRPr="004A62F7">
        <w:rPr>
          <w:szCs w:val="22"/>
          <w:lang w:val="en-US"/>
        </w:rPr>
        <w:t xml:space="preserve">, the participation banks also have some problems for instance they have needed such as the Interbank </w:t>
      </w:r>
      <w:r w:rsidR="004A62F7" w:rsidRPr="004A62F7">
        <w:rPr>
          <w:szCs w:val="22"/>
          <w:lang w:val="en-US"/>
        </w:rPr>
        <w:t>systems which provide</w:t>
      </w:r>
      <w:r w:rsidRPr="004A62F7">
        <w:rPr>
          <w:szCs w:val="22"/>
          <w:lang w:val="en-US"/>
        </w:rPr>
        <w:t xml:space="preserve"> urgent proper credits for the depository banks in the short run. Whereas, this situation negatively hinders the participation banks performance. Because they are sharing nearly all of their funds </w:t>
      </w:r>
      <w:r w:rsidRPr="004A62F7">
        <w:rPr>
          <w:szCs w:val="22"/>
          <w:lang w:val="en-US"/>
        </w:rPr>
        <w:lastRenderedPageBreak/>
        <w:t xml:space="preserve">for the creditors or investors who uses them for leasing, production, sales, trade, export and imports which composed the real sector of the economy. </w:t>
      </w:r>
    </w:p>
    <w:p w:rsidR="004A62F7" w:rsidRDefault="001B3496" w:rsidP="004A62F7">
      <w:pPr>
        <w:pStyle w:val="ListeParagraf"/>
        <w:numPr>
          <w:ilvl w:val="0"/>
          <w:numId w:val="32"/>
        </w:numPr>
        <w:tabs>
          <w:tab w:val="num" w:pos="0"/>
          <w:tab w:val="left" w:pos="1080"/>
        </w:tabs>
        <w:ind w:left="540" w:firstLine="0"/>
        <w:jc w:val="both"/>
        <w:rPr>
          <w:szCs w:val="22"/>
          <w:lang w:val="en-US"/>
        </w:rPr>
      </w:pPr>
      <w:r w:rsidRPr="004A62F7">
        <w:rPr>
          <w:szCs w:val="22"/>
          <w:lang w:val="en-US"/>
        </w:rPr>
        <w:t>For that reason it is very vital interest for the participation banks forming the similar interbank system which would increases their customers and operational transactions, too. For instance, the establishment of guaranty insurance system among the participation banks positively influenced their expansion in the market.</w:t>
      </w:r>
    </w:p>
    <w:p w:rsidR="004A62F7" w:rsidRDefault="001B3496" w:rsidP="004A62F7">
      <w:pPr>
        <w:pStyle w:val="ListeParagraf"/>
        <w:numPr>
          <w:ilvl w:val="0"/>
          <w:numId w:val="32"/>
        </w:numPr>
        <w:tabs>
          <w:tab w:val="num" w:pos="0"/>
          <w:tab w:val="left" w:pos="1080"/>
        </w:tabs>
        <w:ind w:left="540" w:firstLine="0"/>
        <w:jc w:val="both"/>
        <w:rPr>
          <w:szCs w:val="22"/>
          <w:lang w:val="en-US"/>
        </w:rPr>
      </w:pPr>
      <w:r w:rsidRPr="004A62F7">
        <w:rPr>
          <w:szCs w:val="22"/>
          <w:lang w:val="en-US"/>
        </w:rPr>
        <w:t xml:space="preserve">Nevertheless, the depository banks they are the corporations so their rulers and executive bodies are responsible fully form their operations and in any case, the state quarantined their possible bankruptcy situations, but in the Participation Banking systems there was no such kind of full responsibility or insurance system in their financial credit operations because of joint losses or gains. In both theory and practice there is a legal gap that is why it leaded to some corruptions and abuses, the participation banks and companies in Turkey and European countries, too. This problem has been partially solved for Turkey. Those banks and companies forced to </w:t>
      </w:r>
      <w:r w:rsidR="004A62F7" w:rsidRPr="004A62F7">
        <w:rPr>
          <w:szCs w:val="22"/>
          <w:lang w:val="en-US"/>
        </w:rPr>
        <w:t>adopt the</w:t>
      </w:r>
      <w:r w:rsidRPr="004A62F7">
        <w:rPr>
          <w:szCs w:val="22"/>
          <w:lang w:val="en-US"/>
        </w:rPr>
        <w:t xml:space="preserve"> status and the legal structural establishment of banks and companies. Some of them applied to be part of the Capital Stock Exchange Market. That is why they could be checked and controlled by the state audit system.  </w:t>
      </w:r>
    </w:p>
    <w:p w:rsidR="004A62F7" w:rsidRDefault="001B3496" w:rsidP="004A62F7">
      <w:pPr>
        <w:pStyle w:val="ListeParagraf"/>
        <w:numPr>
          <w:ilvl w:val="0"/>
          <w:numId w:val="32"/>
        </w:numPr>
        <w:tabs>
          <w:tab w:val="num" w:pos="0"/>
          <w:tab w:val="left" w:pos="1080"/>
        </w:tabs>
        <w:ind w:left="540" w:firstLine="0"/>
        <w:jc w:val="both"/>
        <w:rPr>
          <w:szCs w:val="22"/>
          <w:lang w:val="en-US"/>
        </w:rPr>
      </w:pPr>
      <w:r w:rsidRPr="004A62F7">
        <w:rPr>
          <w:szCs w:val="22"/>
          <w:lang w:val="en-US"/>
        </w:rPr>
        <w:t xml:space="preserve">This study examines the case of each participation bank among each other. The tables and figures show the each participation bank ordering at 9 different criteria. In conclusion, Bank </w:t>
      </w:r>
      <w:proofErr w:type="spellStart"/>
      <w:r w:rsidRPr="004A62F7">
        <w:rPr>
          <w:szCs w:val="22"/>
          <w:lang w:val="en-US"/>
        </w:rPr>
        <w:t>Asya</w:t>
      </w:r>
      <w:proofErr w:type="spellEnd"/>
      <w:r w:rsidRPr="004A62F7">
        <w:rPr>
          <w:szCs w:val="22"/>
          <w:lang w:val="en-US"/>
        </w:rPr>
        <w:t xml:space="preserve"> is the leader among the four banks in the eight </w:t>
      </w:r>
      <w:proofErr w:type="gramStart"/>
      <w:r w:rsidRPr="004A62F7">
        <w:rPr>
          <w:szCs w:val="22"/>
          <w:lang w:val="en-US"/>
        </w:rPr>
        <w:t>criteria,</w:t>
      </w:r>
      <w:proofErr w:type="gramEnd"/>
      <w:r w:rsidRPr="004A62F7">
        <w:rPr>
          <w:szCs w:val="22"/>
          <w:lang w:val="en-US"/>
        </w:rPr>
        <w:t xml:space="preserve"> </w:t>
      </w:r>
      <w:proofErr w:type="spellStart"/>
      <w:r w:rsidRPr="004A62F7">
        <w:rPr>
          <w:szCs w:val="22"/>
          <w:lang w:val="en-US"/>
        </w:rPr>
        <w:t>Türkiye</w:t>
      </w:r>
      <w:proofErr w:type="spellEnd"/>
      <w:r w:rsidRPr="004A62F7">
        <w:rPr>
          <w:szCs w:val="22"/>
          <w:lang w:val="en-US"/>
        </w:rPr>
        <w:t xml:space="preserve"> </w:t>
      </w:r>
      <w:proofErr w:type="spellStart"/>
      <w:r w:rsidRPr="004A62F7">
        <w:rPr>
          <w:szCs w:val="22"/>
          <w:lang w:val="en-US"/>
        </w:rPr>
        <w:t>Finans</w:t>
      </w:r>
      <w:proofErr w:type="spellEnd"/>
      <w:r w:rsidRPr="004A62F7">
        <w:rPr>
          <w:szCs w:val="22"/>
          <w:lang w:val="en-US"/>
        </w:rPr>
        <w:t xml:space="preserve"> is the first profitable bank. </w:t>
      </w:r>
    </w:p>
    <w:p w:rsidR="004A62F7" w:rsidRDefault="001B3496" w:rsidP="004A62F7">
      <w:pPr>
        <w:pStyle w:val="ListeParagraf"/>
        <w:numPr>
          <w:ilvl w:val="0"/>
          <w:numId w:val="32"/>
        </w:numPr>
        <w:tabs>
          <w:tab w:val="num" w:pos="0"/>
          <w:tab w:val="left" w:pos="1080"/>
        </w:tabs>
        <w:ind w:left="540" w:firstLine="0"/>
        <w:jc w:val="both"/>
        <w:rPr>
          <w:szCs w:val="22"/>
          <w:lang w:val="en-US"/>
        </w:rPr>
      </w:pPr>
      <w:r w:rsidRPr="004A62F7">
        <w:rPr>
          <w:szCs w:val="22"/>
          <w:lang w:val="en-US"/>
        </w:rPr>
        <w:t xml:space="preserve">This study examines the more important thing for these banks. The average increasing rate for last five years has been calculated in this study. This figures show that </w:t>
      </w:r>
      <w:proofErr w:type="spellStart"/>
      <w:r w:rsidRPr="004A62F7">
        <w:rPr>
          <w:szCs w:val="22"/>
          <w:lang w:val="en-US"/>
        </w:rPr>
        <w:t>Kuveyt</w:t>
      </w:r>
      <w:proofErr w:type="spellEnd"/>
      <w:r w:rsidRPr="004A62F7">
        <w:rPr>
          <w:szCs w:val="22"/>
          <w:lang w:val="en-US"/>
        </w:rPr>
        <w:t xml:space="preserve"> </w:t>
      </w:r>
      <w:proofErr w:type="spellStart"/>
      <w:r w:rsidRPr="004A62F7">
        <w:rPr>
          <w:szCs w:val="22"/>
          <w:lang w:val="en-US"/>
        </w:rPr>
        <w:t>Türk</w:t>
      </w:r>
      <w:proofErr w:type="spellEnd"/>
      <w:r w:rsidRPr="004A62F7">
        <w:rPr>
          <w:szCs w:val="22"/>
          <w:lang w:val="en-US"/>
        </w:rPr>
        <w:t xml:space="preserve"> Participation Bank has the highest average in the almost all of criteria.</w:t>
      </w:r>
    </w:p>
    <w:p w:rsidR="001B3496" w:rsidRPr="004A62F7" w:rsidRDefault="001B3496" w:rsidP="004A62F7">
      <w:pPr>
        <w:pStyle w:val="ListeParagraf"/>
        <w:numPr>
          <w:ilvl w:val="0"/>
          <w:numId w:val="32"/>
        </w:numPr>
        <w:tabs>
          <w:tab w:val="num" w:pos="0"/>
          <w:tab w:val="left" w:pos="1080"/>
        </w:tabs>
        <w:ind w:left="540" w:firstLine="0"/>
        <w:jc w:val="both"/>
        <w:rPr>
          <w:szCs w:val="22"/>
          <w:lang w:val="en-US"/>
        </w:rPr>
      </w:pPr>
      <w:r w:rsidRPr="004A62F7">
        <w:rPr>
          <w:szCs w:val="22"/>
          <w:lang w:val="en-US"/>
        </w:rPr>
        <w:t>This study shows that The Participation banks have increased the theirs shares in the sector also. While the share of Participation banks is %3</w:t>
      </w:r>
      <w:proofErr w:type="gramStart"/>
      <w:r w:rsidRPr="004A62F7">
        <w:rPr>
          <w:szCs w:val="22"/>
          <w:lang w:val="en-US"/>
        </w:rPr>
        <w:t>,3</w:t>
      </w:r>
      <w:proofErr w:type="gramEnd"/>
      <w:r w:rsidRPr="004A62F7">
        <w:rPr>
          <w:szCs w:val="22"/>
          <w:lang w:val="en-US"/>
        </w:rPr>
        <w:t xml:space="preserve"> in 2007, the share reaches to %5,3 in the end of 2012. The increasing rate of sector share is %61 as a number.</w:t>
      </w:r>
    </w:p>
    <w:p w:rsidR="005C4FF0" w:rsidRPr="00106B8C" w:rsidRDefault="005C4FF0" w:rsidP="000C0831">
      <w:pPr>
        <w:rPr>
          <w:noProof/>
          <w:lang w:val="en-US"/>
        </w:rPr>
      </w:pPr>
    </w:p>
    <w:p w:rsidR="005C4FF0" w:rsidRPr="00106B8C" w:rsidRDefault="005C4FF0" w:rsidP="000C0831">
      <w:pPr>
        <w:jc w:val="both"/>
        <w:rPr>
          <w:b/>
          <w:bCs/>
          <w:kern w:val="32"/>
          <w:lang w:val="en-US"/>
        </w:rPr>
      </w:pPr>
      <w:r w:rsidRPr="00106B8C">
        <w:rPr>
          <w:b/>
          <w:bCs/>
          <w:kern w:val="32"/>
          <w:lang w:val="en-US"/>
        </w:rPr>
        <w:t xml:space="preserve">References </w:t>
      </w:r>
    </w:p>
    <w:p w:rsidR="004A0692" w:rsidRPr="004A0692" w:rsidRDefault="004A0692" w:rsidP="004A0692">
      <w:pPr>
        <w:ind w:left="851" w:hanging="851"/>
        <w:jc w:val="both"/>
        <w:rPr>
          <w:lang w:val="en-US"/>
        </w:rPr>
      </w:pPr>
    </w:p>
    <w:p w:rsidR="004A0692" w:rsidRPr="004A0692" w:rsidRDefault="004A0692" w:rsidP="004A0692">
      <w:pPr>
        <w:ind w:left="851" w:hanging="851"/>
        <w:jc w:val="both"/>
        <w:rPr>
          <w:noProof/>
          <w:lang w:val="en-US"/>
        </w:rPr>
      </w:pPr>
      <w:r w:rsidRPr="004A0692">
        <w:rPr>
          <w:noProof/>
          <w:lang w:val="en-US"/>
        </w:rPr>
        <w:t xml:space="preserve">Ahmad, A., Humayoun, A. A., &amp; Hassan, U. u. (2010). An Analysis of Functions Performed by Islamic Bank: A Case of Pakistan. </w:t>
      </w:r>
      <w:r w:rsidRPr="004A0692">
        <w:rPr>
          <w:iCs/>
          <w:noProof/>
          <w:lang w:val="en-US"/>
        </w:rPr>
        <w:t>European Journal of Social Sciences</w:t>
      </w:r>
      <w:r w:rsidRPr="004A0692">
        <w:rPr>
          <w:noProof/>
          <w:lang w:val="en-US"/>
        </w:rPr>
        <w:t xml:space="preserve"> </w:t>
      </w:r>
      <w:r w:rsidRPr="004A0692">
        <w:rPr>
          <w:iCs/>
          <w:noProof/>
          <w:lang w:val="en-US"/>
        </w:rPr>
        <w:t>, 17</w:t>
      </w:r>
      <w:r w:rsidRPr="004A0692">
        <w:rPr>
          <w:noProof/>
          <w:lang w:val="en-US"/>
        </w:rPr>
        <w:t xml:space="preserve"> (1), 7-12.</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noProof/>
          <w:lang w:val="en-US"/>
        </w:rPr>
        <w:t xml:space="preserve">Akın, C. (1986). </w:t>
      </w:r>
      <w:r w:rsidRPr="004A0692">
        <w:rPr>
          <w:iCs/>
          <w:noProof/>
          <w:lang w:val="en-US"/>
        </w:rPr>
        <w:t>Faizsiz Bankacılık ve Kalkınma.</w:t>
      </w:r>
      <w:r w:rsidRPr="004A0692">
        <w:rPr>
          <w:noProof/>
          <w:lang w:val="en-US"/>
        </w:rPr>
        <w:t xml:space="preserve"> İstanbul: Kayıhan Yayınları.</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iCs/>
          <w:noProof/>
          <w:lang w:val="en-US"/>
        </w:rPr>
        <w:t>Albaraka Türk – About Us</w:t>
      </w:r>
      <w:r w:rsidRPr="004A0692">
        <w:rPr>
          <w:noProof/>
          <w:lang w:val="en-US"/>
        </w:rPr>
        <w:t xml:space="preserve">. (2010). Retrieved 12 23, 2010, from Albaraka Türk: </w:t>
      </w:r>
      <w:hyperlink r:id="rId11" w:history="1">
        <w:r w:rsidRPr="004A0692">
          <w:rPr>
            <w:rStyle w:val="Kpr"/>
            <w:noProof/>
            <w:lang w:val="en-US"/>
          </w:rPr>
          <w:t>http://www.albaraka.com.tr/bizi_taniyin/detay.aspx?SectionID=AvW7CcOUELQlQzfWvBQMfQ%3d%3d&amp;ContentID=SjpzafdvjZK8baQMqwSZQQ%3d%3d</w:t>
        </w:r>
      </w:hyperlink>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noProof/>
          <w:lang w:val="en-US"/>
        </w:rPr>
        <w:t xml:space="preserve">BAT, The Bank Association of Turkey. (2008). </w:t>
      </w:r>
      <w:r w:rsidRPr="004A0692">
        <w:rPr>
          <w:iCs/>
          <w:noProof/>
          <w:lang w:val="en-US"/>
        </w:rPr>
        <w:t>Bankalarımız 2007.</w:t>
      </w:r>
      <w:r w:rsidRPr="004A0692">
        <w:rPr>
          <w:noProof/>
          <w:lang w:val="en-US"/>
        </w:rPr>
        <w:t xml:space="preserve"> İstanbul: Türkiye Bankalar Birliği.</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noProof/>
          <w:lang w:val="en-US"/>
        </w:rPr>
        <w:t xml:space="preserve">BAT, The Bank Association of Turkey. (2009). </w:t>
      </w:r>
      <w:r w:rsidRPr="004A0692">
        <w:rPr>
          <w:iCs/>
          <w:noProof/>
          <w:lang w:val="en-US"/>
        </w:rPr>
        <w:t>Bankalarımız 2008.</w:t>
      </w:r>
      <w:r w:rsidRPr="004A0692">
        <w:rPr>
          <w:noProof/>
          <w:lang w:val="en-US"/>
        </w:rPr>
        <w:t xml:space="preserve"> İstanbul: Türkiye Bankalar Birliği.</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noProof/>
          <w:lang w:val="en-US"/>
        </w:rPr>
        <w:t xml:space="preserve">BAT, The Bank Association of Turkey. (2010). </w:t>
      </w:r>
      <w:r w:rsidRPr="004A0692">
        <w:rPr>
          <w:iCs/>
          <w:noProof/>
          <w:lang w:val="en-US"/>
        </w:rPr>
        <w:t>Bankalarımız 2009.</w:t>
      </w:r>
      <w:r w:rsidRPr="004A0692">
        <w:rPr>
          <w:noProof/>
          <w:lang w:val="en-US"/>
        </w:rPr>
        <w:t xml:space="preserve"> İst</w:t>
      </w:r>
      <w:r w:rsidRPr="004A0692">
        <w:rPr>
          <w:noProof/>
          <w:lang w:val="en-US"/>
        </w:rPr>
        <w:t>anbul: Türkiye Bankalar Birliği.</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noProof/>
          <w:lang w:val="en-US"/>
        </w:rPr>
        <w:t xml:space="preserve">BAT, The Bank Association of Turkey. (2011). </w:t>
      </w:r>
      <w:r w:rsidRPr="004A0692">
        <w:rPr>
          <w:iCs/>
          <w:noProof/>
          <w:lang w:val="en-US"/>
        </w:rPr>
        <w:t>Bankalarımız 2010.</w:t>
      </w:r>
      <w:r w:rsidRPr="004A0692">
        <w:rPr>
          <w:noProof/>
          <w:lang w:val="en-US"/>
        </w:rPr>
        <w:t xml:space="preserve"> İstanbul: Türkiye Bankalar Birliği.</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noProof/>
          <w:lang w:val="en-US"/>
        </w:rPr>
        <w:t xml:space="preserve">BAT, The Bank Association of Turkey. (2012). </w:t>
      </w:r>
      <w:r w:rsidRPr="004A0692">
        <w:rPr>
          <w:iCs/>
          <w:noProof/>
          <w:lang w:val="en-US"/>
        </w:rPr>
        <w:t>Bankalarımız 2011.</w:t>
      </w:r>
      <w:r w:rsidRPr="004A0692">
        <w:rPr>
          <w:noProof/>
          <w:lang w:val="en-US"/>
        </w:rPr>
        <w:t xml:space="preserve"> İstanbul: Türkiye Bankalar Birliği.</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noProof/>
          <w:lang w:val="en-US"/>
        </w:rPr>
        <w:t xml:space="preserve">BAT, The Bank Association of Turkey. (2013). </w:t>
      </w:r>
      <w:r w:rsidRPr="004A0692">
        <w:rPr>
          <w:iCs/>
          <w:noProof/>
          <w:lang w:val="en-US"/>
        </w:rPr>
        <w:t>2012 3.Quarter Information.</w:t>
      </w:r>
      <w:r w:rsidRPr="004A0692">
        <w:rPr>
          <w:noProof/>
          <w:lang w:val="en-US"/>
        </w:rPr>
        <w:t xml:space="preserve"> İstanbul: Türkiye Bnk. Birl.</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pPr>
      <w:hyperlink r:id="rId12" w:history="1">
        <w:r w:rsidRPr="004A0692">
          <w:rPr>
            <w:rStyle w:val="Kpr"/>
          </w:rPr>
          <w:t>http://www.tbb.org.tr/Dosyalar/istatistiki_raporlar/3_Aylik_Banka_Bilgileri_(Son_Donem_Karsilastirmali)_/1210/Ekler/Turkiye_Bankacilik_Sistemi-Eylul_2012.pdf</w:t>
        </w:r>
      </w:hyperlink>
    </w:p>
    <w:p w:rsidR="004A0692" w:rsidRPr="004A0692" w:rsidRDefault="004A0692" w:rsidP="004A0692">
      <w:pPr>
        <w:ind w:left="851" w:hanging="851"/>
        <w:jc w:val="both"/>
      </w:pPr>
    </w:p>
    <w:p w:rsidR="004A0692" w:rsidRPr="004A0692" w:rsidRDefault="004A0692" w:rsidP="004A0692">
      <w:pPr>
        <w:ind w:left="851" w:hanging="851"/>
        <w:jc w:val="both"/>
        <w:rPr>
          <w:noProof/>
          <w:lang w:val="en-US"/>
        </w:rPr>
      </w:pPr>
      <w:r w:rsidRPr="004A0692">
        <w:rPr>
          <w:noProof/>
          <w:lang w:val="en-US"/>
        </w:rPr>
        <w:t xml:space="preserve">Battal, A. (2007). </w:t>
      </w:r>
      <w:r w:rsidRPr="004A0692">
        <w:rPr>
          <w:iCs/>
          <w:noProof/>
          <w:lang w:val="en-US"/>
        </w:rPr>
        <w:t>Bankacılık Kanunu Şerhi</w:t>
      </w:r>
      <w:r w:rsidRPr="004A0692">
        <w:rPr>
          <w:noProof/>
          <w:lang w:val="en-US"/>
        </w:rPr>
        <w:t xml:space="preserve"> (2 ed.). Ankara: Seçkin Yayıncılık.</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noProof/>
          <w:lang w:val="en-US"/>
        </w:rPr>
        <w:t>Bilgin Tevfik(2011), The Head of the BRSA, Conferences on The Union of Participation Banks, İstanbul, 18.05.2011.</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noProof/>
          <w:lang w:val="en-US"/>
        </w:rPr>
        <w:t xml:space="preserve">Burton, M., Nasiba, R., &amp; Brown, B. (2009). </w:t>
      </w:r>
      <w:r w:rsidRPr="004A0692">
        <w:rPr>
          <w:iCs/>
          <w:noProof/>
          <w:lang w:val="en-US"/>
        </w:rPr>
        <w:t>An Introduction to Financial Markets and Institutions</w:t>
      </w:r>
      <w:r w:rsidRPr="004A0692">
        <w:rPr>
          <w:noProof/>
          <w:lang w:val="en-US"/>
        </w:rPr>
        <w:t xml:space="preserve"> (Second ed.). USA: M.E.Sharpe.</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noProof/>
          <w:lang w:val="en-US"/>
        </w:rPr>
        <w:t xml:space="preserve">Canbaş, S., &amp; Doğukanlı, H. (2007). </w:t>
      </w:r>
      <w:r w:rsidRPr="004A0692">
        <w:rPr>
          <w:iCs/>
          <w:noProof/>
          <w:lang w:val="en-US"/>
        </w:rPr>
        <w:t>Finansal Pazarlar-Finansal Kurumlar ve Sermaye Pazarı Analizleri</w:t>
      </w:r>
      <w:r w:rsidRPr="004A0692">
        <w:rPr>
          <w:noProof/>
          <w:lang w:val="en-US"/>
        </w:rPr>
        <w:t xml:space="preserve"> (4 ed.). Adana, Turkey: Karahan Kitabevi.</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noProof/>
          <w:lang w:val="en-US"/>
        </w:rPr>
        <w:t xml:space="preserve">Central Bank of Republic of Turkey, C. B. (2005). </w:t>
      </w:r>
      <w:r w:rsidRPr="004A0692">
        <w:rPr>
          <w:iCs/>
          <w:noProof/>
          <w:lang w:val="en-US"/>
        </w:rPr>
        <w:t>Türkiye Cumhuriyet Merkez Bankası, “Finansal İstikrar Raporu 2005”, Ankara; http://www.tcmb.gov.tr/yeni/evds/yayin/finist/bolumII.pdf, 28.06.2010.</w:t>
      </w:r>
      <w:r w:rsidRPr="004A0692">
        <w:rPr>
          <w:noProof/>
          <w:lang w:val="en-US"/>
        </w:rPr>
        <w:t xml:space="preserve"> Retrieved 6 28, 2010, from Central Bank of Republic of Turkey: </w:t>
      </w:r>
      <w:hyperlink r:id="rId13" w:history="1">
        <w:r w:rsidRPr="004A0692">
          <w:rPr>
            <w:rStyle w:val="Kpr"/>
            <w:noProof/>
            <w:lang w:val="en-US"/>
          </w:rPr>
          <w:t>http://www.tcmb.gov.tr/yeni/evds/yayin/finist/bolumII.pdf</w:t>
        </w:r>
      </w:hyperlink>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lang w:val="en-US" w:eastAsia="en-US"/>
        </w:rPr>
      </w:pPr>
      <w:r w:rsidRPr="004A0692">
        <w:rPr>
          <w:noProof/>
        </w:rPr>
        <w:t xml:space="preserve">Chong, B. S., &amp; Liu, M. H. (2009). Islamic banking: Interest-free or interest-based? </w:t>
      </w:r>
      <w:r w:rsidRPr="004A0692">
        <w:rPr>
          <w:iCs/>
          <w:noProof/>
        </w:rPr>
        <w:t>Pacific-Basin Finance Journal</w:t>
      </w:r>
      <w:r w:rsidRPr="004A0692">
        <w:rPr>
          <w:noProof/>
        </w:rPr>
        <w:t xml:space="preserve"> </w:t>
      </w:r>
      <w:r w:rsidRPr="004A0692">
        <w:rPr>
          <w:iCs/>
          <w:noProof/>
        </w:rPr>
        <w:t>, 17</w:t>
      </w:r>
      <w:r w:rsidRPr="004A0692">
        <w:rPr>
          <w:noProof/>
        </w:rPr>
        <w:t>, 125–144.</w:t>
      </w:r>
    </w:p>
    <w:p w:rsidR="004A0692" w:rsidRPr="004A0692" w:rsidRDefault="004A0692" w:rsidP="004A0692">
      <w:pPr>
        <w:ind w:left="851" w:hanging="851"/>
        <w:jc w:val="both"/>
        <w:rPr>
          <w:lang w:val="en-US" w:eastAsia="en-US"/>
        </w:rPr>
      </w:pPr>
    </w:p>
    <w:p w:rsidR="004A0692" w:rsidRPr="004A0692" w:rsidRDefault="004A0692" w:rsidP="004A0692">
      <w:pPr>
        <w:ind w:left="851" w:hanging="851"/>
        <w:jc w:val="both"/>
        <w:rPr>
          <w:lang w:val="en-US"/>
        </w:rPr>
      </w:pPr>
      <w:r w:rsidRPr="004A0692">
        <w:rPr>
          <w:noProof/>
        </w:rPr>
        <w:t xml:space="preserve">Küçükkocaoğlu, G. (2010, 6 28). </w:t>
      </w:r>
      <w:r w:rsidRPr="004A0692">
        <w:rPr>
          <w:iCs/>
          <w:noProof/>
        </w:rPr>
        <w:t>İslami Bankalar ve İslami Finans Kurumları.</w:t>
      </w:r>
      <w:r w:rsidRPr="004A0692">
        <w:rPr>
          <w:noProof/>
        </w:rPr>
        <w:t xml:space="preserve"> </w:t>
      </w:r>
      <w:r w:rsidRPr="004A0692">
        <w:rPr>
          <w:noProof/>
          <w:lang w:val="en-US"/>
        </w:rPr>
        <w:t xml:space="preserve">Retrieved from </w:t>
      </w:r>
      <w:hyperlink r:id="rId14" w:history="1">
        <w:r w:rsidRPr="004A0692">
          <w:rPr>
            <w:rStyle w:val="Kpr"/>
            <w:noProof/>
            <w:lang w:val="en-US"/>
          </w:rPr>
          <w:t>http://www.baskent.edu.tr/~gurayk/finpazcuma17.doc</w:t>
        </w:r>
      </w:hyperlink>
      <w:r w:rsidRPr="004A0692">
        <w:rPr>
          <w:lang w:val="en-US"/>
        </w:rPr>
        <w:t xml:space="preserve"> </w:t>
      </w:r>
    </w:p>
    <w:p w:rsidR="004A0692" w:rsidRPr="004A0692" w:rsidRDefault="004A0692" w:rsidP="004A0692">
      <w:pPr>
        <w:ind w:left="851" w:hanging="851"/>
        <w:jc w:val="both"/>
        <w:rPr>
          <w:lang w:val="en-US"/>
        </w:rPr>
      </w:pPr>
    </w:p>
    <w:p w:rsidR="004A0692" w:rsidRPr="004A0692" w:rsidRDefault="004A0692" w:rsidP="004A0692">
      <w:pPr>
        <w:ind w:left="851" w:hanging="851"/>
        <w:jc w:val="both"/>
        <w:rPr>
          <w:noProof/>
          <w:lang w:val="en-US"/>
        </w:rPr>
      </w:pPr>
      <w:r w:rsidRPr="004A0692">
        <w:rPr>
          <w:noProof/>
          <w:lang w:val="en-US"/>
        </w:rPr>
        <w:t xml:space="preserve">Malik, A., &amp; Malik, M. S. (2011). An Analysis of Islamic Banking and Finance in West From Lagging to Leading. </w:t>
      </w:r>
      <w:r w:rsidRPr="004A0692">
        <w:rPr>
          <w:iCs/>
          <w:noProof/>
          <w:lang w:val="en-US"/>
        </w:rPr>
        <w:t>Asian Social Science</w:t>
      </w:r>
      <w:r w:rsidRPr="004A0692">
        <w:rPr>
          <w:noProof/>
          <w:lang w:val="en-US"/>
        </w:rPr>
        <w:t xml:space="preserve"> </w:t>
      </w:r>
      <w:r w:rsidRPr="004A0692">
        <w:rPr>
          <w:iCs/>
          <w:noProof/>
          <w:lang w:val="en-US"/>
        </w:rPr>
        <w:t>, 7</w:t>
      </w:r>
      <w:r w:rsidRPr="004A0692">
        <w:rPr>
          <w:noProof/>
          <w:lang w:val="en-US"/>
        </w:rPr>
        <w:t xml:space="preserve"> (1), 179-186.</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noProof/>
          <w:lang w:val="en-US"/>
        </w:rPr>
        <w:t xml:space="preserve">Mishkin, F. S., &amp; Eakins, S. G. (2009). </w:t>
      </w:r>
      <w:r w:rsidRPr="004A0692">
        <w:rPr>
          <w:iCs/>
          <w:noProof/>
          <w:lang w:val="en-US"/>
        </w:rPr>
        <w:t>Financial Markets and Institutions</w:t>
      </w:r>
      <w:r w:rsidRPr="004A0692">
        <w:rPr>
          <w:noProof/>
          <w:lang w:val="en-US"/>
        </w:rPr>
        <w:t xml:space="preserve"> (Sixth ed.). Boston: Pearson Prentice Hall.</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noProof/>
          <w:lang w:val="en-US"/>
        </w:rPr>
        <w:t xml:space="preserve">Moles, P., &amp; Tery, N. (1999). </w:t>
      </w:r>
      <w:r w:rsidRPr="004A0692">
        <w:rPr>
          <w:iCs/>
          <w:noProof/>
          <w:lang w:val="en-US"/>
        </w:rPr>
        <w:t>The Handbook of International Financial Terms.</w:t>
      </w:r>
      <w:r w:rsidRPr="004A0692">
        <w:rPr>
          <w:noProof/>
          <w:lang w:val="en-US"/>
        </w:rPr>
        <w:t xml:space="preserve"> United Kingdom: Oxford University Press.</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pt-BR"/>
        </w:rPr>
      </w:pPr>
      <w:r w:rsidRPr="004A0692">
        <w:rPr>
          <w:noProof/>
          <w:lang w:val="en-US"/>
        </w:rPr>
        <w:t xml:space="preserve">Omar, M. W., &amp; Ali, M. N. (2010). Brand Loyalty and Relationship Marketing in Islamic Banking System. </w:t>
      </w:r>
      <w:r w:rsidRPr="004A0692">
        <w:rPr>
          <w:iCs/>
          <w:noProof/>
          <w:lang w:val="pt-BR"/>
        </w:rPr>
        <w:t>Canadian Social Science</w:t>
      </w:r>
      <w:r w:rsidRPr="004A0692">
        <w:rPr>
          <w:noProof/>
          <w:lang w:val="pt-BR"/>
        </w:rPr>
        <w:t xml:space="preserve"> </w:t>
      </w:r>
      <w:r w:rsidRPr="004A0692">
        <w:rPr>
          <w:iCs/>
          <w:noProof/>
          <w:lang w:val="pt-BR"/>
        </w:rPr>
        <w:t>, 6</w:t>
      </w:r>
      <w:r w:rsidRPr="004A0692">
        <w:rPr>
          <w:noProof/>
          <w:lang w:val="pt-BR"/>
        </w:rPr>
        <w:t xml:space="preserve"> (1), 25-32.</w:t>
      </w:r>
    </w:p>
    <w:p w:rsidR="004A0692" w:rsidRPr="004A0692" w:rsidRDefault="004A0692" w:rsidP="004A0692">
      <w:pPr>
        <w:ind w:left="851" w:hanging="851"/>
        <w:jc w:val="both"/>
        <w:rPr>
          <w:noProof/>
          <w:lang w:val="pt-BR"/>
        </w:rPr>
      </w:pPr>
    </w:p>
    <w:p w:rsidR="004A0692" w:rsidRPr="004A0692" w:rsidRDefault="004A0692" w:rsidP="004A0692">
      <w:pPr>
        <w:ind w:left="851" w:hanging="851"/>
        <w:jc w:val="both"/>
        <w:rPr>
          <w:noProof/>
          <w:lang w:val="en-US"/>
        </w:rPr>
      </w:pPr>
      <w:r w:rsidRPr="004A0692">
        <w:rPr>
          <w:noProof/>
          <w:lang w:val="pt-BR"/>
        </w:rPr>
        <w:t xml:space="preserve">Parasız, İ. (2009). </w:t>
      </w:r>
      <w:r w:rsidRPr="004A0692">
        <w:rPr>
          <w:iCs/>
          <w:noProof/>
          <w:lang w:val="pt-BR"/>
        </w:rPr>
        <w:t>Para Banka ve Finansal Piyasalar</w:t>
      </w:r>
      <w:r w:rsidRPr="004A0692">
        <w:rPr>
          <w:noProof/>
          <w:lang w:val="pt-BR"/>
        </w:rPr>
        <w:t xml:space="preserve"> (9 ed.). </w:t>
      </w:r>
      <w:r w:rsidRPr="004A0692">
        <w:rPr>
          <w:noProof/>
          <w:lang w:val="en-US"/>
        </w:rPr>
        <w:t>Bursa: Ezgi Kitabevi.</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noProof/>
          <w:lang w:val="en-US"/>
        </w:rPr>
        <w:lastRenderedPageBreak/>
        <w:t xml:space="preserve">PBAT, The Participation Banks Association of Turkey. (2010). </w:t>
      </w:r>
      <w:r w:rsidRPr="004A0692">
        <w:rPr>
          <w:iCs/>
          <w:noProof/>
          <w:lang w:val="en-US"/>
        </w:rPr>
        <w:t>Türkiye Katılım Bankaları Birliği</w:t>
      </w:r>
      <w:r w:rsidRPr="004A0692">
        <w:rPr>
          <w:noProof/>
          <w:lang w:val="en-US"/>
        </w:rPr>
        <w:t xml:space="preserve">. Retrieved 06 28, 2010, from Statistics: </w:t>
      </w:r>
      <w:hyperlink r:id="rId15" w:history="1">
        <w:r w:rsidRPr="004A0692">
          <w:rPr>
            <w:rStyle w:val="Kpr"/>
            <w:noProof/>
            <w:lang w:val="en-US"/>
          </w:rPr>
          <w:t>http://www.tkbb.org.tr/index.php?option=com_content&amp;task=blogsection&amp;id=30&amp;Itemid=382</w:t>
        </w:r>
      </w:hyperlink>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noProof/>
          <w:lang w:val="fr-FR"/>
        </w:rPr>
        <w:t xml:space="preserve">Rose, P. S., &amp; Marquis, M. H. (2009). </w:t>
      </w:r>
      <w:r w:rsidRPr="004A0692">
        <w:rPr>
          <w:iCs/>
          <w:noProof/>
          <w:lang w:val="en-US"/>
        </w:rPr>
        <w:t>Money and Capital Markets</w:t>
      </w:r>
      <w:r w:rsidRPr="004A0692">
        <w:rPr>
          <w:noProof/>
          <w:lang w:val="en-US"/>
        </w:rPr>
        <w:t xml:space="preserve"> (Tenth ed.). Singapore: Mc Graw Hill.</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noProof/>
          <w:lang w:val="en-US"/>
        </w:rPr>
        <w:t xml:space="preserve">Saunders, A., &amp; Cornett, M. M. (2004). </w:t>
      </w:r>
      <w:r w:rsidRPr="004A0692">
        <w:rPr>
          <w:iCs/>
          <w:noProof/>
          <w:lang w:val="en-US"/>
        </w:rPr>
        <w:t>Financial Markets and Institutions</w:t>
      </w:r>
      <w:r w:rsidRPr="004A0692">
        <w:rPr>
          <w:noProof/>
          <w:lang w:val="en-US"/>
        </w:rPr>
        <w:t xml:space="preserve"> (Fourth ed.). Sigapore: Mc Graw Hill.</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noProof/>
          <w:lang w:val="en-US"/>
        </w:rPr>
        <w:t>Sayım, F. &amp; Alakel, M. (2011). The Participation Banking And Its Comparison With Deposit Banking In The Turkish Finance Market, Scientific Journal European Integration Studies, Kaunas University Of Technology Institute Of Europe, No:5, 152-164 (*This study contains only 2007-2009 year in the sector.)</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iCs/>
          <w:noProof/>
          <w:lang w:val="en-US"/>
        </w:rPr>
        <w:t>The History of Kuveyt Türk</w:t>
      </w:r>
      <w:r w:rsidRPr="004A0692">
        <w:rPr>
          <w:noProof/>
          <w:lang w:val="en-US"/>
        </w:rPr>
        <w:t xml:space="preserve">. (2010). Retrieved 12 22, 2010, from Kuveyt Türk Participation Bank: </w:t>
      </w:r>
      <w:hyperlink r:id="rId16" w:history="1">
        <w:r w:rsidRPr="004A0692">
          <w:rPr>
            <w:rStyle w:val="Kpr"/>
            <w:noProof/>
            <w:lang w:val="en-US"/>
          </w:rPr>
          <w:t>http://www.kuveytturk.com.tr/tr/Hakkimizda_Tarihce.aspx</w:t>
        </w:r>
      </w:hyperlink>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noProof/>
          <w:lang w:val="en-US"/>
        </w:rPr>
      </w:pPr>
      <w:r w:rsidRPr="004A0692">
        <w:rPr>
          <w:noProof/>
          <w:lang w:val="en-US"/>
        </w:rPr>
        <w:t xml:space="preserve">The Participation Banks Association of Turkey, T. (2008). </w:t>
      </w:r>
      <w:r w:rsidRPr="004A0692">
        <w:rPr>
          <w:iCs/>
          <w:noProof/>
          <w:lang w:val="en-US"/>
        </w:rPr>
        <w:t>Türk Finans Sisteminde Katılım Bankaları.</w:t>
      </w:r>
      <w:r w:rsidRPr="004A0692">
        <w:rPr>
          <w:noProof/>
          <w:lang w:val="en-US"/>
        </w:rPr>
        <w:t xml:space="preserve"> Türkiye Katılım Bankaları Birliği.</w:t>
      </w:r>
    </w:p>
    <w:p w:rsidR="004A0692" w:rsidRPr="004A0692" w:rsidRDefault="004A0692" w:rsidP="004A0692">
      <w:pPr>
        <w:ind w:left="851" w:hanging="851"/>
        <w:jc w:val="both"/>
        <w:rPr>
          <w:noProof/>
          <w:lang w:val="en-US"/>
        </w:rPr>
      </w:pPr>
    </w:p>
    <w:p w:rsidR="004A0692" w:rsidRPr="004A0692" w:rsidRDefault="004A0692" w:rsidP="004A0692">
      <w:pPr>
        <w:ind w:left="851" w:hanging="851"/>
        <w:jc w:val="both"/>
        <w:rPr>
          <w:rStyle w:val="Kpr"/>
          <w:noProof/>
          <w:lang w:val="en-US"/>
        </w:rPr>
      </w:pPr>
      <w:r w:rsidRPr="004A0692">
        <w:rPr>
          <w:iCs/>
          <w:noProof/>
          <w:lang w:val="en-US"/>
        </w:rPr>
        <w:t>The Participation Banks Association of Turkey-FAQ</w:t>
      </w:r>
      <w:r w:rsidRPr="004A0692">
        <w:rPr>
          <w:noProof/>
          <w:lang w:val="en-US"/>
        </w:rPr>
        <w:t xml:space="preserve">. (2010, 12 28). Retrieved 2010, from The Participation Banks Association of Turkey: </w:t>
      </w:r>
      <w:hyperlink r:id="rId17" w:history="1">
        <w:r w:rsidRPr="004A0692">
          <w:rPr>
            <w:rStyle w:val="Kpr"/>
            <w:noProof/>
            <w:lang w:val="en-US"/>
          </w:rPr>
          <w:t>http://www.tkbb.org.tr/index.php?option=com_content&amp;task=blogcategory&amp;id=46&amp;Itemid=83</w:t>
        </w:r>
      </w:hyperlink>
    </w:p>
    <w:p w:rsidR="004A0692" w:rsidRPr="004A0692" w:rsidRDefault="004A0692" w:rsidP="004A0692">
      <w:pPr>
        <w:ind w:left="851" w:hanging="851"/>
        <w:jc w:val="both"/>
        <w:rPr>
          <w:rStyle w:val="Kpr"/>
          <w:noProof/>
          <w:lang w:val="en-US"/>
        </w:rPr>
      </w:pPr>
    </w:p>
    <w:p w:rsidR="004A0692" w:rsidRPr="004A0692" w:rsidRDefault="004A0692" w:rsidP="004A0692">
      <w:pPr>
        <w:ind w:left="851" w:hanging="851"/>
        <w:jc w:val="both"/>
        <w:rPr>
          <w:lang w:val="en-US" w:eastAsia="en-US"/>
        </w:rPr>
      </w:pPr>
      <w:r w:rsidRPr="004A0692">
        <w:rPr>
          <w:noProof/>
          <w:lang w:val="en-US"/>
        </w:rPr>
        <w:t>Yılmaz, O. N. (2010). Faizsiz Bankacılık İlkeleri ve Katılım Bankacılığı. Antalya, Turkey: Türkiye Katılım Bankaları Birliği.</w:t>
      </w:r>
    </w:p>
    <w:p w:rsidR="005C4FF0" w:rsidRPr="004A0692" w:rsidRDefault="005C4FF0" w:rsidP="004A0692">
      <w:pPr>
        <w:autoSpaceDE w:val="0"/>
        <w:autoSpaceDN w:val="0"/>
        <w:adjustRightInd w:val="0"/>
        <w:ind w:left="851" w:hanging="851"/>
        <w:jc w:val="both"/>
        <w:rPr>
          <w:noProof/>
          <w:lang w:val="en-US"/>
        </w:rPr>
      </w:pPr>
    </w:p>
    <w:sectPr w:rsidR="005C4FF0" w:rsidRPr="004A0692" w:rsidSect="00AA63F6">
      <w:headerReference w:type="default" r:id="rId18"/>
      <w:footerReference w:type="default" r:id="rId19"/>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C82" w:rsidRDefault="003C5C82" w:rsidP="00446838">
      <w:r>
        <w:separator/>
      </w:r>
    </w:p>
  </w:endnote>
  <w:endnote w:type="continuationSeparator" w:id="0">
    <w:p w:rsidR="003C5C82" w:rsidRDefault="003C5C82"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4A62F7" w:rsidRDefault="004A62F7">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4A62F7" w:rsidRDefault="004A62F7">
        <w:pPr>
          <w:pStyle w:val="Altbilgi"/>
          <w:jc w:val="center"/>
        </w:pPr>
        <w:r>
          <w:fldChar w:fldCharType="begin"/>
        </w:r>
        <w:r>
          <w:instrText xml:space="preserve"> PAGE    \* MERGEFORMAT </w:instrText>
        </w:r>
        <w:r>
          <w:fldChar w:fldCharType="separate"/>
        </w:r>
        <w:r w:rsidR="004A0692">
          <w:rPr>
            <w:noProof/>
          </w:rPr>
          <w:t>1</w:t>
        </w:r>
        <w:r>
          <w:rPr>
            <w:noProof/>
          </w:rPr>
          <w:fldChar w:fldCharType="end"/>
        </w:r>
      </w:p>
    </w:sdtContent>
  </w:sdt>
  <w:p w:rsidR="004A62F7" w:rsidRDefault="004A62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C82" w:rsidRDefault="003C5C82" w:rsidP="00446838">
      <w:r>
        <w:separator/>
      </w:r>
    </w:p>
  </w:footnote>
  <w:footnote w:type="continuationSeparator" w:id="0">
    <w:p w:rsidR="003C5C82" w:rsidRDefault="003C5C82" w:rsidP="00446838">
      <w:r>
        <w:continuationSeparator/>
      </w:r>
    </w:p>
  </w:footnote>
  <w:footnote w:id="1">
    <w:p w:rsidR="004A62F7" w:rsidRDefault="004A62F7" w:rsidP="001B3496">
      <w:pPr>
        <w:pStyle w:val="DipnotMetni"/>
      </w:pPr>
      <w:r>
        <w:rPr>
          <w:sz w:val="16"/>
          <w:szCs w:val="16"/>
        </w:rPr>
        <w:t>**</w:t>
      </w:r>
      <w:r w:rsidRPr="00B75780">
        <w:rPr>
          <w:sz w:val="16"/>
          <w:szCs w:val="16"/>
        </w:rPr>
        <w:t xml:space="preserve">Published in </w:t>
      </w:r>
      <w:proofErr w:type="spellStart"/>
      <w:r w:rsidRPr="00B75780">
        <w:rPr>
          <w:color w:val="auto"/>
          <w:sz w:val="16"/>
          <w:szCs w:val="16"/>
        </w:rPr>
        <w:t>Official</w:t>
      </w:r>
      <w:proofErr w:type="spellEnd"/>
      <w:r w:rsidRPr="00B75780">
        <w:rPr>
          <w:color w:val="auto"/>
          <w:sz w:val="16"/>
          <w:szCs w:val="16"/>
        </w:rPr>
        <w:t xml:space="preserve"> </w:t>
      </w:r>
      <w:proofErr w:type="spellStart"/>
      <w:r w:rsidRPr="00B75780">
        <w:rPr>
          <w:color w:val="auto"/>
          <w:sz w:val="16"/>
          <w:szCs w:val="16"/>
        </w:rPr>
        <w:t>Journal</w:t>
      </w:r>
      <w:proofErr w:type="spellEnd"/>
      <w:r w:rsidRPr="00B75780">
        <w:rPr>
          <w:color w:val="auto"/>
          <w:sz w:val="16"/>
          <w:szCs w:val="16"/>
        </w:rPr>
        <w:t xml:space="preserve"> </w:t>
      </w:r>
      <w:proofErr w:type="spellStart"/>
      <w:r w:rsidRPr="00B75780">
        <w:rPr>
          <w:color w:val="auto"/>
          <w:sz w:val="16"/>
          <w:szCs w:val="16"/>
        </w:rPr>
        <w:t>no</w:t>
      </w:r>
      <w:proofErr w:type="spellEnd"/>
      <w:r w:rsidRPr="00B75780">
        <w:rPr>
          <w:color w:val="auto"/>
          <w:sz w:val="16"/>
          <w:szCs w:val="16"/>
        </w:rPr>
        <w:t xml:space="preserve">. 26333. </w:t>
      </w:r>
      <w:r w:rsidRPr="00B75780">
        <w:rPr>
          <w:color w:val="auto"/>
          <w:sz w:val="16"/>
          <w:szCs w:val="16"/>
          <w:lang w:val="en-US"/>
        </w:rPr>
        <w:t xml:space="preserve">Banking Regulation and Supervision Agency (BRSA) / </w:t>
      </w:r>
      <w:proofErr w:type="spellStart"/>
      <w:r w:rsidRPr="00B75780">
        <w:rPr>
          <w:color w:val="auto"/>
          <w:sz w:val="16"/>
          <w:szCs w:val="16"/>
          <w:lang w:val="en-US"/>
        </w:rPr>
        <w:t>Bankacılık</w:t>
      </w:r>
      <w:proofErr w:type="spellEnd"/>
      <w:r w:rsidRPr="00B75780">
        <w:rPr>
          <w:color w:val="auto"/>
          <w:sz w:val="16"/>
          <w:szCs w:val="16"/>
          <w:lang w:val="en-US"/>
        </w:rPr>
        <w:t xml:space="preserve"> </w:t>
      </w:r>
      <w:proofErr w:type="spellStart"/>
      <w:r w:rsidRPr="00B75780">
        <w:rPr>
          <w:color w:val="auto"/>
          <w:sz w:val="16"/>
          <w:szCs w:val="16"/>
          <w:lang w:val="en-US"/>
        </w:rPr>
        <w:t>Düzenleme</w:t>
      </w:r>
      <w:proofErr w:type="spellEnd"/>
      <w:r w:rsidRPr="00B75780">
        <w:rPr>
          <w:color w:val="auto"/>
          <w:sz w:val="16"/>
          <w:szCs w:val="16"/>
          <w:lang w:val="en-US"/>
        </w:rPr>
        <w:t xml:space="preserve"> </w:t>
      </w:r>
      <w:proofErr w:type="spellStart"/>
      <w:r w:rsidRPr="00B75780">
        <w:rPr>
          <w:color w:val="auto"/>
          <w:sz w:val="16"/>
          <w:szCs w:val="16"/>
          <w:lang w:val="en-US"/>
        </w:rPr>
        <w:t>ve</w:t>
      </w:r>
      <w:proofErr w:type="spellEnd"/>
      <w:r w:rsidRPr="00B75780">
        <w:rPr>
          <w:color w:val="auto"/>
          <w:sz w:val="16"/>
          <w:szCs w:val="16"/>
          <w:lang w:val="en-US"/>
        </w:rPr>
        <w:t xml:space="preserve"> </w:t>
      </w:r>
      <w:proofErr w:type="spellStart"/>
      <w:r w:rsidRPr="00B75780">
        <w:rPr>
          <w:color w:val="auto"/>
          <w:sz w:val="16"/>
          <w:szCs w:val="16"/>
          <w:lang w:val="en-US"/>
        </w:rPr>
        <w:t>Denetleme</w:t>
      </w:r>
      <w:proofErr w:type="spellEnd"/>
      <w:r w:rsidRPr="00B75780">
        <w:rPr>
          <w:color w:val="auto"/>
          <w:sz w:val="16"/>
          <w:szCs w:val="16"/>
          <w:lang w:val="en-US"/>
        </w:rPr>
        <w:t xml:space="preserve"> </w:t>
      </w:r>
      <w:proofErr w:type="spellStart"/>
      <w:r w:rsidRPr="00B75780">
        <w:rPr>
          <w:color w:val="auto"/>
          <w:sz w:val="16"/>
          <w:szCs w:val="16"/>
          <w:lang w:val="en-US"/>
        </w:rPr>
        <w:t>Kurumu</w:t>
      </w:r>
      <w:proofErr w:type="spellEnd"/>
      <w:r w:rsidRPr="00B75780">
        <w:rPr>
          <w:color w:val="auto"/>
          <w:sz w:val="16"/>
          <w:szCs w:val="16"/>
          <w:lang w:val="en-US"/>
        </w:rPr>
        <w:t xml:space="preserve"> (BDDK), article 7, 2006</w:t>
      </w:r>
    </w:p>
  </w:footnote>
  <w:footnote w:id="2">
    <w:p w:rsidR="004A62F7" w:rsidRPr="00BC0AC8" w:rsidRDefault="004A62F7" w:rsidP="001B3496">
      <w:pPr>
        <w:pStyle w:val="DipnotMetni"/>
        <w:rPr>
          <w:lang w:val="en-US"/>
        </w:rPr>
      </w:pPr>
      <w:r w:rsidRPr="00BC0AC8">
        <w:rPr>
          <w:rStyle w:val="DipnotBavurusu"/>
          <w:lang w:val="en-US"/>
        </w:rPr>
        <w:t>*</w:t>
      </w:r>
      <w:r w:rsidRPr="00BC0AC8">
        <w:rPr>
          <w:lang w:val="en-US"/>
        </w:rPr>
        <w:t xml:space="preserve"> </w:t>
      </w:r>
      <w:proofErr w:type="gramStart"/>
      <w:r>
        <w:rPr>
          <w:lang w:val="en-US"/>
        </w:rPr>
        <w:t xml:space="preserve">This Figure </w:t>
      </w:r>
      <w:r w:rsidRPr="00BC0AC8">
        <w:rPr>
          <w:lang w:val="en-US"/>
        </w:rPr>
        <w:t>Strong Estimate.</w:t>
      </w:r>
      <w:proofErr w:type="gramEnd"/>
      <w:r w:rsidRPr="00BC0AC8">
        <w:rPr>
          <w:lang w:val="en-US"/>
        </w:rPr>
        <w:t xml:space="preserve"> Calculated via increase rate of 9/2011 and 9/2012 on 12/2011 figures. (Exact figures will publish in the middle of May by BAT)</w:t>
      </w:r>
    </w:p>
  </w:footnote>
  <w:footnote w:id="3">
    <w:p w:rsidR="004A62F7" w:rsidRDefault="004A62F7" w:rsidP="001B3496">
      <w:pPr>
        <w:pStyle w:val="DipnotMetni"/>
      </w:pPr>
      <w:r>
        <w:rPr>
          <w:rStyle w:val="DipnotBavurusu"/>
        </w:rPr>
        <w:t>**</w:t>
      </w:r>
      <w:r>
        <w:t xml:space="preserve"> </w:t>
      </w:r>
      <w:proofErr w:type="gramStart"/>
      <w:r>
        <w:rPr>
          <w:lang w:val="en-US"/>
        </w:rPr>
        <w:t>Very Strong Estimate.</w:t>
      </w:r>
      <w:proofErr w:type="gramEnd"/>
      <w:r>
        <w:rPr>
          <w:lang w:val="en-US"/>
        </w:rPr>
        <w:t xml:space="preserve"> Deposit Banks 2012 Exact Figures will </w:t>
      </w:r>
      <w:proofErr w:type="gramStart"/>
      <w:r>
        <w:rPr>
          <w:lang w:val="en-US"/>
        </w:rPr>
        <w:t>Publish</w:t>
      </w:r>
      <w:proofErr w:type="gramEnd"/>
      <w:r>
        <w:rPr>
          <w:lang w:val="en-US"/>
        </w:rPr>
        <w:t xml:space="preserve"> in the Middle of May by BAT. </w:t>
      </w:r>
      <w:proofErr w:type="gramStart"/>
      <w:r>
        <w:rPr>
          <w:lang w:val="en-US"/>
        </w:rPr>
        <w:t xml:space="preserve">This Figure </w:t>
      </w:r>
      <w:r w:rsidRPr="00BC0AC8">
        <w:rPr>
          <w:lang w:val="en-US"/>
        </w:rPr>
        <w:t>Calculated via increase rate of 9/2011 and 9/2012 on 12/2011 figu</w:t>
      </w:r>
      <w:r>
        <w:rPr>
          <w:lang w:val="en-US"/>
        </w:rPr>
        <w:t>res.</w:t>
      </w:r>
      <w:proofErr w:type="gramEnd"/>
    </w:p>
  </w:footnote>
  <w:footnote w:id="4">
    <w:p w:rsidR="004A62F7" w:rsidRPr="00BC0AC8" w:rsidRDefault="004A62F7" w:rsidP="001B3496">
      <w:pPr>
        <w:pStyle w:val="DipnotMetni"/>
        <w:rPr>
          <w:lang w:val="en-US"/>
        </w:rPr>
      </w:pPr>
      <w:r w:rsidRPr="00BC0AC8">
        <w:rPr>
          <w:rStyle w:val="DipnotBavurusu"/>
          <w:lang w:val="en-US"/>
        </w:rPr>
        <w:t>*</w:t>
      </w:r>
      <w:r w:rsidRPr="00BC0AC8">
        <w:rPr>
          <w:lang w:val="en-US"/>
        </w:rPr>
        <w:t xml:space="preserve"> </w:t>
      </w:r>
      <w:proofErr w:type="gramStart"/>
      <w:r>
        <w:rPr>
          <w:lang w:val="en-US"/>
        </w:rPr>
        <w:t xml:space="preserve">This Figure </w:t>
      </w:r>
      <w:r w:rsidRPr="00BC0AC8">
        <w:rPr>
          <w:lang w:val="en-US"/>
        </w:rPr>
        <w:t>Strong Estimate.</w:t>
      </w:r>
      <w:proofErr w:type="gramEnd"/>
      <w:r w:rsidRPr="00BC0AC8">
        <w:rPr>
          <w:lang w:val="en-US"/>
        </w:rPr>
        <w:t xml:space="preserve"> Calculated via increase rate of 9/2011 and 9/2012 on 12/2011 figures. (Exact figures will publish in the middle of May by BAT)</w:t>
      </w:r>
    </w:p>
  </w:footnote>
  <w:footnote w:id="5">
    <w:p w:rsidR="004A62F7" w:rsidRPr="00BC0AC8" w:rsidRDefault="004A62F7" w:rsidP="001B3496">
      <w:pPr>
        <w:pStyle w:val="DipnotMetni"/>
        <w:rPr>
          <w:lang w:val="en-US"/>
        </w:rPr>
      </w:pPr>
      <w:r w:rsidRPr="00BC0AC8">
        <w:rPr>
          <w:rStyle w:val="DipnotBavurusu"/>
          <w:lang w:val="en-US"/>
        </w:rPr>
        <w:t>*</w:t>
      </w:r>
      <w:r w:rsidRPr="00BC0AC8">
        <w:rPr>
          <w:lang w:val="en-US"/>
        </w:rPr>
        <w:t xml:space="preserve"> </w:t>
      </w:r>
      <w:proofErr w:type="gramStart"/>
      <w:r>
        <w:rPr>
          <w:lang w:val="en-US"/>
        </w:rPr>
        <w:t xml:space="preserve">This Figure </w:t>
      </w:r>
      <w:r w:rsidRPr="00BC0AC8">
        <w:rPr>
          <w:lang w:val="en-US"/>
        </w:rPr>
        <w:t>Strong Estimate.</w:t>
      </w:r>
      <w:proofErr w:type="gramEnd"/>
      <w:r w:rsidRPr="00BC0AC8">
        <w:rPr>
          <w:lang w:val="en-US"/>
        </w:rPr>
        <w:t xml:space="preserve"> Calculated via increase rate of 9/2011 and 9/2012 on 12/2011 figures. (Exact figures will publish in the middle of May by BAT)</w:t>
      </w:r>
    </w:p>
  </w:footnote>
  <w:footnote w:id="6">
    <w:p w:rsidR="004A62F7" w:rsidRDefault="004A62F7" w:rsidP="001B3496">
      <w:pPr>
        <w:pStyle w:val="DipnotMetni"/>
        <w:rPr>
          <w:lang w:val="en-US"/>
        </w:rPr>
      </w:pPr>
      <w:r w:rsidRPr="00BC0AC8">
        <w:rPr>
          <w:rStyle w:val="DipnotBavurusu"/>
          <w:lang w:val="en-US"/>
        </w:rPr>
        <w:t>*</w:t>
      </w:r>
      <w:r w:rsidRPr="00BC0AC8">
        <w:rPr>
          <w:lang w:val="en-US"/>
        </w:rPr>
        <w:t xml:space="preserve"> </w:t>
      </w:r>
      <w:proofErr w:type="gramStart"/>
      <w:r>
        <w:rPr>
          <w:lang w:val="en-US"/>
        </w:rPr>
        <w:t xml:space="preserve">This Figure </w:t>
      </w:r>
      <w:r w:rsidRPr="00BC0AC8">
        <w:rPr>
          <w:lang w:val="en-US"/>
        </w:rPr>
        <w:t>Strong Estimate.</w:t>
      </w:r>
      <w:proofErr w:type="gramEnd"/>
      <w:r w:rsidRPr="00BC0AC8">
        <w:rPr>
          <w:lang w:val="en-US"/>
        </w:rPr>
        <w:t xml:space="preserve"> Calculated via increase rate of 9/2011 and 9/2012 on 12/2011 figures. (Exact figures will publish in the middle of May by BAT)</w:t>
      </w:r>
    </w:p>
    <w:p w:rsidR="004A62F7" w:rsidRPr="00BC0AC8" w:rsidRDefault="004A62F7" w:rsidP="001B3496">
      <w:pPr>
        <w:pStyle w:val="DipnotMetni"/>
        <w:rPr>
          <w:lang w:val="en-US"/>
        </w:rPr>
      </w:pPr>
      <w:r>
        <w:rPr>
          <w:lang w:val="en-US"/>
        </w:rPr>
        <w:t xml:space="preserve">** Very Strong Estimate. Deposit Banks Exact Figures will </w:t>
      </w:r>
      <w:proofErr w:type="gramStart"/>
      <w:r>
        <w:rPr>
          <w:lang w:val="en-US"/>
        </w:rPr>
        <w:t>Publish</w:t>
      </w:r>
      <w:proofErr w:type="gramEnd"/>
      <w:r>
        <w:rPr>
          <w:lang w:val="en-US"/>
        </w:rPr>
        <w:t xml:space="preserve"> in the Middle of May.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2F7" w:rsidRPr="00EE1A90" w:rsidRDefault="004A62F7" w:rsidP="00EE1A90">
    <w:pPr>
      <w:jc w:val="center"/>
      <w:rPr>
        <w:i/>
        <w:sz w:val="18"/>
        <w:szCs w:val="18"/>
      </w:rPr>
    </w:pPr>
    <w:r w:rsidRPr="00EE1A90">
      <w:rPr>
        <w:i/>
        <w:sz w:val="18"/>
        <w:szCs w:val="18"/>
      </w:rPr>
      <w:t xml:space="preserve">International Conference on </w:t>
    </w:r>
    <w:proofErr w:type="spellStart"/>
    <w:r w:rsidRPr="00EE1A90">
      <w:rPr>
        <w:i/>
        <w:sz w:val="18"/>
        <w:szCs w:val="18"/>
      </w:rPr>
      <w:t>Economic</w:t>
    </w:r>
    <w:proofErr w:type="spellEnd"/>
    <w:r w:rsidRPr="00EE1A90">
      <w:rPr>
        <w:i/>
        <w:sz w:val="18"/>
        <w:szCs w:val="18"/>
      </w:rPr>
      <w:t xml:space="preserve"> </w:t>
    </w:r>
    <w:proofErr w:type="spellStart"/>
    <w:r w:rsidRPr="00EE1A90">
      <w:rPr>
        <w:i/>
        <w:sz w:val="18"/>
        <w:szCs w:val="18"/>
      </w:rPr>
      <w:t>and</w:t>
    </w:r>
    <w:proofErr w:type="spellEnd"/>
    <w:r w:rsidRPr="00EE1A90">
      <w:rPr>
        <w:i/>
        <w:sz w:val="18"/>
        <w:szCs w:val="18"/>
      </w:rPr>
      <w:t xml:space="preserve"> </w:t>
    </w:r>
    <w:proofErr w:type="spellStart"/>
    <w:r w:rsidRPr="00EE1A90">
      <w:rPr>
        <w:i/>
        <w:sz w:val="18"/>
        <w:szCs w:val="18"/>
      </w:rPr>
      <w:t>Social</w:t>
    </w:r>
    <w:proofErr w:type="spellEnd"/>
    <w:r w:rsidRPr="00EE1A90">
      <w:rPr>
        <w:i/>
        <w:sz w:val="18"/>
        <w:szCs w:val="18"/>
      </w:rPr>
      <w:t xml:space="preserve"> </w:t>
    </w:r>
    <w:proofErr w:type="spellStart"/>
    <w:r w:rsidRPr="00EE1A90">
      <w:rPr>
        <w:i/>
        <w:sz w:val="18"/>
        <w:szCs w:val="18"/>
      </w:rPr>
      <w:t>Studies</w:t>
    </w:r>
    <w:proofErr w:type="spellEnd"/>
    <w:r>
      <w:rPr>
        <w:i/>
        <w:sz w:val="18"/>
        <w:szCs w:val="18"/>
      </w:rPr>
      <w:t xml:space="preserve"> (ICESoS’13)</w:t>
    </w:r>
    <w:r w:rsidRPr="00EE1A90">
      <w:rPr>
        <w:i/>
        <w:sz w:val="18"/>
        <w:szCs w:val="18"/>
      </w:rPr>
      <w:t xml:space="preserve">, 10-11 May, 2013,  </w:t>
    </w:r>
    <w:proofErr w:type="spellStart"/>
    <w:r w:rsidRPr="00EE1A90">
      <w:rPr>
        <w:i/>
        <w:sz w:val="18"/>
        <w:szCs w:val="18"/>
      </w:rPr>
      <w:t>Sarajevo</w:t>
    </w:r>
    <w:proofErr w:type="spellEnd"/>
  </w:p>
  <w:p w:rsidR="004A62F7" w:rsidRPr="00EE1A90" w:rsidRDefault="004A62F7" w:rsidP="00EE1A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8A7"/>
    <w:multiLevelType w:val="multilevel"/>
    <w:tmpl w:val="9544E7C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94F3CBA"/>
    <w:multiLevelType w:val="hybridMultilevel"/>
    <w:tmpl w:val="EA7403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4E2FE8"/>
    <w:multiLevelType w:val="multilevel"/>
    <w:tmpl w:val="7E50260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F7A600A"/>
    <w:multiLevelType w:val="multilevel"/>
    <w:tmpl w:val="0E0C357C"/>
    <w:lvl w:ilvl="0">
      <w:start w:val="1"/>
      <w:numFmt w:val="decimal"/>
      <w:lvlText w:val="%1"/>
      <w:lvlJc w:val="left"/>
      <w:pPr>
        <w:tabs>
          <w:tab w:val="num" w:pos="-135"/>
        </w:tabs>
        <w:ind w:left="-135" w:hanging="432"/>
      </w:pPr>
      <w:rPr>
        <w:rFonts w:cs="Times New Roman" w:hint="default"/>
      </w:rPr>
    </w:lvl>
    <w:lvl w:ilvl="1">
      <w:start w:val="1"/>
      <w:numFmt w:val="decimal"/>
      <w:lvlText w:val="%1.%2"/>
      <w:lvlJc w:val="left"/>
      <w:pPr>
        <w:tabs>
          <w:tab w:val="num" w:pos="0"/>
        </w:tabs>
        <w:ind w:left="-283" w:firstLine="850"/>
      </w:pPr>
      <w:rPr>
        <w:rFonts w:cs="Times New Roman" w:hint="default"/>
      </w:rPr>
    </w:lvl>
    <w:lvl w:ilvl="2">
      <w:start w:val="1"/>
      <w:numFmt w:val="decimal"/>
      <w:lvlText w:val="%1.%2.%3"/>
      <w:lvlJc w:val="left"/>
      <w:pPr>
        <w:tabs>
          <w:tab w:val="num" w:pos="153"/>
        </w:tabs>
        <w:ind w:left="153" w:hanging="720"/>
      </w:pPr>
      <w:rPr>
        <w:rFonts w:cs="Times New Roman"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4">
    <w:nsid w:val="14E82AAB"/>
    <w:multiLevelType w:val="hybridMultilevel"/>
    <w:tmpl w:val="462EC166"/>
    <w:lvl w:ilvl="0" w:tplc="041F000F">
      <w:start w:val="1"/>
      <w:numFmt w:val="decimal"/>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5">
    <w:nsid w:val="1D3947EC"/>
    <w:multiLevelType w:val="hybridMultilevel"/>
    <w:tmpl w:val="D70A40F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294D3675"/>
    <w:multiLevelType w:val="hybridMultilevel"/>
    <w:tmpl w:val="B178CB44"/>
    <w:lvl w:ilvl="0" w:tplc="227AF654">
      <w:start w:val="1"/>
      <w:numFmt w:val="bullet"/>
      <w:lvlText w:val=""/>
      <w:lvlJc w:val="left"/>
      <w:pPr>
        <w:ind w:left="720" w:hanging="360"/>
      </w:pPr>
      <w:rPr>
        <w:rFonts w:ascii="Wingdings" w:hAnsi="Wingdings" w:hint="default"/>
      </w:rPr>
    </w:lvl>
    <w:lvl w:ilvl="1" w:tplc="BF885C8A" w:tentative="1">
      <w:start w:val="1"/>
      <w:numFmt w:val="bullet"/>
      <w:lvlText w:val="o"/>
      <w:lvlJc w:val="left"/>
      <w:pPr>
        <w:ind w:left="1440" w:hanging="360"/>
      </w:pPr>
      <w:rPr>
        <w:rFonts w:ascii="Courier New" w:hAnsi="Courier New" w:hint="default"/>
      </w:rPr>
    </w:lvl>
    <w:lvl w:ilvl="2" w:tplc="739C9970" w:tentative="1">
      <w:start w:val="1"/>
      <w:numFmt w:val="bullet"/>
      <w:lvlText w:val=""/>
      <w:lvlJc w:val="left"/>
      <w:pPr>
        <w:ind w:left="2160" w:hanging="360"/>
      </w:pPr>
      <w:rPr>
        <w:rFonts w:ascii="Wingdings" w:hAnsi="Wingdings" w:hint="default"/>
      </w:rPr>
    </w:lvl>
    <w:lvl w:ilvl="3" w:tplc="FA7E5374" w:tentative="1">
      <w:start w:val="1"/>
      <w:numFmt w:val="bullet"/>
      <w:lvlText w:val=""/>
      <w:lvlJc w:val="left"/>
      <w:pPr>
        <w:ind w:left="2880" w:hanging="360"/>
      </w:pPr>
      <w:rPr>
        <w:rFonts w:ascii="Symbol" w:hAnsi="Symbol" w:hint="default"/>
      </w:rPr>
    </w:lvl>
    <w:lvl w:ilvl="4" w:tplc="E01ACA0A" w:tentative="1">
      <w:start w:val="1"/>
      <w:numFmt w:val="bullet"/>
      <w:lvlText w:val="o"/>
      <w:lvlJc w:val="left"/>
      <w:pPr>
        <w:ind w:left="3600" w:hanging="360"/>
      </w:pPr>
      <w:rPr>
        <w:rFonts w:ascii="Courier New" w:hAnsi="Courier New" w:hint="default"/>
      </w:rPr>
    </w:lvl>
    <w:lvl w:ilvl="5" w:tplc="691CE04C" w:tentative="1">
      <w:start w:val="1"/>
      <w:numFmt w:val="bullet"/>
      <w:lvlText w:val=""/>
      <w:lvlJc w:val="left"/>
      <w:pPr>
        <w:ind w:left="4320" w:hanging="360"/>
      </w:pPr>
      <w:rPr>
        <w:rFonts w:ascii="Wingdings" w:hAnsi="Wingdings" w:hint="default"/>
      </w:rPr>
    </w:lvl>
    <w:lvl w:ilvl="6" w:tplc="5BC02804" w:tentative="1">
      <w:start w:val="1"/>
      <w:numFmt w:val="bullet"/>
      <w:lvlText w:val=""/>
      <w:lvlJc w:val="left"/>
      <w:pPr>
        <w:ind w:left="5040" w:hanging="360"/>
      </w:pPr>
      <w:rPr>
        <w:rFonts w:ascii="Symbol" w:hAnsi="Symbol" w:hint="default"/>
      </w:rPr>
    </w:lvl>
    <w:lvl w:ilvl="7" w:tplc="8CA05B20" w:tentative="1">
      <w:start w:val="1"/>
      <w:numFmt w:val="bullet"/>
      <w:lvlText w:val="o"/>
      <w:lvlJc w:val="left"/>
      <w:pPr>
        <w:ind w:left="5760" w:hanging="360"/>
      </w:pPr>
      <w:rPr>
        <w:rFonts w:ascii="Courier New" w:hAnsi="Courier New" w:hint="default"/>
      </w:rPr>
    </w:lvl>
    <w:lvl w:ilvl="8" w:tplc="39246D1A" w:tentative="1">
      <w:start w:val="1"/>
      <w:numFmt w:val="bullet"/>
      <w:lvlText w:val=""/>
      <w:lvlJc w:val="left"/>
      <w:pPr>
        <w:ind w:left="6480" w:hanging="360"/>
      </w:pPr>
      <w:rPr>
        <w:rFonts w:ascii="Wingdings" w:hAnsi="Wingdings" w:hint="default"/>
      </w:rPr>
    </w:lvl>
  </w:abstractNum>
  <w:abstractNum w:abstractNumId="7">
    <w:nsid w:val="30446271"/>
    <w:multiLevelType w:val="hybridMultilevel"/>
    <w:tmpl w:val="29A2B0C4"/>
    <w:lvl w:ilvl="0" w:tplc="AAC48D60">
      <w:start w:val="1"/>
      <w:numFmt w:val="lowerRoman"/>
      <w:pStyle w:val="Balk3"/>
      <w:lvlText w:val="%1."/>
      <w:lvlJc w:val="righ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33E92B0F"/>
    <w:multiLevelType w:val="hybridMultilevel"/>
    <w:tmpl w:val="586A4400"/>
    <w:lvl w:ilvl="0" w:tplc="766CA390">
      <w:start w:val="1"/>
      <w:numFmt w:val="bullet"/>
      <w:lvlText w:val=""/>
      <w:lvlJc w:val="left"/>
      <w:pPr>
        <w:ind w:left="360" w:hanging="360"/>
      </w:pPr>
      <w:rPr>
        <w:rFonts w:ascii="Wingdings" w:hAnsi="Wingdings" w:hint="default"/>
      </w:rPr>
    </w:lvl>
    <w:lvl w:ilvl="1" w:tplc="677461D6" w:tentative="1">
      <w:start w:val="1"/>
      <w:numFmt w:val="bullet"/>
      <w:lvlText w:val="o"/>
      <w:lvlJc w:val="left"/>
      <w:pPr>
        <w:ind w:left="1080" w:hanging="360"/>
      </w:pPr>
      <w:rPr>
        <w:rFonts w:ascii="Courier New" w:hAnsi="Courier New" w:hint="default"/>
      </w:rPr>
    </w:lvl>
    <w:lvl w:ilvl="2" w:tplc="C8BC7C44" w:tentative="1">
      <w:start w:val="1"/>
      <w:numFmt w:val="bullet"/>
      <w:lvlText w:val=""/>
      <w:lvlJc w:val="left"/>
      <w:pPr>
        <w:ind w:left="1800" w:hanging="360"/>
      </w:pPr>
      <w:rPr>
        <w:rFonts w:ascii="Wingdings" w:hAnsi="Wingdings" w:hint="default"/>
      </w:rPr>
    </w:lvl>
    <w:lvl w:ilvl="3" w:tplc="9B3CC1EC" w:tentative="1">
      <w:start w:val="1"/>
      <w:numFmt w:val="bullet"/>
      <w:lvlText w:val=""/>
      <w:lvlJc w:val="left"/>
      <w:pPr>
        <w:ind w:left="2520" w:hanging="360"/>
      </w:pPr>
      <w:rPr>
        <w:rFonts w:ascii="Symbol" w:hAnsi="Symbol" w:hint="default"/>
      </w:rPr>
    </w:lvl>
    <w:lvl w:ilvl="4" w:tplc="1420945C" w:tentative="1">
      <w:start w:val="1"/>
      <w:numFmt w:val="bullet"/>
      <w:lvlText w:val="o"/>
      <w:lvlJc w:val="left"/>
      <w:pPr>
        <w:ind w:left="3240" w:hanging="360"/>
      </w:pPr>
      <w:rPr>
        <w:rFonts w:ascii="Courier New" w:hAnsi="Courier New" w:hint="default"/>
      </w:rPr>
    </w:lvl>
    <w:lvl w:ilvl="5" w:tplc="13A6309E" w:tentative="1">
      <w:start w:val="1"/>
      <w:numFmt w:val="bullet"/>
      <w:lvlText w:val=""/>
      <w:lvlJc w:val="left"/>
      <w:pPr>
        <w:ind w:left="3960" w:hanging="360"/>
      </w:pPr>
      <w:rPr>
        <w:rFonts w:ascii="Wingdings" w:hAnsi="Wingdings" w:hint="default"/>
      </w:rPr>
    </w:lvl>
    <w:lvl w:ilvl="6" w:tplc="68D07528" w:tentative="1">
      <w:start w:val="1"/>
      <w:numFmt w:val="bullet"/>
      <w:lvlText w:val=""/>
      <w:lvlJc w:val="left"/>
      <w:pPr>
        <w:ind w:left="4680" w:hanging="360"/>
      </w:pPr>
      <w:rPr>
        <w:rFonts w:ascii="Symbol" w:hAnsi="Symbol" w:hint="default"/>
      </w:rPr>
    </w:lvl>
    <w:lvl w:ilvl="7" w:tplc="F10867D8" w:tentative="1">
      <w:start w:val="1"/>
      <w:numFmt w:val="bullet"/>
      <w:lvlText w:val="o"/>
      <w:lvlJc w:val="left"/>
      <w:pPr>
        <w:ind w:left="5400" w:hanging="360"/>
      </w:pPr>
      <w:rPr>
        <w:rFonts w:ascii="Courier New" w:hAnsi="Courier New" w:hint="default"/>
      </w:rPr>
    </w:lvl>
    <w:lvl w:ilvl="8" w:tplc="20EA17D8" w:tentative="1">
      <w:start w:val="1"/>
      <w:numFmt w:val="bullet"/>
      <w:lvlText w:val=""/>
      <w:lvlJc w:val="left"/>
      <w:pPr>
        <w:ind w:left="6120" w:hanging="360"/>
      </w:pPr>
      <w:rPr>
        <w:rFonts w:ascii="Wingdings" w:hAnsi="Wingdings" w:hint="default"/>
      </w:rPr>
    </w:lvl>
  </w:abstractNum>
  <w:abstractNum w:abstractNumId="9">
    <w:nsid w:val="3DE52FB4"/>
    <w:multiLevelType w:val="hybridMultilevel"/>
    <w:tmpl w:val="6C40344E"/>
    <w:lvl w:ilvl="0" w:tplc="4DDED4F6">
      <w:start w:val="1"/>
      <w:numFmt w:val="bullet"/>
      <w:lvlText w:val=""/>
      <w:lvlJc w:val="left"/>
      <w:pPr>
        <w:tabs>
          <w:tab w:val="num" w:pos="720"/>
        </w:tabs>
        <w:ind w:left="720" w:hanging="360"/>
      </w:pPr>
      <w:rPr>
        <w:rFonts w:ascii="Wingdings" w:hAnsi="Wingdings" w:hint="default"/>
      </w:rPr>
    </w:lvl>
    <w:lvl w:ilvl="1" w:tplc="927894C4">
      <w:start w:val="1"/>
      <w:numFmt w:val="bullet"/>
      <w:lvlText w:val="o"/>
      <w:lvlJc w:val="left"/>
      <w:pPr>
        <w:tabs>
          <w:tab w:val="num" w:pos="1440"/>
        </w:tabs>
        <w:ind w:left="1440" w:hanging="360"/>
      </w:pPr>
      <w:rPr>
        <w:rFonts w:ascii="Courier New" w:hAnsi="Courier New" w:hint="default"/>
      </w:rPr>
    </w:lvl>
    <w:lvl w:ilvl="2" w:tplc="CF5A599C" w:tentative="1">
      <w:start w:val="1"/>
      <w:numFmt w:val="bullet"/>
      <w:lvlText w:val=""/>
      <w:lvlJc w:val="left"/>
      <w:pPr>
        <w:tabs>
          <w:tab w:val="num" w:pos="2160"/>
        </w:tabs>
        <w:ind w:left="2160" w:hanging="360"/>
      </w:pPr>
      <w:rPr>
        <w:rFonts w:ascii="Wingdings" w:hAnsi="Wingdings" w:hint="default"/>
      </w:rPr>
    </w:lvl>
    <w:lvl w:ilvl="3" w:tplc="360E465A" w:tentative="1">
      <w:start w:val="1"/>
      <w:numFmt w:val="bullet"/>
      <w:lvlText w:val=""/>
      <w:lvlJc w:val="left"/>
      <w:pPr>
        <w:tabs>
          <w:tab w:val="num" w:pos="2880"/>
        </w:tabs>
        <w:ind w:left="2880" w:hanging="360"/>
      </w:pPr>
      <w:rPr>
        <w:rFonts w:ascii="Symbol" w:hAnsi="Symbol" w:hint="default"/>
      </w:rPr>
    </w:lvl>
    <w:lvl w:ilvl="4" w:tplc="3B28BF44" w:tentative="1">
      <w:start w:val="1"/>
      <w:numFmt w:val="bullet"/>
      <w:lvlText w:val="o"/>
      <w:lvlJc w:val="left"/>
      <w:pPr>
        <w:tabs>
          <w:tab w:val="num" w:pos="3600"/>
        </w:tabs>
        <w:ind w:left="3600" w:hanging="360"/>
      </w:pPr>
      <w:rPr>
        <w:rFonts w:ascii="Courier New" w:hAnsi="Courier New" w:hint="default"/>
      </w:rPr>
    </w:lvl>
    <w:lvl w:ilvl="5" w:tplc="4EC083D8" w:tentative="1">
      <w:start w:val="1"/>
      <w:numFmt w:val="bullet"/>
      <w:lvlText w:val=""/>
      <w:lvlJc w:val="left"/>
      <w:pPr>
        <w:tabs>
          <w:tab w:val="num" w:pos="4320"/>
        </w:tabs>
        <w:ind w:left="4320" w:hanging="360"/>
      </w:pPr>
      <w:rPr>
        <w:rFonts w:ascii="Wingdings" w:hAnsi="Wingdings" w:hint="default"/>
      </w:rPr>
    </w:lvl>
    <w:lvl w:ilvl="6" w:tplc="899CCD2E" w:tentative="1">
      <w:start w:val="1"/>
      <w:numFmt w:val="bullet"/>
      <w:lvlText w:val=""/>
      <w:lvlJc w:val="left"/>
      <w:pPr>
        <w:tabs>
          <w:tab w:val="num" w:pos="5040"/>
        </w:tabs>
        <w:ind w:left="5040" w:hanging="360"/>
      </w:pPr>
      <w:rPr>
        <w:rFonts w:ascii="Symbol" w:hAnsi="Symbol" w:hint="default"/>
      </w:rPr>
    </w:lvl>
    <w:lvl w:ilvl="7" w:tplc="E0FCDC58" w:tentative="1">
      <w:start w:val="1"/>
      <w:numFmt w:val="bullet"/>
      <w:lvlText w:val="o"/>
      <w:lvlJc w:val="left"/>
      <w:pPr>
        <w:tabs>
          <w:tab w:val="num" w:pos="5760"/>
        </w:tabs>
        <w:ind w:left="5760" w:hanging="360"/>
      </w:pPr>
      <w:rPr>
        <w:rFonts w:ascii="Courier New" w:hAnsi="Courier New" w:hint="default"/>
      </w:rPr>
    </w:lvl>
    <w:lvl w:ilvl="8" w:tplc="DB76E4E4" w:tentative="1">
      <w:start w:val="1"/>
      <w:numFmt w:val="bullet"/>
      <w:lvlText w:val=""/>
      <w:lvlJc w:val="left"/>
      <w:pPr>
        <w:tabs>
          <w:tab w:val="num" w:pos="6480"/>
        </w:tabs>
        <w:ind w:left="6480" w:hanging="360"/>
      </w:pPr>
      <w:rPr>
        <w:rFonts w:ascii="Wingdings" w:hAnsi="Wingdings" w:hint="default"/>
      </w:rPr>
    </w:lvl>
  </w:abstractNum>
  <w:abstractNum w:abstractNumId="10">
    <w:nsid w:val="45B90588"/>
    <w:multiLevelType w:val="hybridMultilevel"/>
    <w:tmpl w:val="146007A0"/>
    <w:lvl w:ilvl="0" w:tplc="A5760E46">
      <w:start w:val="1"/>
      <w:numFmt w:val="lowerLetter"/>
      <w:pStyle w:val="Balk2"/>
      <w:lvlText w:val="%1)"/>
      <w:lvlJc w:val="left"/>
      <w:pPr>
        <w:ind w:left="1287" w:hanging="360"/>
      </w:pPr>
      <w:rPr>
        <w:rFonts w:cs="Times New Roman" w:hint="default"/>
      </w:rPr>
    </w:lvl>
    <w:lvl w:ilvl="1" w:tplc="041F0019">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1">
    <w:nsid w:val="47887673"/>
    <w:multiLevelType w:val="hybridMultilevel"/>
    <w:tmpl w:val="D3B8ECDA"/>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nsid w:val="47A9575D"/>
    <w:multiLevelType w:val="hybridMultilevel"/>
    <w:tmpl w:val="4A225F7A"/>
    <w:lvl w:ilvl="0" w:tplc="356010A0">
      <w:start w:val="1"/>
      <w:numFmt w:val="lowerLetter"/>
      <w:lvlText w:val="%1)"/>
      <w:lvlJc w:val="left"/>
      <w:pPr>
        <w:ind w:left="1287" w:hanging="360"/>
      </w:pPr>
      <w:rPr>
        <w:rFonts w:cs="Times New Roman"/>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3">
    <w:nsid w:val="4C06466A"/>
    <w:multiLevelType w:val="hybridMultilevel"/>
    <w:tmpl w:val="0B7631F6"/>
    <w:lvl w:ilvl="0" w:tplc="F3688D52">
      <w:start w:val="1"/>
      <w:numFmt w:val="bullet"/>
      <w:lvlText w:val=""/>
      <w:lvlJc w:val="left"/>
      <w:pPr>
        <w:ind w:left="360" w:hanging="360"/>
      </w:pPr>
      <w:rPr>
        <w:rFonts w:ascii="Wingdings" w:hAnsi="Wingdings" w:hint="default"/>
      </w:rPr>
    </w:lvl>
    <w:lvl w:ilvl="1" w:tplc="2A4036D2" w:tentative="1">
      <w:start w:val="1"/>
      <w:numFmt w:val="bullet"/>
      <w:lvlText w:val="o"/>
      <w:lvlJc w:val="left"/>
      <w:pPr>
        <w:ind w:left="1080" w:hanging="360"/>
      </w:pPr>
      <w:rPr>
        <w:rFonts w:ascii="Courier New" w:hAnsi="Courier New" w:hint="default"/>
      </w:rPr>
    </w:lvl>
    <w:lvl w:ilvl="2" w:tplc="6218A3FC" w:tentative="1">
      <w:start w:val="1"/>
      <w:numFmt w:val="bullet"/>
      <w:lvlText w:val=""/>
      <w:lvlJc w:val="left"/>
      <w:pPr>
        <w:ind w:left="1800" w:hanging="360"/>
      </w:pPr>
      <w:rPr>
        <w:rFonts w:ascii="Wingdings" w:hAnsi="Wingdings" w:hint="default"/>
      </w:rPr>
    </w:lvl>
    <w:lvl w:ilvl="3" w:tplc="7AD2554C" w:tentative="1">
      <w:start w:val="1"/>
      <w:numFmt w:val="bullet"/>
      <w:lvlText w:val=""/>
      <w:lvlJc w:val="left"/>
      <w:pPr>
        <w:ind w:left="2520" w:hanging="360"/>
      </w:pPr>
      <w:rPr>
        <w:rFonts w:ascii="Symbol" w:hAnsi="Symbol" w:hint="default"/>
      </w:rPr>
    </w:lvl>
    <w:lvl w:ilvl="4" w:tplc="95D0BD0C" w:tentative="1">
      <w:start w:val="1"/>
      <w:numFmt w:val="bullet"/>
      <w:lvlText w:val="o"/>
      <w:lvlJc w:val="left"/>
      <w:pPr>
        <w:ind w:left="3240" w:hanging="360"/>
      </w:pPr>
      <w:rPr>
        <w:rFonts w:ascii="Courier New" w:hAnsi="Courier New" w:hint="default"/>
      </w:rPr>
    </w:lvl>
    <w:lvl w:ilvl="5" w:tplc="EA7E89A2" w:tentative="1">
      <w:start w:val="1"/>
      <w:numFmt w:val="bullet"/>
      <w:lvlText w:val=""/>
      <w:lvlJc w:val="left"/>
      <w:pPr>
        <w:ind w:left="3960" w:hanging="360"/>
      </w:pPr>
      <w:rPr>
        <w:rFonts w:ascii="Wingdings" w:hAnsi="Wingdings" w:hint="default"/>
      </w:rPr>
    </w:lvl>
    <w:lvl w:ilvl="6" w:tplc="B672B68E" w:tentative="1">
      <w:start w:val="1"/>
      <w:numFmt w:val="bullet"/>
      <w:lvlText w:val=""/>
      <w:lvlJc w:val="left"/>
      <w:pPr>
        <w:ind w:left="4680" w:hanging="360"/>
      </w:pPr>
      <w:rPr>
        <w:rFonts w:ascii="Symbol" w:hAnsi="Symbol" w:hint="default"/>
      </w:rPr>
    </w:lvl>
    <w:lvl w:ilvl="7" w:tplc="ED465B6C" w:tentative="1">
      <w:start w:val="1"/>
      <w:numFmt w:val="bullet"/>
      <w:lvlText w:val="o"/>
      <w:lvlJc w:val="left"/>
      <w:pPr>
        <w:ind w:left="5400" w:hanging="360"/>
      </w:pPr>
      <w:rPr>
        <w:rFonts w:ascii="Courier New" w:hAnsi="Courier New" w:hint="default"/>
      </w:rPr>
    </w:lvl>
    <w:lvl w:ilvl="8" w:tplc="C722F346" w:tentative="1">
      <w:start w:val="1"/>
      <w:numFmt w:val="bullet"/>
      <w:lvlText w:val=""/>
      <w:lvlJc w:val="left"/>
      <w:pPr>
        <w:ind w:left="6120" w:hanging="360"/>
      </w:pPr>
      <w:rPr>
        <w:rFonts w:ascii="Wingdings" w:hAnsi="Wingdings" w:hint="default"/>
      </w:rPr>
    </w:lvl>
  </w:abstractNum>
  <w:abstractNum w:abstractNumId="14">
    <w:nsid w:val="4E34654F"/>
    <w:multiLevelType w:val="hybridMultilevel"/>
    <w:tmpl w:val="CC520868"/>
    <w:lvl w:ilvl="0" w:tplc="C5AAC53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513353A8"/>
    <w:multiLevelType w:val="hybridMultilevel"/>
    <w:tmpl w:val="646A9C4E"/>
    <w:lvl w:ilvl="0" w:tplc="0972B5AA">
      <w:start w:val="1"/>
      <w:numFmt w:val="upperLetter"/>
      <w:pStyle w:val="Balk1"/>
      <w:lvlText w:val="%1."/>
      <w:lvlJc w:val="left"/>
      <w:pPr>
        <w:ind w:left="1004" w:hanging="360"/>
      </w:pPr>
      <w:rPr>
        <w:rFonts w:cs="Times New Roman"/>
      </w:rPr>
    </w:lvl>
    <w:lvl w:ilvl="1" w:tplc="041F0019" w:tentative="1">
      <w:start w:val="1"/>
      <w:numFmt w:val="lowerLetter"/>
      <w:lvlText w:val="%2."/>
      <w:lvlJc w:val="left"/>
      <w:pPr>
        <w:ind w:left="1724" w:hanging="360"/>
      </w:pPr>
      <w:rPr>
        <w:rFonts w:cs="Times New Roman"/>
      </w:rPr>
    </w:lvl>
    <w:lvl w:ilvl="2" w:tplc="041F001B" w:tentative="1">
      <w:start w:val="1"/>
      <w:numFmt w:val="lowerRoman"/>
      <w:lvlText w:val="%3."/>
      <w:lvlJc w:val="right"/>
      <w:pPr>
        <w:ind w:left="2444" w:hanging="180"/>
      </w:pPr>
      <w:rPr>
        <w:rFonts w:cs="Times New Roman"/>
      </w:rPr>
    </w:lvl>
    <w:lvl w:ilvl="3" w:tplc="041F000F" w:tentative="1">
      <w:start w:val="1"/>
      <w:numFmt w:val="decimal"/>
      <w:lvlText w:val="%4."/>
      <w:lvlJc w:val="left"/>
      <w:pPr>
        <w:ind w:left="3164" w:hanging="360"/>
      </w:pPr>
      <w:rPr>
        <w:rFonts w:cs="Times New Roman"/>
      </w:rPr>
    </w:lvl>
    <w:lvl w:ilvl="4" w:tplc="041F0019" w:tentative="1">
      <w:start w:val="1"/>
      <w:numFmt w:val="lowerLetter"/>
      <w:lvlText w:val="%5."/>
      <w:lvlJc w:val="left"/>
      <w:pPr>
        <w:ind w:left="3884" w:hanging="360"/>
      </w:pPr>
      <w:rPr>
        <w:rFonts w:cs="Times New Roman"/>
      </w:rPr>
    </w:lvl>
    <w:lvl w:ilvl="5" w:tplc="041F001B" w:tentative="1">
      <w:start w:val="1"/>
      <w:numFmt w:val="lowerRoman"/>
      <w:lvlText w:val="%6."/>
      <w:lvlJc w:val="right"/>
      <w:pPr>
        <w:ind w:left="4604" w:hanging="180"/>
      </w:pPr>
      <w:rPr>
        <w:rFonts w:cs="Times New Roman"/>
      </w:rPr>
    </w:lvl>
    <w:lvl w:ilvl="6" w:tplc="041F000F" w:tentative="1">
      <w:start w:val="1"/>
      <w:numFmt w:val="decimal"/>
      <w:lvlText w:val="%7."/>
      <w:lvlJc w:val="left"/>
      <w:pPr>
        <w:ind w:left="5324" w:hanging="360"/>
      </w:pPr>
      <w:rPr>
        <w:rFonts w:cs="Times New Roman"/>
      </w:rPr>
    </w:lvl>
    <w:lvl w:ilvl="7" w:tplc="041F0019" w:tentative="1">
      <w:start w:val="1"/>
      <w:numFmt w:val="lowerLetter"/>
      <w:lvlText w:val="%8."/>
      <w:lvlJc w:val="left"/>
      <w:pPr>
        <w:ind w:left="6044" w:hanging="360"/>
      </w:pPr>
      <w:rPr>
        <w:rFonts w:cs="Times New Roman"/>
      </w:rPr>
    </w:lvl>
    <w:lvl w:ilvl="8" w:tplc="041F001B" w:tentative="1">
      <w:start w:val="1"/>
      <w:numFmt w:val="lowerRoman"/>
      <w:lvlText w:val="%9."/>
      <w:lvlJc w:val="right"/>
      <w:pPr>
        <w:ind w:left="6764" w:hanging="180"/>
      </w:pPr>
      <w:rPr>
        <w:rFonts w:cs="Times New Roman"/>
      </w:rPr>
    </w:lvl>
  </w:abstractNum>
  <w:abstractNum w:abstractNumId="16">
    <w:nsid w:val="53ED6A92"/>
    <w:multiLevelType w:val="hybridMultilevel"/>
    <w:tmpl w:val="D598DD6E"/>
    <w:lvl w:ilvl="0" w:tplc="CAA4744C">
      <w:start w:val="1"/>
      <w:numFmt w:val="decimal"/>
      <w:lvlText w:val="%1."/>
      <w:lvlJc w:val="left"/>
      <w:pPr>
        <w:tabs>
          <w:tab w:val="num" w:pos="927"/>
        </w:tabs>
        <w:ind w:left="927" w:hanging="360"/>
      </w:pPr>
      <w:rPr>
        <w:rFonts w:cs="Times New Roman" w:hint="default"/>
      </w:rPr>
    </w:lvl>
    <w:lvl w:ilvl="1" w:tplc="E514C466" w:tentative="1">
      <w:start w:val="1"/>
      <w:numFmt w:val="lowerLetter"/>
      <w:lvlText w:val="%2."/>
      <w:lvlJc w:val="left"/>
      <w:pPr>
        <w:tabs>
          <w:tab w:val="num" w:pos="1647"/>
        </w:tabs>
        <w:ind w:left="1647" w:hanging="360"/>
      </w:pPr>
      <w:rPr>
        <w:rFonts w:cs="Times New Roman"/>
      </w:rPr>
    </w:lvl>
    <w:lvl w:ilvl="2" w:tplc="FC945042" w:tentative="1">
      <w:start w:val="1"/>
      <w:numFmt w:val="lowerRoman"/>
      <w:lvlText w:val="%3."/>
      <w:lvlJc w:val="right"/>
      <w:pPr>
        <w:tabs>
          <w:tab w:val="num" w:pos="2367"/>
        </w:tabs>
        <w:ind w:left="2367" w:hanging="180"/>
      </w:pPr>
      <w:rPr>
        <w:rFonts w:cs="Times New Roman"/>
      </w:rPr>
    </w:lvl>
    <w:lvl w:ilvl="3" w:tplc="79E6D1A6" w:tentative="1">
      <w:start w:val="1"/>
      <w:numFmt w:val="decimal"/>
      <w:lvlText w:val="%4."/>
      <w:lvlJc w:val="left"/>
      <w:pPr>
        <w:tabs>
          <w:tab w:val="num" w:pos="3087"/>
        </w:tabs>
        <w:ind w:left="3087" w:hanging="360"/>
      </w:pPr>
      <w:rPr>
        <w:rFonts w:cs="Times New Roman"/>
      </w:rPr>
    </w:lvl>
    <w:lvl w:ilvl="4" w:tplc="54D8424E" w:tentative="1">
      <w:start w:val="1"/>
      <w:numFmt w:val="lowerLetter"/>
      <w:lvlText w:val="%5."/>
      <w:lvlJc w:val="left"/>
      <w:pPr>
        <w:tabs>
          <w:tab w:val="num" w:pos="3807"/>
        </w:tabs>
        <w:ind w:left="3807" w:hanging="360"/>
      </w:pPr>
      <w:rPr>
        <w:rFonts w:cs="Times New Roman"/>
      </w:rPr>
    </w:lvl>
    <w:lvl w:ilvl="5" w:tplc="123605D6" w:tentative="1">
      <w:start w:val="1"/>
      <w:numFmt w:val="lowerRoman"/>
      <w:lvlText w:val="%6."/>
      <w:lvlJc w:val="right"/>
      <w:pPr>
        <w:tabs>
          <w:tab w:val="num" w:pos="4527"/>
        </w:tabs>
        <w:ind w:left="4527" w:hanging="180"/>
      </w:pPr>
      <w:rPr>
        <w:rFonts w:cs="Times New Roman"/>
      </w:rPr>
    </w:lvl>
    <w:lvl w:ilvl="6" w:tplc="5316EC64" w:tentative="1">
      <w:start w:val="1"/>
      <w:numFmt w:val="decimal"/>
      <w:lvlText w:val="%7."/>
      <w:lvlJc w:val="left"/>
      <w:pPr>
        <w:tabs>
          <w:tab w:val="num" w:pos="5247"/>
        </w:tabs>
        <w:ind w:left="5247" w:hanging="360"/>
      </w:pPr>
      <w:rPr>
        <w:rFonts w:cs="Times New Roman"/>
      </w:rPr>
    </w:lvl>
    <w:lvl w:ilvl="7" w:tplc="3F46E5F4" w:tentative="1">
      <w:start w:val="1"/>
      <w:numFmt w:val="lowerLetter"/>
      <w:lvlText w:val="%8."/>
      <w:lvlJc w:val="left"/>
      <w:pPr>
        <w:tabs>
          <w:tab w:val="num" w:pos="5967"/>
        </w:tabs>
        <w:ind w:left="5967" w:hanging="360"/>
      </w:pPr>
      <w:rPr>
        <w:rFonts w:cs="Times New Roman"/>
      </w:rPr>
    </w:lvl>
    <w:lvl w:ilvl="8" w:tplc="85D4BB34" w:tentative="1">
      <w:start w:val="1"/>
      <w:numFmt w:val="lowerRoman"/>
      <w:lvlText w:val="%9."/>
      <w:lvlJc w:val="right"/>
      <w:pPr>
        <w:tabs>
          <w:tab w:val="num" w:pos="6687"/>
        </w:tabs>
        <w:ind w:left="6687" w:hanging="180"/>
      </w:pPr>
      <w:rPr>
        <w:rFonts w:cs="Times New Roman"/>
      </w:rPr>
    </w:lvl>
  </w:abstractNum>
  <w:abstractNum w:abstractNumId="17">
    <w:nsid w:val="544F1C26"/>
    <w:multiLevelType w:val="hybridMultilevel"/>
    <w:tmpl w:val="05A26B28"/>
    <w:lvl w:ilvl="0" w:tplc="C5AAC53A">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549B0C3E"/>
    <w:multiLevelType w:val="hybridMultilevel"/>
    <w:tmpl w:val="A09E4762"/>
    <w:lvl w:ilvl="0" w:tplc="84288188">
      <w:start w:val="1"/>
      <w:numFmt w:val="upperLetter"/>
      <w:lvlText w:val="%1."/>
      <w:lvlJc w:val="left"/>
      <w:pPr>
        <w:ind w:left="1004" w:hanging="360"/>
      </w:pPr>
      <w:rPr>
        <w:rFonts w:cs="Times New Roman"/>
      </w:rPr>
    </w:lvl>
    <w:lvl w:ilvl="1" w:tplc="041F0019" w:tentative="1">
      <w:start w:val="1"/>
      <w:numFmt w:val="lowerLetter"/>
      <w:lvlText w:val="%2."/>
      <w:lvlJc w:val="left"/>
      <w:pPr>
        <w:ind w:left="1724" w:hanging="360"/>
      </w:pPr>
      <w:rPr>
        <w:rFonts w:cs="Times New Roman"/>
      </w:rPr>
    </w:lvl>
    <w:lvl w:ilvl="2" w:tplc="041F001B" w:tentative="1">
      <w:start w:val="1"/>
      <w:numFmt w:val="lowerRoman"/>
      <w:lvlText w:val="%3."/>
      <w:lvlJc w:val="right"/>
      <w:pPr>
        <w:ind w:left="2444" w:hanging="180"/>
      </w:pPr>
      <w:rPr>
        <w:rFonts w:cs="Times New Roman"/>
      </w:rPr>
    </w:lvl>
    <w:lvl w:ilvl="3" w:tplc="041F000F" w:tentative="1">
      <w:start w:val="1"/>
      <w:numFmt w:val="decimal"/>
      <w:lvlText w:val="%4."/>
      <w:lvlJc w:val="left"/>
      <w:pPr>
        <w:ind w:left="3164" w:hanging="360"/>
      </w:pPr>
      <w:rPr>
        <w:rFonts w:cs="Times New Roman"/>
      </w:rPr>
    </w:lvl>
    <w:lvl w:ilvl="4" w:tplc="041F0019" w:tentative="1">
      <w:start w:val="1"/>
      <w:numFmt w:val="lowerLetter"/>
      <w:lvlText w:val="%5."/>
      <w:lvlJc w:val="left"/>
      <w:pPr>
        <w:ind w:left="3884" w:hanging="360"/>
      </w:pPr>
      <w:rPr>
        <w:rFonts w:cs="Times New Roman"/>
      </w:rPr>
    </w:lvl>
    <w:lvl w:ilvl="5" w:tplc="041F001B" w:tentative="1">
      <w:start w:val="1"/>
      <w:numFmt w:val="lowerRoman"/>
      <w:lvlText w:val="%6."/>
      <w:lvlJc w:val="right"/>
      <w:pPr>
        <w:ind w:left="4604" w:hanging="180"/>
      </w:pPr>
      <w:rPr>
        <w:rFonts w:cs="Times New Roman"/>
      </w:rPr>
    </w:lvl>
    <w:lvl w:ilvl="6" w:tplc="041F000F" w:tentative="1">
      <w:start w:val="1"/>
      <w:numFmt w:val="decimal"/>
      <w:lvlText w:val="%7."/>
      <w:lvlJc w:val="left"/>
      <w:pPr>
        <w:ind w:left="5324" w:hanging="360"/>
      </w:pPr>
      <w:rPr>
        <w:rFonts w:cs="Times New Roman"/>
      </w:rPr>
    </w:lvl>
    <w:lvl w:ilvl="7" w:tplc="041F0019" w:tentative="1">
      <w:start w:val="1"/>
      <w:numFmt w:val="lowerLetter"/>
      <w:lvlText w:val="%8."/>
      <w:lvlJc w:val="left"/>
      <w:pPr>
        <w:ind w:left="6044" w:hanging="360"/>
      </w:pPr>
      <w:rPr>
        <w:rFonts w:cs="Times New Roman"/>
      </w:rPr>
    </w:lvl>
    <w:lvl w:ilvl="8" w:tplc="041F001B" w:tentative="1">
      <w:start w:val="1"/>
      <w:numFmt w:val="lowerRoman"/>
      <w:lvlText w:val="%9."/>
      <w:lvlJc w:val="right"/>
      <w:pPr>
        <w:ind w:left="6764" w:hanging="180"/>
      </w:pPr>
      <w:rPr>
        <w:rFonts w:cs="Times New Roman"/>
      </w:rPr>
    </w:lvl>
  </w:abstractNum>
  <w:abstractNum w:abstractNumId="19">
    <w:nsid w:val="5AA649B5"/>
    <w:multiLevelType w:val="hybridMultilevel"/>
    <w:tmpl w:val="36248204"/>
    <w:lvl w:ilvl="0" w:tplc="58A894FA">
      <w:start w:val="1"/>
      <w:numFmt w:val="upperRoman"/>
      <w:lvlText w:val="%1."/>
      <w:lvlJc w:val="right"/>
      <w:pPr>
        <w:tabs>
          <w:tab w:val="num" w:pos="720"/>
        </w:tabs>
        <w:ind w:left="720" w:hanging="360"/>
      </w:pPr>
      <w:rPr>
        <w:rFonts w:hint="default"/>
        <w:lang w:val="en-GB"/>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0">
    <w:nsid w:val="5D6E012A"/>
    <w:multiLevelType w:val="hybridMultilevel"/>
    <w:tmpl w:val="D7601CDA"/>
    <w:lvl w:ilvl="0" w:tplc="4A504552">
      <w:start w:val="1"/>
      <w:numFmt w:val="low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nsid w:val="5FBE36DC"/>
    <w:multiLevelType w:val="hybridMultilevel"/>
    <w:tmpl w:val="6AACDD5E"/>
    <w:lvl w:ilvl="0" w:tplc="D84EA7A2">
      <w:start w:val="1"/>
      <w:numFmt w:val="low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72894FD6"/>
    <w:multiLevelType w:val="hybridMultilevel"/>
    <w:tmpl w:val="F1643C7E"/>
    <w:lvl w:ilvl="0" w:tplc="E9F874D8">
      <w:start w:val="1"/>
      <w:numFmt w:val="decimal"/>
      <w:lvlText w:val="%1."/>
      <w:lvlJc w:val="left"/>
      <w:pPr>
        <w:tabs>
          <w:tab w:val="num" w:pos="1080"/>
        </w:tabs>
        <w:ind w:left="1080" w:hanging="360"/>
      </w:pPr>
      <w:rPr>
        <w:rFonts w:cs="Times New Roman"/>
      </w:rPr>
    </w:lvl>
    <w:lvl w:ilvl="1" w:tplc="24344DFA" w:tentative="1">
      <w:start w:val="1"/>
      <w:numFmt w:val="lowerLetter"/>
      <w:lvlText w:val="%2."/>
      <w:lvlJc w:val="left"/>
      <w:pPr>
        <w:tabs>
          <w:tab w:val="num" w:pos="1800"/>
        </w:tabs>
        <w:ind w:left="1800" w:hanging="360"/>
      </w:pPr>
      <w:rPr>
        <w:rFonts w:cs="Times New Roman"/>
      </w:rPr>
    </w:lvl>
    <w:lvl w:ilvl="2" w:tplc="CF9C213E" w:tentative="1">
      <w:start w:val="1"/>
      <w:numFmt w:val="lowerRoman"/>
      <w:lvlText w:val="%3."/>
      <w:lvlJc w:val="right"/>
      <w:pPr>
        <w:tabs>
          <w:tab w:val="num" w:pos="2520"/>
        </w:tabs>
        <w:ind w:left="2520" w:hanging="180"/>
      </w:pPr>
      <w:rPr>
        <w:rFonts w:cs="Times New Roman"/>
      </w:rPr>
    </w:lvl>
    <w:lvl w:ilvl="3" w:tplc="B5F272CE" w:tentative="1">
      <w:start w:val="1"/>
      <w:numFmt w:val="decimal"/>
      <w:lvlText w:val="%4."/>
      <w:lvlJc w:val="left"/>
      <w:pPr>
        <w:tabs>
          <w:tab w:val="num" w:pos="3240"/>
        </w:tabs>
        <w:ind w:left="3240" w:hanging="360"/>
      </w:pPr>
      <w:rPr>
        <w:rFonts w:cs="Times New Roman"/>
      </w:rPr>
    </w:lvl>
    <w:lvl w:ilvl="4" w:tplc="EAEAA72E" w:tentative="1">
      <w:start w:val="1"/>
      <w:numFmt w:val="lowerLetter"/>
      <w:lvlText w:val="%5."/>
      <w:lvlJc w:val="left"/>
      <w:pPr>
        <w:tabs>
          <w:tab w:val="num" w:pos="3960"/>
        </w:tabs>
        <w:ind w:left="3960" w:hanging="360"/>
      </w:pPr>
      <w:rPr>
        <w:rFonts w:cs="Times New Roman"/>
      </w:rPr>
    </w:lvl>
    <w:lvl w:ilvl="5" w:tplc="13B6786C" w:tentative="1">
      <w:start w:val="1"/>
      <w:numFmt w:val="lowerRoman"/>
      <w:lvlText w:val="%6."/>
      <w:lvlJc w:val="right"/>
      <w:pPr>
        <w:tabs>
          <w:tab w:val="num" w:pos="4680"/>
        </w:tabs>
        <w:ind w:left="4680" w:hanging="180"/>
      </w:pPr>
      <w:rPr>
        <w:rFonts w:cs="Times New Roman"/>
      </w:rPr>
    </w:lvl>
    <w:lvl w:ilvl="6" w:tplc="5C325A00" w:tentative="1">
      <w:start w:val="1"/>
      <w:numFmt w:val="decimal"/>
      <w:lvlText w:val="%7."/>
      <w:lvlJc w:val="left"/>
      <w:pPr>
        <w:tabs>
          <w:tab w:val="num" w:pos="5400"/>
        </w:tabs>
        <w:ind w:left="5400" w:hanging="360"/>
      </w:pPr>
      <w:rPr>
        <w:rFonts w:cs="Times New Roman"/>
      </w:rPr>
    </w:lvl>
    <w:lvl w:ilvl="7" w:tplc="3708B8EA" w:tentative="1">
      <w:start w:val="1"/>
      <w:numFmt w:val="lowerLetter"/>
      <w:lvlText w:val="%8."/>
      <w:lvlJc w:val="left"/>
      <w:pPr>
        <w:tabs>
          <w:tab w:val="num" w:pos="6120"/>
        </w:tabs>
        <w:ind w:left="6120" w:hanging="360"/>
      </w:pPr>
      <w:rPr>
        <w:rFonts w:cs="Times New Roman"/>
      </w:rPr>
    </w:lvl>
    <w:lvl w:ilvl="8" w:tplc="900A589C" w:tentative="1">
      <w:start w:val="1"/>
      <w:numFmt w:val="lowerRoman"/>
      <w:lvlText w:val="%9."/>
      <w:lvlJc w:val="right"/>
      <w:pPr>
        <w:tabs>
          <w:tab w:val="num" w:pos="6840"/>
        </w:tabs>
        <w:ind w:left="6840" w:hanging="180"/>
      </w:pPr>
      <w:rPr>
        <w:rFonts w:cs="Times New Roman"/>
      </w:rPr>
    </w:lvl>
  </w:abstractNum>
  <w:abstractNum w:abstractNumId="23">
    <w:nsid w:val="746641EA"/>
    <w:multiLevelType w:val="hybridMultilevel"/>
    <w:tmpl w:val="F62214AC"/>
    <w:lvl w:ilvl="0" w:tplc="C52EF094">
      <w:start w:val="1"/>
      <w:numFmt w:val="bullet"/>
      <w:lvlText w:val=""/>
      <w:lvlJc w:val="left"/>
      <w:pPr>
        <w:ind w:left="720" w:hanging="360"/>
      </w:pPr>
      <w:rPr>
        <w:rFonts w:ascii="Symbol" w:hAnsi="Symbol" w:hint="default"/>
      </w:rPr>
    </w:lvl>
    <w:lvl w:ilvl="1" w:tplc="234EC7A8" w:tentative="1">
      <w:start w:val="1"/>
      <w:numFmt w:val="bullet"/>
      <w:lvlText w:val="o"/>
      <w:lvlJc w:val="left"/>
      <w:pPr>
        <w:ind w:left="1440" w:hanging="360"/>
      </w:pPr>
      <w:rPr>
        <w:rFonts w:ascii="Courier New" w:hAnsi="Courier New" w:hint="default"/>
      </w:rPr>
    </w:lvl>
    <w:lvl w:ilvl="2" w:tplc="F25A26D8" w:tentative="1">
      <w:start w:val="1"/>
      <w:numFmt w:val="bullet"/>
      <w:lvlText w:val=""/>
      <w:lvlJc w:val="left"/>
      <w:pPr>
        <w:ind w:left="2160" w:hanging="360"/>
      </w:pPr>
      <w:rPr>
        <w:rFonts w:ascii="Wingdings" w:hAnsi="Wingdings" w:hint="default"/>
      </w:rPr>
    </w:lvl>
    <w:lvl w:ilvl="3" w:tplc="9B708710" w:tentative="1">
      <w:start w:val="1"/>
      <w:numFmt w:val="bullet"/>
      <w:lvlText w:val=""/>
      <w:lvlJc w:val="left"/>
      <w:pPr>
        <w:ind w:left="2880" w:hanging="360"/>
      </w:pPr>
      <w:rPr>
        <w:rFonts w:ascii="Symbol" w:hAnsi="Symbol" w:hint="default"/>
      </w:rPr>
    </w:lvl>
    <w:lvl w:ilvl="4" w:tplc="F7CE3B12" w:tentative="1">
      <w:start w:val="1"/>
      <w:numFmt w:val="bullet"/>
      <w:lvlText w:val="o"/>
      <w:lvlJc w:val="left"/>
      <w:pPr>
        <w:ind w:left="3600" w:hanging="360"/>
      </w:pPr>
      <w:rPr>
        <w:rFonts w:ascii="Courier New" w:hAnsi="Courier New" w:hint="default"/>
      </w:rPr>
    </w:lvl>
    <w:lvl w:ilvl="5" w:tplc="6A9C77BC" w:tentative="1">
      <w:start w:val="1"/>
      <w:numFmt w:val="bullet"/>
      <w:lvlText w:val=""/>
      <w:lvlJc w:val="left"/>
      <w:pPr>
        <w:ind w:left="4320" w:hanging="360"/>
      </w:pPr>
      <w:rPr>
        <w:rFonts w:ascii="Wingdings" w:hAnsi="Wingdings" w:hint="default"/>
      </w:rPr>
    </w:lvl>
    <w:lvl w:ilvl="6" w:tplc="FE0EE8D6" w:tentative="1">
      <w:start w:val="1"/>
      <w:numFmt w:val="bullet"/>
      <w:lvlText w:val=""/>
      <w:lvlJc w:val="left"/>
      <w:pPr>
        <w:ind w:left="5040" w:hanging="360"/>
      </w:pPr>
      <w:rPr>
        <w:rFonts w:ascii="Symbol" w:hAnsi="Symbol" w:hint="default"/>
      </w:rPr>
    </w:lvl>
    <w:lvl w:ilvl="7" w:tplc="DA06C80A" w:tentative="1">
      <w:start w:val="1"/>
      <w:numFmt w:val="bullet"/>
      <w:lvlText w:val="o"/>
      <w:lvlJc w:val="left"/>
      <w:pPr>
        <w:ind w:left="5760" w:hanging="360"/>
      </w:pPr>
      <w:rPr>
        <w:rFonts w:ascii="Courier New" w:hAnsi="Courier New" w:hint="default"/>
      </w:rPr>
    </w:lvl>
    <w:lvl w:ilvl="8" w:tplc="D486D928" w:tentative="1">
      <w:start w:val="1"/>
      <w:numFmt w:val="bullet"/>
      <w:lvlText w:val=""/>
      <w:lvlJc w:val="left"/>
      <w:pPr>
        <w:ind w:left="6480" w:hanging="360"/>
      </w:pPr>
      <w:rPr>
        <w:rFonts w:ascii="Wingdings" w:hAnsi="Wingdings" w:hint="default"/>
      </w:rPr>
    </w:lvl>
  </w:abstractNum>
  <w:abstractNum w:abstractNumId="24">
    <w:nsid w:val="74FA5BB7"/>
    <w:multiLevelType w:val="hybridMultilevel"/>
    <w:tmpl w:val="AA0ACA1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5">
    <w:nsid w:val="79C95E11"/>
    <w:multiLevelType w:val="hybridMultilevel"/>
    <w:tmpl w:val="19A653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22"/>
  </w:num>
  <w:num w:numId="5">
    <w:abstractNumId w:val="9"/>
  </w:num>
  <w:num w:numId="6">
    <w:abstractNumId w:val="2"/>
  </w:num>
  <w:num w:numId="7">
    <w:abstractNumId w:val="2"/>
    <w:lvlOverride w:ilvl="0">
      <w:startOverride w:val="6"/>
    </w:lvlOverride>
    <w:lvlOverride w:ilvl="1">
      <w:startOverride w:val="1"/>
    </w:lvlOverride>
    <w:lvlOverride w:ilvl="2">
      <w:startOverride w:val="3"/>
    </w:lvlOverride>
  </w:num>
  <w:num w:numId="8">
    <w:abstractNumId w:val="1"/>
  </w:num>
  <w:num w:numId="9">
    <w:abstractNumId w:val="6"/>
  </w:num>
  <w:num w:numId="10">
    <w:abstractNumId w:val="8"/>
  </w:num>
  <w:num w:numId="11">
    <w:abstractNumId w:val="23"/>
  </w:num>
  <w:num w:numId="12">
    <w:abstractNumId w:val="13"/>
  </w:num>
  <w:num w:numId="13">
    <w:abstractNumId w:val="4"/>
  </w:num>
  <w:num w:numId="14">
    <w:abstractNumId w:val="17"/>
  </w:num>
  <w:num w:numId="15">
    <w:abstractNumId w:val="14"/>
  </w:num>
  <w:num w:numId="16">
    <w:abstractNumId w:val="5"/>
  </w:num>
  <w:num w:numId="17">
    <w:abstractNumId w:val="18"/>
  </w:num>
  <w:num w:numId="18">
    <w:abstractNumId w:val="12"/>
  </w:num>
  <w:num w:numId="19">
    <w:abstractNumId w:val="21"/>
  </w:num>
  <w:num w:numId="20">
    <w:abstractNumId w:val="15"/>
  </w:num>
  <w:num w:numId="21">
    <w:abstractNumId w:val="10"/>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7"/>
  </w:num>
  <w:num w:numId="27">
    <w:abstractNumId w:val="7"/>
    <w:lvlOverride w:ilvl="0">
      <w:startOverride w:val="1"/>
    </w:lvlOverride>
  </w:num>
  <w:num w:numId="28">
    <w:abstractNumId w:val="7"/>
    <w:lvlOverride w:ilvl="0">
      <w:startOverride w:val="1"/>
    </w:lvlOverride>
  </w:num>
  <w:num w:numId="29">
    <w:abstractNumId w:val="19"/>
  </w:num>
  <w:num w:numId="30">
    <w:abstractNumId w:val="20"/>
  </w:num>
  <w:num w:numId="31">
    <w:abstractNumId w:val="24"/>
  </w:num>
  <w:num w:numId="32">
    <w:abstractNumId w:val="1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40D5"/>
    <w:rsid w:val="000159DD"/>
    <w:rsid w:val="000235E2"/>
    <w:rsid w:val="000606AE"/>
    <w:rsid w:val="00091D80"/>
    <w:rsid w:val="000B1ECC"/>
    <w:rsid w:val="000C0831"/>
    <w:rsid w:val="00106B8C"/>
    <w:rsid w:val="00127DF5"/>
    <w:rsid w:val="00151E21"/>
    <w:rsid w:val="001851CC"/>
    <w:rsid w:val="001915FC"/>
    <w:rsid w:val="001B3496"/>
    <w:rsid w:val="001C55BF"/>
    <w:rsid w:val="001C6116"/>
    <w:rsid w:val="001D3EBF"/>
    <w:rsid w:val="002223A1"/>
    <w:rsid w:val="00244BCD"/>
    <w:rsid w:val="00250EED"/>
    <w:rsid w:val="0027743E"/>
    <w:rsid w:val="00285B9A"/>
    <w:rsid w:val="0029368D"/>
    <w:rsid w:val="002B09F9"/>
    <w:rsid w:val="00323F62"/>
    <w:rsid w:val="0037128C"/>
    <w:rsid w:val="003813E7"/>
    <w:rsid w:val="00397D88"/>
    <w:rsid w:val="003C5C82"/>
    <w:rsid w:val="003F0735"/>
    <w:rsid w:val="00446838"/>
    <w:rsid w:val="004930FD"/>
    <w:rsid w:val="00496CAE"/>
    <w:rsid w:val="004A0692"/>
    <w:rsid w:val="004A62F7"/>
    <w:rsid w:val="004C5E03"/>
    <w:rsid w:val="004E46FC"/>
    <w:rsid w:val="004F6D75"/>
    <w:rsid w:val="00512C5B"/>
    <w:rsid w:val="00521068"/>
    <w:rsid w:val="00524012"/>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7EB"/>
    <w:rsid w:val="007F1CFB"/>
    <w:rsid w:val="00823ECE"/>
    <w:rsid w:val="008323B1"/>
    <w:rsid w:val="008370A4"/>
    <w:rsid w:val="008410DE"/>
    <w:rsid w:val="00857F04"/>
    <w:rsid w:val="00865400"/>
    <w:rsid w:val="008B3CB6"/>
    <w:rsid w:val="0093409F"/>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546D4"/>
    <w:rsid w:val="00B619E2"/>
    <w:rsid w:val="00B76643"/>
    <w:rsid w:val="00B86DE2"/>
    <w:rsid w:val="00B93226"/>
    <w:rsid w:val="00B976C6"/>
    <w:rsid w:val="00BA3159"/>
    <w:rsid w:val="00BB158E"/>
    <w:rsid w:val="00BD438A"/>
    <w:rsid w:val="00C120F8"/>
    <w:rsid w:val="00C32C7A"/>
    <w:rsid w:val="00C862AC"/>
    <w:rsid w:val="00C95AFD"/>
    <w:rsid w:val="00CF6CB5"/>
    <w:rsid w:val="00D3253D"/>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1B3496"/>
    <w:pPr>
      <w:keepNext/>
      <w:keepLines/>
      <w:numPr>
        <w:numId w:val="20"/>
      </w:numPr>
      <w:jc w:val="both"/>
      <w:outlineLvl w:val="0"/>
    </w:pPr>
    <w:rPr>
      <w:b/>
      <w:sz w:val="22"/>
      <w:szCs w:val="22"/>
      <w:lang w:val="en-US" w:eastAsia="lt-LT"/>
    </w:rPr>
  </w:style>
  <w:style w:type="paragraph" w:styleId="Balk2">
    <w:name w:val="heading 2"/>
    <w:basedOn w:val="Normal"/>
    <w:next w:val="Normal"/>
    <w:link w:val="Balk2Char"/>
    <w:uiPriority w:val="99"/>
    <w:qFormat/>
    <w:rsid w:val="001B3496"/>
    <w:pPr>
      <w:keepNext/>
      <w:keepLines/>
      <w:numPr>
        <w:numId w:val="21"/>
      </w:numPr>
      <w:ind w:left="737" w:firstLine="0"/>
      <w:jc w:val="both"/>
      <w:outlineLvl w:val="1"/>
    </w:pPr>
    <w:rPr>
      <w:b/>
      <w:sz w:val="22"/>
      <w:szCs w:val="22"/>
      <w:lang w:val="en-US" w:eastAsia="en-US"/>
    </w:rPr>
  </w:style>
  <w:style w:type="paragraph" w:styleId="Balk3">
    <w:name w:val="heading 3"/>
    <w:basedOn w:val="Normal"/>
    <w:next w:val="Normal"/>
    <w:link w:val="Balk3Char"/>
    <w:uiPriority w:val="99"/>
    <w:qFormat/>
    <w:rsid w:val="001B3496"/>
    <w:pPr>
      <w:keepNext/>
      <w:keepLines/>
      <w:numPr>
        <w:numId w:val="26"/>
      </w:numPr>
      <w:jc w:val="both"/>
      <w:outlineLvl w:val="2"/>
    </w:pPr>
    <w:rPr>
      <w:b/>
      <w:bCs/>
      <w:sz w:val="22"/>
      <w:szCs w:val="22"/>
      <w:lang w:val="en-US" w:eastAsia="lt-LT"/>
    </w:rPr>
  </w:style>
  <w:style w:type="paragraph" w:styleId="Balk4">
    <w:name w:val="heading 4"/>
    <w:basedOn w:val="Normal"/>
    <w:next w:val="Normal"/>
    <w:link w:val="Balk4Char"/>
    <w:uiPriority w:val="99"/>
    <w:qFormat/>
    <w:rsid w:val="001B3496"/>
    <w:pPr>
      <w:keepNext/>
      <w:keepLines/>
      <w:spacing w:before="200"/>
      <w:ind w:left="864" w:hanging="864"/>
      <w:jc w:val="both"/>
      <w:outlineLvl w:val="3"/>
    </w:pPr>
    <w:rPr>
      <w:rFonts w:ascii="Cambria" w:hAnsi="Cambria"/>
      <w:b/>
      <w:bCs/>
      <w:i/>
      <w:iCs/>
      <w:color w:val="4F81BD"/>
      <w:sz w:val="18"/>
      <w:lang w:eastAsia="en-US"/>
    </w:rPr>
  </w:style>
  <w:style w:type="paragraph" w:styleId="Balk5">
    <w:name w:val="heading 5"/>
    <w:basedOn w:val="Normal"/>
    <w:next w:val="Normal"/>
    <w:link w:val="Balk5Char"/>
    <w:uiPriority w:val="99"/>
    <w:qFormat/>
    <w:rsid w:val="001B3496"/>
    <w:pPr>
      <w:keepNext/>
      <w:keepLines/>
      <w:spacing w:before="200"/>
      <w:ind w:left="1008" w:hanging="1008"/>
      <w:jc w:val="both"/>
      <w:outlineLvl w:val="4"/>
    </w:pPr>
    <w:rPr>
      <w:rFonts w:ascii="Cambria" w:hAnsi="Cambria"/>
      <w:color w:val="243F60"/>
      <w:sz w:val="18"/>
      <w:lang w:eastAsia="en-US"/>
    </w:rPr>
  </w:style>
  <w:style w:type="paragraph" w:styleId="Balk6">
    <w:name w:val="heading 6"/>
    <w:basedOn w:val="Normal"/>
    <w:next w:val="Normal"/>
    <w:link w:val="Balk6Char"/>
    <w:uiPriority w:val="99"/>
    <w:qFormat/>
    <w:rsid w:val="001B3496"/>
    <w:pPr>
      <w:keepNext/>
      <w:keepLines/>
      <w:spacing w:before="200"/>
      <w:ind w:left="1152" w:hanging="1152"/>
      <w:jc w:val="both"/>
      <w:outlineLvl w:val="5"/>
    </w:pPr>
    <w:rPr>
      <w:rFonts w:ascii="Cambria" w:hAnsi="Cambria"/>
      <w:i/>
      <w:iCs/>
      <w:color w:val="243F60"/>
      <w:sz w:val="18"/>
      <w:lang w:eastAsia="en-US"/>
    </w:rPr>
  </w:style>
  <w:style w:type="paragraph" w:styleId="Balk7">
    <w:name w:val="heading 7"/>
    <w:basedOn w:val="Normal"/>
    <w:next w:val="Normal"/>
    <w:link w:val="Balk7Char"/>
    <w:uiPriority w:val="99"/>
    <w:qFormat/>
    <w:rsid w:val="001B3496"/>
    <w:pPr>
      <w:keepNext/>
      <w:keepLines/>
      <w:spacing w:before="200"/>
      <w:ind w:left="1296" w:hanging="1296"/>
      <w:jc w:val="both"/>
      <w:outlineLvl w:val="6"/>
    </w:pPr>
    <w:rPr>
      <w:rFonts w:ascii="Cambria" w:hAnsi="Cambria"/>
      <w:i/>
      <w:iCs/>
      <w:color w:val="404040"/>
      <w:sz w:val="18"/>
      <w:lang w:eastAsia="en-US"/>
    </w:rPr>
  </w:style>
  <w:style w:type="paragraph" w:styleId="Balk8">
    <w:name w:val="heading 8"/>
    <w:basedOn w:val="Normal"/>
    <w:next w:val="Normal"/>
    <w:link w:val="Balk8Char"/>
    <w:uiPriority w:val="99"/>
    <w:qFormat/>
    <w:rsid w:val="001B3496"/>
    <w:pPr>
      <w:keepNext/>
      <w:keepLines/>
      <w:spacing w:before="200"/>
      <w:ind w:left="1440" w:hanging="1440"/>
      <w:jc w:val="both"/>
      <w:outlineLvl w:val="7"/>
    </w:pPr>
    <w:rPr>
      <w:rFonts w:ascii="Cambria" w:hAnsi="Cambria"/>
      <w:color w:val="404040"/>
      <w:sz w:val="20"/>
      <w:szCs w:val="20"/>
      <w:lang w:eastAsia="en-US"/>
    </w:rPr>
  </w:style>
  <w:style w:type="paragraph" w:styleId="Balk9">
    <w:name w:val="heading 9"/>
    <w:basedOn w:val="Normal"/>
    <w:next w:val="Normal"/>
    <w:link w:val="Balk9Char"/>
    <w:uiPriority w:val="99"/>
    <w:qFormat/>
    <w:rsid w:val="001B3496"/>
    <w:pPr>
      <w:keepNext/>
      <w:keepLines/>
      <w:spacing w:before="200"/>
      <w:ind w:left="1584" w:hanging="1584"/>
      <w:jc w:val="both"/>
      <w:outlineLvl w:val="8"/>
    </w:pPr>
    <w:rPr>
      <w:rFonts w:ascii="Cambria" w:hAnsi="Cambria"/>
      <w:i/>
      <w:iCs/>
      <w:color w:val="40404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1B3496"/>
    <w:rPr>
      <w:rFonts w:ascii="Times New Roman" w:eastAsia="Times New Roman" w:hAnsi="Times New Roman" w:cs="Times New Roman"/>
      <w:b/>
      <w:lang w:val="en-US" w:eastAsia="lt-LT"/>
    </w:rPr>
  </w:style>
  <w:style w:type="character" w:customStyle="1" w:styleId="Balk2Char">
    <w:name w:val="Başlık 2 Char"/>
    <w:basedOn w:val="VarsaylanParagrafYazTipi"/>
    <w:link w:val="Balk2"/>
    <w:uiPriority w:val="99"/>
    <w:rsid w:val="001B3496"/>
    <w:rPr>
      <w:rFonts w:ascii="Times New Roman" w:eastAsia="Times New Roman" w:hAnsi="Times New Roman" w:cs="Times New Roman"/>
      <w:b/>
      <w:lang w:val="en-US"/>
    </w:rPr>
  </w:style>
  <w:style w:type="character" w:customStyle="1" w:styleId="Balk3Char">
    <w:name w:val="Başlık 3 Char"/>
    <w:basedOn w:val="VarsaylanParagrafYazTipi"/>
    <w:link w:val="Balk3"/>
    <w:uiPriority w:val="99"/>
    <w:rsid w:val="001B3496"/>
    <w:rPr>
      <w:rFonts w:ascii="Times New Roman" w:eastAsia="Times New Roman" w:hAnsi="Times New Roman" w:cs="Times New Roman"/>
      <w:b/>
      <w:bCs/>
      <w:lang w:val="en-US" w:eastAsia="lt-LT"/>
    </w:rPr>
  </w:style>
  <w:style w:type="character" w:customStyle="1" w:styleId="Balk4Char">
    <w:name w:val="Başlık 4 Char"/>
    <w:basedOn w:val="VarsaylanParagrafYazTipi"/>
    <w:link w:val="Balk4"/>
    <w:uiPriority w:val="99"/>
    <w:rsid w:val="001B3496"/>
    <w:rPr>
      <w:rFonts w:ascii="Cambria" w:eastAsia="Times New Roman" w:hAnsi="Cambria" w:cs="Times New Roman"/>
      <w:b/>
      <w:bCs/>
      <w:i/>
      <w:iCs/>
      <w:color w:val="4F81BD"/>
      <w:sz w:val="18"/>
      <w:szCs w:val="24"/>
    </w:rPr>
  </w:style>
  <w:style w:type="character" w:customStyle="1" w:styleId="Balk5Char">
    <w:name w:val="Başlık 5 Char"/>
    <w:basedOn w:val="VarsaylanParagrafYazTipi"/>
    <w:link w:val="Balk5"/>
    <w:uiPriority w:val="99"/>
    <w:rsid w:val="001B3496"/>
    <w:rPr>
      <w:rFonts w:ascii="Cambria" w:eastAsia="Times New Roman" w:hAnsi="Cambria" w:cs="Times New Roman"/>
      <w:color w:val="243F60"/>
      <w:sz w:val="18"/>
      <w:szCs w:val="24"/>
    </w:rPr>
  </w:style>
  <w:style w:type="character" w:customStyle="1" w:styleId="Balk6Char">
    <w:name w:val="Başlık 6 Char"/>
    <w:basedOn w:val="VarsaylanParagrafYazTipi"/>
    <w:link w:val="Balk6"/>
    <w:uiPriority w:val="99"/>
    <w:rsid w:val="001B3496"/>
    <w:rPr>
      <w:rFonts w:ascii="Cambria" w:eastAsia="Times New Roman" w:hAnsi="Cambria" w:cs="Times New Roman"/>
      <w:i/>
      <w:iCs/>
      <w:color w:val="243F60"/>
      <w:sz w:val="18"/>
      <w:szCs w:val="24"/>
    </w:rPr>
  </w:style>
  <w:style w:type="character" w:customStyle="1" w:styleId="Balk7Char">
    <w:name w:val="Başlık 7 Char"/>
    <w:basedOn w:val="VarsaylanParagrafYazTipi"/>
    <w:link w:val="Balk7"/>
    <w:uiPriority w:val="99"/>
    <w:rsid w:val="001B3496"/>
    <w:rPr>
      <w:rFonts w:ascii="Cambria" w:eastAsia="Times New Roman" w:hAnsi="Cambria" w:cs="Times New Roman"/>
      <w:i/>
      <w:iCs/>
      <w:color w:val="404040"/>
      <w:sz w:val="18"/>
      <w:szCs w:val="24"/>
    </w:rPr>
  </w:style>
  <w:style w:type="character" w:customStyle="1" w:styleId="Balk8Char">
    <w:name w:val="Başlık 8 Char"/>
    <w:basedOn w:val="VarsaylanParagrafYazTipi"/>
    <w:link w:val="Balk8"/>
    <w:uiPriority w:val="99"/>
    <w:rsid w:val="001B3496"/>
    <w:rPr>
      <w:rFonts w:ascii="Cambria" w:eastAsia="Times New Roman" w:hAnsi="Cambria" w:cs="Times New Roman"/>
      <w:color w:val="404040"/>
      <w:sz w:val="20"/>
      <w:szCs w:val="20"/>
    </w:rPr>
  </w:style>
  <w:style w:type="character" w:customStyle="1" w:styleId="Balk9Char">
    <w:name w:val="Başlık 9 Char"/>
    <w:basedOn w:val="VarsaylanParagrafYazTipi"/>
    <w:link w:val="Balk9"/>
    <w:uiPriority w:val="99"/>
    <w:rsid w:val="001B3496"/>
    <w:rPr>
      <w:rFonts w:ascii="Cambria" w:eastAsia="Times New Roman" w:hAnsi="Cambria" w:cs="Times New Roman"/>
      <w:i/>
      <w:iCs/>
      <w:color w:val="404040"/>
      <w:sz w:val="20"/>
      <w:szCs w:val="20"/>
    </w:rPr>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uiPriority w:val="99"/>
    <w:rsid w:val="00091D80"/>
  </w:style>
  <w:style w:type="paragraph" w:styleId="ListeParagraf">
    <w:name w:val="List Paragraph"/>
    <w:basedOn w:val="Normal"/>
    <w:uiPriority w:val="99"/>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99"/>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99"/>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99"/>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GvdeMetni2">
    <w:name w:val="Body Text 2"/>
    <w:aliases w:val="Body Text 2 Char Char"/>
    <w:basedOn w:val="Normal"/>
    <w:link w:val="GvdeMetni2Char"/>
    <w:uiPriority w:val="99"/>
    <w:rsid w:val="001B3496"/>
    <w:pPr>
      <w:spacing w:after="120" w:line="480" w:lineRule="auto"/>
    </w:pPr>
    <w:rPr>
      <w:lang w:val="lt-LT" w:eastAsia="lt-LT"/>
    </w:rPr>
  </w:style>
  <w:style w:type="character" w:customStyle="1" w:styleId="GvdeMetni2Char">
    <w:name w:val="Gövde Metni 2 Char"/>
    <w:aliases w:val="Body Text 2 Char Char Char"/>
    <w:basedOn w:val="VarsaylanParagrafYazTipi"/>
    <w:link w:val="GvdeMetni2"/>
    <w:uiPriority w:val="99"/>
    <w:rsid w:val="001B3496"/>
    <w:rPr>
      <w:rFonts w:ascii="Times New Roman" w:eastAsia="Times New Roman" w:hAnsi="Times New Roman" w:cs="Times New Roman"/>
      <w:sz w:val="24"/>
      <w:szCs w:val="24"/>
      <w:lang w:val="lt-LT" w:eastAsia="lt-LT"/>
    </w:rPr>
  </w:style>
  <w:style w:type="paragraph" w:styleId="BelgeBalantlar">
    <w:name w:val="Document Map"/>
    <w:basedOn w:val="Normal"/>
    <w:link w:val="BelgeBalantlarChar"/>
    <w:uiPriority w:val="99"/>
    <w:rsid w:val="001B3496"/>
    <w:rPr>
      <w:rFonts w:ascii="Tahoma" w:hAnsi="Tahoma" w:cs="Tahoma"/>
      <w:sz w:val="16"/>
      <w:szCs w:val="16"/>
      <w:lang w:val="lt-LT" w:eastAsia="lt-LT"/>
    </w:rPr>
  </w:style>
  <w:style w:type="character" w:customStyle="1" w:styleId="BelgeBalantlarChar">
    <w:name w:val="Belge Bağlantıları Char"/>
    <w:basedOn w:val="VarsaylanParagrafYazTipi"/>
    <w:link w:val="BelgeBalantlar"/>
    <w:uiPriority w:val="99"/>
    <w:rsid w:val="001B3496"/>
    <w:rPr>
      <w:rFonts w:ascii="Tahoma" w:eastAsia="Times New Roman" w:hAnsi="Tahoma" w:cs="Tahoma"/>
      <w:sz w:val="16"/>
      <w:szCs w:val="16"/>
      <w:lang w:val="lt-LT" w:eastAsia="lt-LT"/>
    </w:rPr>
  </w:style>
  <w:style w:type="paragraph" w:styleId="DipnotMetni">
    <w:name w:val="footnote text"/>
    <w:aliases w:val="Normal + font Helvetica 9 Punto üs 3,Normal + font 8 Punto üs 3"/>
    <w:basedOn w:val="Normal"/>
    <w:link w:val="DipnotMetniChar"/>
    <w:uiPriority w:val="99"/>
    <w:rsid w:val="001B3496"/>
    <w:pPr>
      <w:ind w:firstLine="709"/>
      <w:jc w:val="both"/>
    </w:pPr>
    <w:rPr>
      <w:color w:val="000000"/>
      <w:sz w:val="18"/>
      <w:szCs w:val="20"/>
    </w:rPr>
  </w:style>
  <w:style w:type="character" w:customStyle="1" w:styleId="DipnotMetniChar">
    <w:name w:val="Dipnot Metni Char"/>
    <w:aliases w:val="Normal + font Helvetica 9 Punto üs 3 Char,Normal + font 8 Punto üs 3 Char"/>
    <w:basedOn w:val="VarsaylanParagrafYazTipi"/>
    <w:link w:val="DipnotMetni"/>
    <w:uiPriority w:val="99"/>
    <w:rsid w:val="001B3496"/>
    <w:rPr>
      <w:rFonts w:ascii="Times New Roman" w:eastAsia="Times New Roman" w:hAnsi="Times New Roman" w:cs="Times New Roman"/>
      <w:color w:val="000000"/>
      <w:sz w:val="18"/>
      <w:szCs w:val="20"/>
      <w:lang w:eastAsia="tr-TR"/>
    </w:rPr>
  </w:style>
  <w:style w:type="character" w:styleId="DipnotBavurusu">
    <w:name w:val="footnote reference"/>
    <w:basedOn w:val="VarsaylanParagrafYazTipi"/>
    <w:uiPriority w:val="99"/>
    <w:rsid w:val="001B3496"/>
    <w:rPr>
      <w:rFonts w:cs="Times New Roman"/>
      <w:vertAlign w:val="superscript"/>
    </w:rPr>
  </w:style>
  <w:style w:type="character" w:styleId="Vurgu">
    <w:name w:val="Emphasis"/>
    <w:basedOn w:val="VarsaylanParagrafYazTipi"/>
    <w:uiPriority w:val="99"/>
    <w:qFormat/>
    <w:rsid w:val="001B3496"/>
    <w:rPr>
      <w:rFonts w:cs="Times New Roman"/>
    </w:rPr>
  </w:style>
  <w:style w:type="paragraph" w:customStyle="1" w:styleId="Stil2">
    <w:name w:val="Stil2"/>
    <w:basedOn w:val="Normal"/>
    <w:link w:val="Stil2Char"/>
    <w:uiPriority w:val="99"/>
    <w:rsid w:val="001B3496"/>
    <w:pPr>
      <w:ind w:firstLine="709"/>
      <w:jc w:val="both"/>
    </w:pPr>
    <w:rPr>
      <w:rFonts w:ascii="Verdana" w:hAnsi="Verdana"/>
      <w:color w:val="000000"/>
      <w:sz w:val="18"/>
    </w:rPr>
  </w:style>
  <w:style w:type="character" w:customStyle="1" w:styleId="Stil2Char">
    <w:name w:val="Stil2 Char"/>
    <w:basedOn w:val="VarsaylanParagrafYazTipi"/>
    <w:link w:val="Stil2"/>
    <w:uiPriority w:val="99"/>
    <w:locked/>
    <w:rsid w:val="001B3496"/>
    <w:rPr>
      <w:rFonts w:ascii="Verdana" w:eastAsia="Times New Roman" w:hAnsi="Verdana" w:cs="Times New Roman"/>
      <w:color w:val="000000"/>
      <w:sz w:val="18"/>
      <w:szCs w:val="24"/>
      <w:lang w:eastAsia="tr-TR"/>
    </w:rPr>
  </w:style>
  <w:style w:type="character" w:styleId="HTMLCite">
    <w:name w:val="HTML Cite"/>
    <w:basedOn w:val="VarsaylanParagrafYazTipi"/>
    <w:uiPriority w:val="99"/>
    <w:rsid w:val="001B3496"/>
    <w:rPr>
      <w:rFonts w:cs="Times New Roman"/>
      <w:color w:val="228822"/>
    </w:rPr>
  </w:style>
  <w:style w:type="paragraph" w:customStyle="1" w:styleId="DecimalAligned">
    <w:name w:val="Decimal Aligned"/>
    <w:basedOn w:val="Normal"/>
    <w:uiPriority w:val="99"/>
    <w:rsid w:val="001B3496"/>
    <w:pPr>
      <w:tabs>
        <w:tab w:val="decimal" w:pos="360"/>
      </w:tabs>
      <w:ind w:firstLine="709"/>
      <w:jc w:val="both"/>
    </w:pPr>
    <w:rPr>
      <w:rFonts w:ascii="Verdana" w:hAnsi="Verdana"/>
      <w:color w:val="000000"/>
      <w:sz w:val="18"/>
      <w:lang w:eastAsia="en-US"/>
    </w:rPr>
  </w:style>
  <w:style w:type="character" w:styleId="HafifVurgulama">
    <w:name w:val="Subtle Emphasis"/>
    <w:basedOn w:val="VarsaylanParagrafYazTipi"/>
    <w:uiPriority w:val="99"/>
    <w:qFormat/>
    <w:rsid w:val="001B3496"/>
    <w:rPr>
      <w:rFonts w:eastAsia="Times New Roman" w:cs="Arial"/>
      <w:i/>
      <w:iCs/>
      <w:color w:val="808080"/>
      <w:sz w:val="22"/>
      <w:szCs w:val="22"/>
      <w:lang w:val="tr-TR"/>
    </w:rPr>
  </w:style>
  <w:style w:type="paragraph" w:styleId="NormalWeb">
    <w:name w:val="Normal (Web)"/>
    <w:basedOn w:val="Normal"/>
    <w:uiPriority w:val="99"/>
    <w:rsid w:val="001B3496"/>
    <w:pPr>
      <w:spacing w:after="150"/>
      <w:ind w:firstLine="709"/>
      <w:jc w:val="both"/>
    </w:pPr>
    <w:rPr>
      <w:rFonts w:ascii="Verdana" w:hAnsi="Verdana"/>
      <w:color w:val="000000"/>
      <w:sz w:val="18"/>
    </w:rPr>
  </w:style>
  <w:style w:type="character" w:styleId="AklamaBavurusu">
    <w:name w:val="annotation reference"/>
    <w:basedOn w:val="VarsaylanParagrafYazTipi"/>
    <w:uiPriority w:val="99"/>
    <w:rsid w:val="001B3496"/>
    <w:rPr>
      <w:rFonts w:cs="Times New Roman"/>
      <w:sz w:val="16"/>
      <w:szCs w:val="16"/>
    </w:rPr>
  </w:style>
  <w:style w:type="paragraph" w:styleId="AklamaMetni">
    <w:name w:val="annotation text"/>
    <w:basedOn w:val="Normal"/>
    <w:link w:val="AklamaMetniChar"/>
    <w:uiPriority w:val="99"/>
    <w:rsid w:val="001B3496"/>
    <w:pPr>
      <w:ind w:firstLine="709"/>
      <w:jc w:val="both"/>
    </w:pPr>
    <w:rPr>
      <w:rFonts w:ascii="Verdana" w:hAnsi="Verdana"/>
      <w:color w:val="000000"/>
      <w:sz w:val="20"/>
      <w:szCs w:val="20"/>
      <w:lang w:eastAsia="en-US"/>
    </w:rPr>
  </w:style>
  <w:style w:type="character" w:customStyle="1" w:styleId="AklamaMetniChar">
    <w:name w:val="Açıklama Metni Char"/>
    <w:basedOn w:val="VarsaylanParagrafYazTipi"/>
    <w:link w:val="AklamaMetni"/>
    <w:uiPriority w:val="99"/>
    <w:rsid w:val="001B3496"/>
    <w:rPr>
      <w:rFonts w:ascii="Verdana" w:eastAsia="Times New Roman" w:hAnsi="Verdana" w:cs="Times New Roman"/>
      <w:color w:val="000000"/>
      <w:sz w:val="20"/>
      <w:szCs w:val="20"/>
    </w:rPr>
  </w:style>
  <w:style w:type="paragraph" w:styleId="AklamaKonusu">
    <w:name w:val="annotation subject"/>
    <w:basedOn w:val="AklamaMetni"/>
    <w:next w:val="AklamaMetni"/>
    <w:link w:val="AklamaKonusuChar"/>
    <w:uiPriority w:val="99"/>
    <w:rsid w:val="001B3496"/>
    <w:rPr>
      <w:b/>
      <w:bCs/>
    </w:rPr>
  </w:style>
  <w:style w:type="character" w:customStyle="1" w:styleId="AklamaKonusuChar">
    <w:name w:val="Açıklama Konusu Char"/>
    <w:basedOn w:val="AklamaMetniChar"/>
    <w:link w:val="AklamaKonusu"/>
    <w:uiPriority w:val="99"/>
    <w:rsid w:val="001B3496"/>
    <w:rPr>
      <w:rFonts w:ascii="Verdana" w:eastAsia="Times New Roman" w:hAnsi="Verdana" w:cs="Times New Roman"/>
      <w:b/>
      <w:bCs/>
      <w:color w:val="000000"/>
      <w:sz w:val="20"/>
      <w:szCs w:val="20"/>
    </w:rPr>
  </w:style>
  <w:style w:type="character" w:customStyle="1" w:styleId="detaybaslik-font">
    <w:name w:val="detaybaslik-font"/>
    <w:basedOn w:val="VarsaylanParagrafYazTipi"/>
    <w:uiPriority w:val="99"/>
    <w:rsid w:val="001B3496"/>
    <w:rPr>
      <w:rFonts w:cs="Times New Roman"/>
    </w:rPr>
  </w:style>
  <w:style w:type="paragraph" w:customStyle="1" w:styleId="Tablo">
    <w:name w:val="Tablo"/>
    <w:basedOn w:val="Normal"/>
    <w:link w:val="TabloChar"/>
    <w:uiPriority w:val="99"/>
    <w:rsid w:val="001B3496"/>
    <w:pPr>
      <w:ind w:firstLine="709"/>
      <w:jc w:val="both"/>
    </w:pPr>
    <w:rPr>
      <w:rFonts w:ascii="Verdana" w:hAnsi="Verdana"/>
      <w:sz w:val="18"/>
      <w:szCs w:val="18"/>
    </w:rPr>
  </w:style>
  <w:style w:type="character" w:customStyle="1" w:styleId="TabloChar">
    <w:name w:val="Tablo Char"/>
    <w:basedOn w:val="VarsaylanParagrafYazTipi"/>
    <w:link w:val="Tablo"/>
    <w:uiPriority w:val="99"/>
    <w:locked/>
    <w:rsid w:val="001B3496"/>
    <w:rPr>
      <w:rFonts w:ascii="Verdana" w:eastAsia="Times New Roman" w:hAnsi="Verdana" w:cs="Times New Roman"/>
      <w:sz w:val="18"/>
      <w:szCs w:val="18"/>
      <w:lang w:eastAsia="tr-TR"/>
    </w:rPr>
  </w:style>
  <w:style w:type="character" w:styleId="zlenenKpr">
    <w:name w:val="FollowedHyperlink"/>
    <w:basedOn w:val="VarsaylanParagrafYazTipi"/>
    <w:uiPriority w:val="99"/>
    <w:rsid w:val="001B3496"/>
    <w:rPr>
      <w:rFonts w:cs="Times New Roman"/>
      <w:color w:val="800080"/>
      <w:u w:val="single"/>
    </w:rPr>
  </w:style>
  <w:style w:type="paragraph" w:styleId="SonnotMetni">
    <w:name w:val="endnote text"/>
    <w:basedOn w:val="Normal"/>
    <w:link w:val="SonnotMetniChar"/>
    <w:uiPriority w:val="99"/>
    <w:rsid w:val="001B3496"/>
    <w:pPr>
      <w:ind w:firstLine="709"/>
      <w:jc w:val="both"/>
    </w:pPr>
    <w:rPr>
      <w:rFonts w:ascii="Verdana" w:hAnsi="Verdana"/>
      <w:color w:val="000000"/>
      <w:sz w:val="20"/>
      <w:szCs w:val="20"/>
      <w:lang w:eastAsia="en-US"/>
    </w:rPr>
  </w:style>
  <w:style w:type="character" w:customStyle="1" w:styleId="SonnotMetniChar">
    <w:name w:val="Sonnot Metni Char"/>
    <w:basedOn w:val="VarsaylanParagrafYazTipi"/>
    <w:link w:val="SonnotMetni"/>
    <w:uiPriority w:val="99"/>
    <w:rsid w:val="001B3496"/>
    <w:rPr>
      <w:rFonts w:ascii="Verdana" w:eastAsia="Times New Roman" w:hAnsi="Verdana" w:cs="Times New Roman"/>
      <w:color w:val="000000"/>
      <w:sz w:val="20"/>
      <w:szCs w:val="20"/>
    </w:rPr>
  </w:style>
  <w:style w:type="character" w:styleId="SonnotBavurusu">
    <w:name w:val="endnote reference"/>
    <w:basedOn w:val="VarsaylanParagrafYazTipi"/>
    <w:uiPriority w:val="99"/>
    <w:rsid w:val="001B3496"/>
    <w:rPr>
      <w:rFonts w:cs="Times New Roman"/>
      <w:vertAlign w:val="superscript"/>
    </w:rPr>
  </w:style>
  <w:style w:type="character" w:styleId="SayfaNumaras">
    <w:name w:val="page number"/>
    <w:basedOn w:val="VarsaylanParagrafYazTipi"/>
    <w:uiPriority w:val="99"/>
    <w:rsid w:val="001B3496"/>
    <w:rPr>
      <w:rFonts w:cs="Times New Roman"/>
    </w:rPr>
  </w:style>
  <w:style w:type="character" w:customStyle="1" w:styleId="shorttext">
    <w:name w:val="short_text"/>
    <w:basedOn w:val="VarsaylanParagrafYazTipi"/>
    <w:uiPriority w:val="99"/>
    <w:rsid w:val="001B3496"/>
    <w:rPr>
      <w:rFonts w:cs="Times New Roman"/>
    </w:rPr>
  </w:style>
  <w:style w:type="paragraph" w:styleId="Kaynaka">
    <w:name w:val="Bibliography"/>
    <w:basedOn w:val="Normal"/>
    <w:next w:val="Normal"/>
    <w:uiPriority w:val="99"/>
    <w:rsid w:val="001B3496"/>
    <w:pPr>
      <w:ind w:firstLine="709"/>
      <w:jc w:val="both"/>
    </w:pPr>
    <w:rPr>
      <w:rFonts w:ascii="Verdana" w:hAnsi="Verdana"/>
      <w:color w:val="000000"/>
      <w:sz w:val="18"/>
      <w:lang w:eastAsia="en-US"/>
    </w:rPr>
  </w:style>
  <w:style w:type="paragraph" w:customStyle="1" w:styleId="ArticleTitle">
    <w:name w:val="Article Title"/>
    <w:basedOn w:val="GvdeMetni"/>
    <w:uiPriority w:val="99"/>
    <w:rsid w:val="001B3496"/>
  </w:style>
  <w:style w:type="paragraph" w:styleId="GvdeMetni">
    <w:name w:val="Body Text"/>
    <w:basedOn w:val="Normal"/>
    <w:link w:val="GvdeMetniChar"/>
    <w:uiPriority w:val="99"/>
    <w:rsid w:val="001B3496"/>
    <w:pPr>
      <w:spacing w:after="120"/>
      <w:ind w:firstLine="709"/>
      <w:jc w:val="both"/>
    </w:pPr>
    <w:rPr>
      <w:rFonts w:ascii="Verdana" w:hAnsi="Verdana"/>
      <w:color w:val="000000"/>
      <w:sz w:val="18"/>
      <w:lang w:eastAsia="en-US"/>
    </w:rPr>
  </w:style>
  <w:style w:type="character" w:customStyle="1" w:styleId="GvdeMetniChar">
    <w:name w:val="Gövde Metni Char"/>
    <w:basedOn w:val="VarsaylanParagrafYazTipi"/>
    <w:link w:val="GvdeMetni"/>
    <w:uiPriority w:val="99"/>
    <w:rsid w:val="001B3496"/>
    <w:rPr>
      <w:rFonts w:ascii="Verdana" w:eastAsia="Times New Roman" w:hAnsi="Verdana" w:cs="Times New Roman"/>
      <w:color w:val="000000"/>
      <w:sz w:val="18"/>
      <w:szCs w:val="24"/>
    </w:rPr>
  </w:style>
  <w:style w:type="table" w:styleId="AkGlgeleme">
    <w:name w:val="Light Shading"/>
    <w:basedOn w:val="NormalTablo"/>
    <w:uiPriority w:val="60"/>
    <w:rsid w:val="00B546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1B3496"/>
    <w:pPr>
      <w:keepNext/>
      <w:keepLines/>
      <w:numPr>
        <w:numId w:val="20"/>
      </w:numPr>
      <w:jc w:val="both"/>
      <w:outlineLvl w:val="0"/>
    </w:pPr>
    <w:rPr>
      <w:b/>
      <w:sz w:val="22"/>
      <w:szCs w:val="22"/>
      <w:lang w:val="en-US" w:eastAsia="lt-LT"/>
    </w:rPr>
  </w:style>
  <w:style w:type="paragraph" w:styleId="Balk2">
    <w:name w:val="heading 2"/>
    <w:basedOn w:val="Normal"/>
    <w:next w:val="Normal"/>
    <w:link w:val="Balk2Char"/>
    <w:uiPriority w:val="99"/>
    <w:qFormat/>
    <w:rsid w:val="001B3496"/>
    <w:pPr>
      <w:keepNext/>
      <w:keepLines/>
      <w:numPr>
        <w:numId w:val="21"/>
      </w:numPr>
      <w:ind w:left="737" w:firstLine="0"/>
      <w:jc w:val="both"/>
      <w:outlineLvl w:val="1"/>
    </w:pPr>
    <w:rPr>
      <w:b/>
      <w:sz w:val="22"/>
      <w:szCs w:val="22"/>
      <w:lang w:val="en-US" w:eastAsia="en-US"/>
    </w:rPr>
  </w:style>
  <w:style w:type="paragraph" w:styleId="Balk3">
    <w:name w:val="heading 3"/>
    <w:basedOn w:val="Normal"/>
    <w:next w:val="Normal"/>
    <w:link w:val="Balk3Char"/>
    <w:uiPriority w:val="99"/>
    <w:qFormat/>
    <w:rsid w:val="001B3496"/>
    <w:pPr>
      <w:keepNext/>
      <w:keepLines/>
      <w:numPr>
        <w:numId w:val="26"/>
      </w:numPr>
      <w:jc w:val="both"/>
      <w:outlineLvl w:val="2"/>
    </w:pPr>
    <w:rPr>
      <w:b/>
      <w:bCs/>
      <w:sz w:val="22"/>
      <w:szCs w:val="22"/>
      <w:lang w:val="en-US" w:eastAsia="lt-LT"/>
    </w:rPr>
  </w:style>
  <w:style w:type="paragraph" w:styleId="Balk4">
    <w:name w:val="heading 4"/>
    <w:basedOn w:val="Normal"/>
    <w:next w:val="Normal"/>
    <w:link w:val="Balk4Char"/>
    <w:uiPriority w:val="99"/>
    <w:qFormat/>
    <w:rsid w:val="001B3496"/>
    <w:pPr>
      <w:keepNext/>
      <w:keepLines/>
      <w:spacing w:before="200"/>
      <w:ind w:left="864" w:hanging="864"/>
      <w:jc w:val="both"/>
      <w:outlineLvl w:val="3"/>
    </w:pPr>
    <w:rPr>
      <w:rFonts w:ascii="Cambria" w:hAnsi="Cambria"/>
      <w:b/>
      <w:bCs/>
      <w:i/>
      <w:iCs/>
      <w:color w:val="4F81BD"/>
      <w:sz w:val="18"/>
      <w:lang w:eastAsia="en-US"/>
    </w:rPr>
  </w:style>
  <w:style w:type="paragraph" w:styleId="Balk5">
    <w:name w:val="heading 5"/>
    <w:basedOn w:val="Normal"/>
    <w:next w:val="Normal"/>
    <w:link w:val="Balk5Char"/>
    <w:uiPriority w:val="99"/>
    <w:qFormat/>
    <w:rsid w:val="001B3496"/>
    <w:pPr>
      <w:keepNext/>
      <w:keepLines/>
      <w:spacing w:before="200"/>
      <w:ind w:left="1008" w:hanging="1008"/>
      <w:jc w:val="both"/>
      <w:outlineLvl w:val="4"/>
    </w:pPr>
    <w:rPr>
      <w:rFonts w:ascii="Cambria" w:hAnsi="Cambria"/>
      <w:color w:val="243F60"/>
      <w:sz w:val="18"/>
      <w:lang w:eastAsia="en-US"/>
    </w:rPr>
  </w:style>
  <w:style w:type="paragraph" w:styleId="Balk6">
    <w:name w:val="heading 6"/>
    <w:basedOn w:val="Normal"/>
    <w:next w:val="Normal"/>
    <w:link w:val="Balk6Char"/>
    <w:uiPriority w:val="99"/>
    <w:qFormat/>
    <w:rsid w:val="001B3496"/>
    <w:pPr>
      <w:keepNext/>
      <w:keepLines/>
      <w:spacing w:before="200"/>
      <w:ind w:left="1152" w:hanging="1152"/>
      <w:jc w:val="both"/>
      <w:outlineLvl w:val="5"/>
    </w:pPr>
    <w:rPr>
      <w:rFonts w:ascii="Cambria" w:hAnsi="Cambria"/>
      <w:i/>
      <w:iCs/>
      <w:color w:val="243F60"/>
      <w:sz w:val="18"/>
      <w:lang w:eastAsia="en-US"/>
    </w:rPr>
  </w:style>
  <w:style w:type="paragraph" w:styleId="Balk7">
    <w:name w:val="heading 7"/>
    <w:basedOn w:val="Normal"/>
    <w:next w:val="Normal"/>
    <w:link w:val="Balk7Char"/>
    <w:uiPriority w:val="99"/>
    <w:qFormat/>
    <w:rsid w:val="001B3496"/>
    <w:pPr>
      <w:keepNext/>
      <w:keepLines/>
      <w:spacing w:before="200"/>
      <w:ind w:left="1296" w:hanging="1296"/>
      <w:jc w:val="both"/>
      <w:outlineLvl w:val="6"/>
    </w:pPr>
    <w:rPr>
      <w:rFonts w:ascii="Cambria" w:hAnsi="Cambria"/>
      <w:i/>
      <w:iCs/>
      <w:color w:val="404040"/>
      <w:sz w:val="18"/>
      <w:lang w:eastAsia="en-US"/>
    </w:rPr>
  </w:style>
  <w:style w:type="paragraph" w:styleId="Balk8">
    <w:name w:val="heading 8"/>
    <w:basedOn w:val="Normal"/>
    <w:next w:val="Normal"/>
    <w:link w:val="Balk8Char"/>
    <w:uiPriority w:val="99"/>
    <w:qFormat/>
    <w:rsid w:val="001B3496"/>
    <w:pPr>
      <w:keepNext/>
      <w:keepLines/>
      <w:spacing w:before="200"/>
      <w:ind w:left="1440" w:hanging="1440"/>
      <w:jc w:val="both"/>
      <w:outlineLvl w:val="7"/>
    </w:pPr>
    <w:rPr>
      <w:rFonts w:ascii="Cambria" w:hAnsi="Cambria"/>
      <w:color w:val="404040"/>
      <w:sz w:val="20"/>
      <w:szCs w:val="20"/>
      <w:lang w:eastAsia="en-US"/>
    </w:rPr>
  </w:style>
  <w:style w:type="paragraph" w:styleId="Balk9">
    <w:name w:val="heading 9"/>
    <w:basedOn w:val="Normal"/>
    <w:next w:val="Normal"/>
    <w:link w:val="Balk9Char"/>
    <w:uiPriority w:val="99"/>
    <w:qFormat/>
    <w:rsid w:val="001B3496"/>
    <w:pPr>
      <w:keepNext/>
      <w:keepLines/>
      <w:spacing w:before="200"/>
      <w:ind w:left="1584" w:hanging="1584"/>
      <w:jc w:val="both"/>
      <w:outlineLvl w:val="8"/>
    </w:pPr>
    <w:rPr>
      <w:rFonts w:ascii="Cambria" w:hAnsi="Cambria"/>
      <w:i/>
      <w:iCs/>
      <w:color w:val="40404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1B3496"/>
    <w:rPr>
      <w:rFonts w:ascii="Times New Roman" w:eastAsia="Times New Roman" w:hAnsi="Times New Roman" w:cs="Times New Roman"/>
      <w:b/>
      <w:lang w:val="en-US" w:eastAsia="lt-LT"/>
    </w:rPr>
  </w:style>
  <w:style w:type="character" w:customStyle="1" w:styleId="Balk2Char">
    <w:name w:val="Başlık 2 Char"/>
    <w:basedOn w:val="VarsaylanParagrafYazTipi"/>
    <w:link w:val="Balk2"/>
    <w:uiPriority w:val="99"/>
    <w:rsid w:val="001B3496"/>
    <w:rPr>
      <w:rFonts w:ascii="Times New Roman" w:eastAsia="Times New Roman" w:hAnsi="Times New Roman" w:cs="Times New Roman"/>
      <w:b/>
      <w:lang w:val="en-US"/>
    </w:rPr>
  </w:style>
  <w:style w:type="character" w:customStyle="1" w:styleId="Balk3Char">
    <w:name w:val="Başlık 3 Char"/>
    <w:basedOn w:val="VarsaylanParagrafYazTipi"/>
    <w:link w:val="Balk3"/>
    <w:uiPriority w:val="99"/>
    <w:rsid w:val="001B3496"/>
    <w:rPr>
      <w:rFonts w:ascii="Times New Roman" w:eastAsia="Times New Roman" w:hAnsi="Times New Roman" w:cs="Times New Roman"/>
      <w:b/>
      <w:bCs/>
      <w:lang w:val="en-US" w:eastAsia="lt-LT"/>
    </w:rPr>
  </w:style>
  <w:style w:type="character" w:customStyle="1" w:styleId="Balk4Char">
    <w:name w:val="Başlık 4 Char"/>
    <w:basedOn w:val="VarsaylanParagrafYazTipi"/>
    <w:link w:val="Balk4"/>
    <w:uiPriority w:val="99"/>
    <w:rsid w:val="001B3496"/>
    <w:rPr>
      <w:rFonts w:ascii="Cambria" w:eastAsia="Times New Roman" w:hAnsi="Cambria" w:cs="Times New Roman"/>
      <w:b/>
      <w:bCs/>
      <w:i/>
      <w:iCs/>
      <w:color w:val="4F81BD"/>
      <w:sz w:val="18"/>
      <w:szCs w:val="24"/>
    </w:rPr>
  </w:style>
  <w:style w:type="character" w:customStyle="1" w:styleId="Balk5Char">
    <w:name w:val="Başlık 5 Char"/>
    <w:basedOn w:val="VarsaylanParagrafYazTipi"/>
    <w:link w:val="Balk5"/>
    <w:uiPriority w:val="99"/>
    <w:rsid w:val="001B3496"/>
    <w:rPr>
      <w:rFonts w:ascii="Cambria" w:eastAsia="Times New Roman" w:hAnsi="Cambria" w:cs="Times New Roman"/>
      <w:color w:val="243F60"/>
      <w:sz w:val="18"/>
      <w:szCs w:val="24"/>
    </w:rPr>
  </w:style>
  <w:style w:type="character" w:customStyle="1" w:styleId="Balk6Char">
    <w:name w:val="Başlık 6 Char"/>
    <w:basedOn w:val="VarsaylanParagrafYazTipi"/>
    <w:link w:val="Balk6"/>
    <w:uiPriority w:val="99"/>
    <w:rsid w:val="001B3496"/>
    <w:rPr>
      <w:rFonts w:ascii="Cambria" w:eastAsia="Times New Roman" w:hAnsi="Cambria" w:cs="Times New Roman"/>
      <w:i/>
      <w:iCs/>
      <w:color w:val="243F60"/>
      <w:sz w:val="18"/>
      <w:szCs w:val="24"/>
    </w:rPr>
  </w:style>
  <w:style w:type="character" w:customStyle="1" w:styleId="Balk7Char">
    <w:name w:val="Başlık 7 Char"/>
    <w:basedOn w:val="VarsaylanParagrafYazTipi"/>
    <w:link w:val="Balk7"/>
    <w:uiPriority w:val="99"/>
    <w:rsid w:val="001B3496"/>
    <w:rPr>
      <w:rFonts w:ascii="Cambria" w:eastAsia="Times New Roman" w:hAnsi="Cambria" w:cs="Times New Roman"/>
      <w:i/>
      <w:iCs/>
      <w:color w:val="404040"/>
      <w:sz w:val="18"/>
      <w:szCs w:val="24"/>
    </w:rPr>
  </w:style>
  <w:style w:type="character" w:customStyle="1" w:styleId="Balk8Char">
    <w:name w:val="Başlık 8 Char"/>
    <w:basedOn w:val="VarsaylanParagrafYazTipi"/>
    <w:link w:val="Balk8"/>
    <w:uiPriority w:val="99"/>
    <w:rsid w:val="001B3496"/>
    <w:rPr>
      <w:rFonts w:ascii="Cambria" w:eastAsia="Times New Roman" w:hAnsi="Cambria" w:cs="Times New Roman"/>
      <w:color w:val="404040"/>
      <w:sz w:val="20"/>
      <w:szCs w:val="20"/>
    </w:rPr>
  </w:style>
  <w:style w:type="character" w:customStyle="1" w:styleId="Balk9Char">
    <w:name w:val="Başlık 9 Char"/>
    <w:basedOn w:val="VarsaylanParagrafYazTipi"/>
    <w:link w:val="Balk9"/>
    <w:uiPriority w:val="99"/>
    <w:rsid w:val="001B3496"/>
    <w:rPr>
      <w:rFonts w:ascii="Cambria" w:eastAsia="Times New Roman" w:hAnsi="Cambria" w:cs="Times New Roman"/>
      <w:i/>
      <w:iCs/>
      <w:color w:val="404040"/>
      <w:sz w:val="20"/>
      <w:szCs w:val="20"/>
    </w:rPr>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uiPriority w:val="99"/>
    <w:rsid w:val="00091D80"/>
  </w:style>
  <w:style w:type="paragraph" w:styleId="ListeParagraf">
    <w:name w:val="List Paragraph"/>
    <w:basedOn w:val="Normal"/>
    <w:uiPriority w:val="99"/>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99"/>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99"/>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99"/>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GvdeMetni2">
    <w:name w:val="Body Text 2"/>
    <w:aliases w:val="Body Text 2 Char Char"/>
    <w:basedOn w:val="Normal"/>
    <w:link w:val="GvdeMetni2Char"/>
    <w:uiPriority w:val="99"/>
    <w:rsid w:val="001B3496"/>
    <w:pPr>
      <w:spacing w:after="120" w:line="480" w:lineRule="auto"/>
    </w:pPr>
    <w:rPr>
      <w:lang w:val="lt-LT" w:eastAsia="lt-LT"/>
    </w:rPr>
  </w:style>
  <w:style w:type="character" w:customStyle="1" w:styleId="GvdeMetni2Char">
    <w:name w:val="Gövde Metni 2 Char"/>
    <w:aliases w:val="Body Text 2 Char Char Char"/>
    <w:basedOn w:val="VarsaylanParagrafYazTipi"/>
    <w:link w:val="GvdeMetni2"/>
    <w:uiPriority w:val="99"/>
    <w:rsid w:val="001B3496"/>
    <w:rPr>
      <w:rFonts w:ascii="Times New Roman" w:eastAsia="Times New Roman" w:hAnsi="Times New Roman" w:cs="Times New Roman"/>
      <w:sz w:val="24"/>
      <w:szCs w:val="24"/>
      <w:lang w:val="lt-LT" w:eastAsia="lt-LT"/>
    </w:rPr>
  </w:style>
  <w:style w:type="paragraph" w:styleId="BelgeBalantlar">
    <w:name w:val="Document Map"/>
    <w:basedOn w:val="Normal"/>
    <w:link w:val="BelgeBalantlarChar"/>
    <w:uiPriority w:val="99"/>
    <w:rsid w:val="001B3496"/>
    <w:rPr>
      <w:rFonts w:ascii="Tahoma" w:hAnsi="Tahoma" w:cs="Tahoma"/>
      <w:sz w:val="16"/>
      <w:szCs w:val="16"/>
      <w:lang w:val="lt-LT" w:eastAsia="lt-LT"/>
    </w:rPr>
  </w:style>
  <w:style w:type="character" w:customStyle="1" w:styleId="BelgeBalantlarChar">
    <w:name w:val="Belge Bağlantıları Char"/>
    <w:basedOn w:val="VarsaylanParagrafYazTipi"/>
    <w:link w:val="BelgeBalantlar"/>
    <w:uiPriority w:val="99"/>
    <w:rsid w:val="001B3496"/>
    <w:rPr>
      <w:rFonts w:ascii="Tahoma" w:eastAsia="Times New Roman" w:hAnsi="Tahoma" w:cs="Tahoma"/>
      <w:sz w:val="16"/>
      <w:szCs w:val="16"/>
      <w:lang w:val="lt-LT" w:eastAsia="lt-LT"/>
    </w:rPr>
  </w:style>
  <w:style w:type="paragraph" w:styleId="DipnotMetni">
    <w:name w:val="footnote text"/>
    <w:aliases w:val="Normal + font Helvetica 9 Punto üs 3,Normal + font 8 Punto üs 3"/>
    <w:basedOn w:val="Normal"/>
    <w:link w:val="DipnotMetniChar"/>
    <w:uiPriority w:val="99"/>
    <w:rsid w:val="001B3496"/>
    <w:pPr>
      <w:ind w:firstLine="709"/>
      <w:jc w:val="both"/>
    </w:pPr>
    <w:rPr>
      <w:color w:val="000000"/>
      <w:sz w:val="18"/>
      <w:szCs w:val="20"/>
    </w:rPr>
  </w:style>
  <w:style w:type="character" w:customStyle="1" w:styleId="DipnotMetniChar">
    <w:name w:val="Dipnot Metni Char"/>
    <w:aliases w:val="Normal + font Helvetica 9 Punto üs 3 Char,Normal + font 8 Punto üs 3 Char"/>
    <w:basedOn w:val="VarsaylanParagrafYazTipi"/>
    <w:link w:val="DipnotMetni"/>
    <w:uiPriority w:val="99"/>
    <w:rsid w:val="001B3496"/>
    <w:rPr>
      <w:rFonts w:ascii="Times New Roman" w:eastAsia="Times New Roman" w:hAnsi="Times New Roman" w:cs="Times New Roman"/>
      <w:color w:val="000000"/>
      <w:sz w:val="18"/>
      <w:szCs w:val="20"/>
      <w:lang w:eastAsia="tr-TR"/>
    </w:rPr>
  </w:style>
  <w:style w:type="character" w:styleId="DipnotBavurusu">
    <w:name w:val="footnote reference"/>
    <w:basedOn w:val="VarsaylanParagrafYazTipi"/>
    <w:uiPriority w:val="99"/>
    <w:rsid w:val="001B3496"/>
    <w:rPr>
      <w:rFonts w:cs="Times New Roman"/>
      <w:vertAlign w:val="superscript"/>
    </w:rPr>
  </w:style>
  <w:style w:type="character" w:styleId="Vurgu">
    <w:name w:val="Emphasis"/>
    <w:basedOn w:val="VarsaylanParagrafYazTipi"/>
    <w:uiPriority w:val="99"/>
    <w:qFormat/>
    <w:rsid w:val="001B3496"/>
    <w:rPr>
      <w:rFonts w:cs="Times New Roman"/>
    </w:rPr>
  </w:style>
  <w:style w:type="paragraph" w:customStyle="1" w:styleId="Stil2">
    <w:name w:val="Stil2"/>
    <w:basedOn w:val="Normal"/>
    <w:link w:val="Stil2Char"/>
    <w:uiPriority w:val="99"/>
    <w:rsid w:val="001B3496"/>
    <w:pPr>
      <w:ind w:firstLine="709"/>
      <w:jc w:val="both"/>
    </w:pPr>
    <w:rPr>
      <w:rFonts w:ascii="Verdana" w:hAnsi="Verdana"/>
      <w:color w:val="000000"/>
      <w:sz w:val="18"/>
    </w:rPr>
  </w:style>
  <w:style w:type="character" w:customStyle="1" w:styleId="Stil2Char">
    <w:name w:val="Stil2 Char"/>
    <w:basedOn w:val="VarsaylanParagrafYazTipi"/>
    <w:link w:val="Stil2"/>
    <w:uiPriority w:val="99"/>
    <w:locked/>
    <w:rsid w:val="001B3496"/>
    <w:rPr>
      <w:rFonts w:ascii="Verdana" w:eastAsia="Times New Roman" w:hAnsi="Verdana" w:cs="Times New Roman"/>
      <w:color w:val="000000"/>
      <w:sz w:val="18"/>
      <w:szCs w:val="24"/>
      <w:lang w:eastAsia="tr-TR"/>
    </w:rPr>
  </w:style>
  <w:style w:type="character" w:styleId="HTMLCite">
    <w:name w:val="HTML Cite"/>
    <w:basedOn w:val="VarsaylanParagrafYazTipi"/>
    <w:uiPriority w:val="99"/>
    <w:rsid w:val="001B3496"/>
    <w:rPr>
      <w:rFonts w:cs="Times New Roman"/>
      <w:color w:val="228822"/>
    </w:rPr>
  </w:style>
  <w:style w:type="paragraph" w:customStyle="1" w:styleId="DecimalAligned">
    <w:name w:val="Decimal Aligned"/>
    <w:basedOn w:val="Normal"/>
    <w:uiPriority w:val="99"/>
    <w:rsid w:val="001B3496"/>
    <w:pPr>
      <w:tabs>
        <w:tab w:val="decimal" w:pos="360"/>
      </w:tabs>
      <w:ind w:firstLine="709"/>
      <w:jc w:val="both"/>
    </w:pPr>
    <w:rPr>
      <w:rFonts w:ascii="Verdana" w:hAnsi="Verdana"/>
      <w:color w:val="000000"/>
      <w:sz w:val="18"/>
      <w:lang w:eastAsia="en-US"/>
    </w:rPr>
  </w:style>
  <w:style w:type="character" w:styleId="HafifVurgulama">
    <w:name w:val="Subtle Emphasis"/>
    <w:basedOn w:val="VarsaylanParagrafYazTipi"/>
    <w:uiPriority w:val="99"/>
    <w:qFormat/>
    <w:rsid w:val="001B3496"/>
    <w:rPr>
      <w:rFonts w:eastAsia="Times New Roman" w:cs="Arial"/>
      <w:i/>
      <w:iCs/>
      <w:color w:val="808080"/>
      <w:sz w:val="22"/>
      <w:szCs w:val="22"/>
      <w:lang w:val="tr-TR"/>
    </w:rPr>
  </w:style>
  <w:style w:type="paragraph" w:styleId="NormalWeb">
    <w:name w:val="Normal (Web)"/>
    <w:basedOn w:val="Normal"/>
    <w:uiPriority w:val="99"/>
    <w:rsid w:val="001B3496"/>
    <w:pPr>
      <w:spacing w:after="150"/>
      <w:ind w:firstLine="709"/>
      <w:jc w:val="both"/>
    </w:pPr>
    <w:rPr>
      <w:rFonts w:ascii="Verdana" w:hAnsi="Verdana"/>
      <w:color w:val="000000"/>
      <w:sz w:val="18"/>
    </w:rPr>
  </w:style>
  <w:style w:type="character" w:styleId="AklamaBavurusu">
    <w:name w:val="annotation reference"/>
    <w:basedOn w:val="VarsaylanParagrafYazTipi"/>
    <w:uiPriority w:val="99"/>
    <w:rsid w:val="001B3496"/>
    <w:rPr>
      <w:rFonts w:cs="Times New Roman"/>
      <w:sz w:val="16"/>
      <w:szCs w:val="16"/>
    </w:rPr>
  </w:style>
  <w:style w:type="paragraph" w:styleId="AklamaMetni">
    <w:name w:val="annotation text"/>
    <w:basedOn w:val="Normal"/>
    <w:link w:val="AklamaMetniChar"/>
    <w:uiPriority w:val="99"/>
    <w:rsid w:val="001B3496"/>
    <w:pPr>
      <w:ind w:firstLine="709"/>
      <w:jc w:val="both"/>
    </w:pPr>
    <w:rPr>
      <w:rFonts w:ascii="Verdana" w:hAnsi="Verdana"/>
      <w:color w:val="000000"/>
      <w:sz w:val="20"/>
      <w:szCs w:val="20"/>
      <w:lang w:eastAsia="en-US"/>
    </w:rPr>
  </w:style>
  <w:style w:type="character" w:customStyle="1" w:styleId="AklamaMetniChar">
    <w:name w:val="Açıklama Metni Char"/>
    <w:basedOn w:val="VarsaylanParagrafYazTipi"/>
    <w:link w:val="AklamaMetni"/>
    <w:uiPriority w:val="99"/>
    <w:rsid w:val="001B3496"/>
    <w:rPr>
      <w:rFonts w:ascii="Verdana" w:eastAsia="Times New Roman" w:hAnsi="Verdana" w:cs="Times New Roman"/>
      <w:color w:val="000000"/>
      <w:sz w:val="20"/>
      <w:szCs w:val="20"/>
    </w:rPr>
  </w:style>
  <w:style w:type="paragraph" w:styleId="AklamaKonusu">
    <w:name w:val="annotation subject"/>
    <w:basedOn w:val="AklamaMetni"/>
    <w:next w:val="AklamaMetni"/>
    <w:link w:val="AklamaKonusuChar"/>
    <w:uiPriority w:val="99"/>
    <w:rsid w:val="001B3496"/>
    <w:rPr>
      <w:b/>
      <w:bCs/>
    </w:rPr>
  </w:style>
  <w:style w:type="character" w:customStyle="1" w:styleId="AklamaKonusuChar">
    <w:name w:val="Açıklama Konusu Char"/>
    <w:basedOn w:val="AklamaMetniChar"/>
    <w:link w:val="AklamaKonusu"/>
    <w:uiPriority w:val="99"/>
    <w:rsid w:val="001B3496"/>
    <w:rPr>
      <w:rFonts w:ascii="Verdana" w:eastAsia="Times New Roman" w:hAnsi="Verdana" w:cs="Times New Roman"/>
      <w:b/>
      <w:bCs/>
      <w:color w:val="000000"/>
      <w:sz w:val="20"/>
      <w:szCs w:val="20"/>
    </w:rPr>
  </w:style>
  <w:style w:type="character" w:customStyle="1" w:styleId="detaybaslik-font">
    <w:name w:val="detaybaslik-font"/>
    <w:basedOn w:val="VarsaylanParagrafYazTipi"/>
    <w:uiPriority w:val="99"/>
    <w:rsid w:val="001B3496"/>
    <w:rPr>
      <w:rFonts w:cs="Times New Roman"/>
    </w:rPr>
  </w:style>
  <w:style w:type="paragraph" w:customStyle="1" w:styleId="Tablo">
    <w:name w:val="Tablo"/>
    <w:basedOn w:val="Normal"/>
    <w:link w:val="TabloChar"/>
    <w:uiPriority w:val="99"/>
    <w:rsid w:val="001B3496"/>
    <w:pPr>
      <w:ind w:firstLine="709"/>
      <w:jc w:val="both"/>
    </w:pPr>
    <w:rPr>
      <w:rFonts w:ascii="Verdana" w:hAnsi="Verdana"/>
      <w:sz w:val="18"/>
      <w:szCs w:val="18"/>
    </w:rPr>
  </w:style>
  <w:style w:type="character" w:customStyle="1" w:styleId="TabloChar">
    <w:name w:val="Tablo Char"/>
    <w:basedOn w:val="VarsaylanParagrafYazTipi"/>
    <w:link w:val="Tablo"/>
    <w:uiPriority w:val="99"/>
    <w:locked/>
    <w:rsid w:val="001B3496"/>
    <w:rPr>
      <w:rFonts w:ascii="Verdana" w:eastAsia="Times New Roman" w:hAnsi="Verdana" w:cs="Times New Roman"/>
      <w:sz w:val="18"/>
      <w:szCs w:val="18"/>
      <w:lang w:eastAsia="tr-TR"/>
    </w:rPr>
  </w:style>
  <w:style w:type="character" w:styleId="zlenenKpr">
    <w:name w:val="FollowedHyperlink"/>
    <w:basedOn w:val="VarsaylanParagrafYazTipi"/>
    <w:uiPriority w:val="99"/>
    <w:rsid w:val="001B3496"/>
    <w:rPr>
      <w:rFonts w:cs="Times New Roman"/>
      <w:color w:val="800080"/>
      <w:u w:val="single"/>
    </w:rPr>
  </w:style>
  <w:style w:type="paragraph" w:styleId="SonnotMetni">
    <w:name w:val="endnote text"/>
    <w:basedOn w:val="Normal"/>
    <w:link w:val="SonnotMetniChar"/>
    <w:uiPriority w:val="99"/>
    <w:rsid w:val="001B3496"/>
    <w:pPr>
      <w:ind w:firstLine="709"/>
      <w:jc w:val="both"/>
    </w:pPr>
    <w:rPr>
      <w:rFonts w:ascii="Verdana" w:hAnsi="Verdana"/>
      <w:color w:val="000000"/>
      <w:sz w:val="20"/>
      <w:szCs w:val="20"/>
      <w:lang w:eastAsia="en-US"/>
    </w:rPr>
  </w:style>
  <w:style w:type="character" w:customStyle="1" w:styleId="SonnotMetniChar">
    <w:name w:val="Sonnot Metni Char"/>
    <w:basedOn w:val="VarsaylanParagrafYazTipi"/>
    <w:link w:val="SonnotMetni"/>
    <w:uiPriority w:val="99"/>
    <w:rsid w:val="001B3496"/>
    <w:rPr>
      <w:rFonts w:ascii="Verdana" w:eastAsia="Times New Roman" w:hAnsi="Verdana" w:cs="Times New Roman"/>
      <w:color w:val="000000"/>
      <w:sz w:val="20"/>
      <w:szCs w:val="20"/>
    </w:rPr>
  </w:style>
  <w:style w:type="character" w:styleId="SonnotBavurusu">
    <w:name w:val="endnote reference"/>
    <w:basedOn w:val="VarsaylanParagrafYazTipi"/>
    <w:uiPriority w:val="99"/>
    <w:rsid w:val="001B3496"/>
    <w:rPr>
      <w:rFonts w:cs="Times New Roman"/>
      <w:vertAlign w:val="superscript"/>
    </w:rPr>
  </w:style>
  <w:style w:type="character" w:styleId="SayfaNumaras">
    <w:name w:val="page number"/>
    <w:basedOn w:val="VarsaylanParagrafYazTipi"/>
    <w:uiPriority w:val="99"/>
    <w:rsid w:val="001B3496"/>
    <w:rPr>
      <w:rFonts w:cs="Times New Roman"/>
    </w:rPr>
  </w:style>
  <w:style w:type="character" w:customStyle="1" w:styleId="shorttext">
    <w:name w:val="short_text"/>
    <w:basedOn w:val="VarsaylanParagrafYazTipi"/>
    <w:uiPriority w:val="99"/>
    <w:rsid w:val="001B3496"/>
    <w:rPr>
      <w:rFonts w:cs="Times New Roman"/>
    </w:rPr>
  </w:style>
  <w:style w:type="paragraph" w:styleId="Kaynaka">
    <w:name w:val="Bibliography"/>
    <w:basedOn w:val="Normal"/>
    <w:next w:val="Normal"/>
    <w:uiPriority w:val="99"/>
    <w:rsid w:val="001B3496"/>
    <w:pPr>
      <w:ind w:firstLine="709"/>
      <w:jc w:val="both"/>
    </w:pPr>
    <w:rPr>
      <w:rFonts w:ascii="Verdana" w:hAnsi="Verdana"/>
      <w:color w:val="000000"/>
      <w:sz w:val="18"/>
      <w:lang w:eastAsia="en-US"/>
    </w:rPr>
  </w:style>
  <w:style w:type="paragraph" w:customStyle="1" w:styleId="ArticleTitle">
    <w:name w:val="Article Title"/>
    <w:basedOn w:val="GvdeMetni"/>
    <w:uiPriority w:val="99"/>
    <w:rsid w:val="001B3496"/>
  </w:style>
  <w:style w:type="paragraph" w:styleId="GvdeMetni">
    <w:name w:val="Body Text"/>
    <w:basedOn w:val="Normal"/>
    <w:link w:val="GvdeMetniChar"/>
    <w:uiPriority w:val="99"/>
    <w:rsid w:val="001B3496"/>
    <w:pPr>
      <w:spacing w:after="120"/>
      <w:ind w:firstLine="709"/>
      <w:jc w:val="both"/>
    </w:pPr>
    <w:rPr>
      <w:rFonts w:ascii="Verdana" w:hAnsi="Verdana"/>
      <w:color w:val="000000"/>
      <w:sz w:val="18"/>
      <w:lang w:eastAsia="en-US"/>
    </w:rPr>
  </w:style>
  <w:style w:type="character" w:customStyle="1" w:styleId="GvdeMetniChar">
    <w:name w:val="Gövde Metni Char"/>
    <w:basedOn w:val="VarsaylanParagrafYazTipi"/>
    <w:link w:val="GvdeMetni"/>
    <w:uiPriority w:val="99"/>
    <w:rsid w:val="001B3496"/>
    <w:rPr>
      <w:rFonts w:ascii="Verdana" w:eastAsia="Times New Roman" w:hAnsi="Verdana" w:cs="Times New Roman"/>
      <w:color w:val="000000"/>
      <w:sz w:val="18"/>
      <w:szCs w:val="24"/>
    </w:rPr>
  </w:style>
  <w:style w:type="table" w:styleId="AkGlgeleme">
    <w:name w:val="Light Shading"/>
    <w:basedOn w:val="NormalTablo"/>
    <w:uiPriority w:val="60"/>
    <w:rsid w:val="00B546D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cmb.gov.tr/yeni/evds/yayin/finist/bolumII.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bb.org.tr/Dosyalar/istatistiki_raporlar/3_Aylik_Banka_Bilgileri_(Son_Donem_Karsilastirmali)_/1210/Ekler/Turkiye_Bankacilik_Sistemi-Eylul_2012.pdf" TargetMode="External"/><Relationship Id="rId17" Type="http://schemas.openxmlformats.org/officeDocument/2006/relationships/hyperlink" Target="http://www.tkbb.org.tr/index.php?option=com_content&amp;task=blogcategory&amp;id=46&amp;Itemid=83" TargetMode="External"/><Relationship Id="rId2" Type="http://schemas.openxmlformats.org/officeDocument/2006/relationships/numbering" Target="numbering.xml"/><Relationship Id="rId16" Type="http://schemas.openxmlformats.org/officeDocument/2006/relationships/hyperlink" Target="http://www.kuveytturk.com.tr/tr/Hakkimizda_Tarihc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baraka.com.tr/bizi_taniyin/detay.aspx?SectionID=AvW7CcOUELQlQzfWvBQMfQ%3d%3d&amp;ContentID=SjpzafdvjZK8baQMqwSZQQ%3d%3d" TargetMode="External"/><Relationship Id="rId5" Type="http://schemas.openxmlformats.org/officeDocument/2006/relationships/settings" Target="settings.xml"/><Relationship Id="rId15" Type="http://schemas.openxmlformats.org/officeDocument/2006/relationships/hyperlink" Target="http://www.tkbb.org.tr/index.php?option=com_content&amp;task=blogsection&amp;id=30&amp;Itemid=382" TargetMode="Externa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_sayim@hotmail.com" TargetMode="External"/><Relationship Id="rId14" Type="http://schemas.openxmlformats.org/officeDocument/2006/relationships/hyperlink" Target="http://www.baskent.edu.tr/~gurayk/finpazcuma17.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Sayfa1!$B$1</c:f>
              <c:strCache>
                <c:ptCount val="1"/>
                <c:pt idx="0">
                  <c:v>Share in the Sector</c:v>
                </c:pt>
              </c:strCache>
            </c:strRef>
          </c:tx>
          <c:cat>
            <c:numRef>
              <c:f>Sayfa1!$A$2:$A$7</c:f>
              <c:numCache>
                <c:formatCode>General</c:formatCode>
                <c:ptCount val="6"/>
                <c:pt idx="0">
                  <c:v>2007</c:v>
                </c:pt>
                <c:pt idx="1">
                  <c:v>2008</c:v>
                </c:pt>
                <c:pt idx="2">
                  <c:v>2009</c:v>
                </c:pt>
                <c:pt idx="3">
                  <c:v>2010</c:v>
                </c:pt>
                <c:pt idx="4">
                  <c:v>2011</c:v>
                </c:pt>
                <c:pt idx="5">
                  <c:v>2012</c:v>
                </c:pt>
              </c:numCache>
            </c:numRef>
          </c:cat>
          <c:val>
            <c:numRef>
              <c:f>Sayfa1!$B$2:$B$7</c:f>
              <c:numCache>
                <c:formatCode>0.00%</c:formatCode>
                <c:ptCount val="6"/>
                <c:pt idx="0">
                  <c:v>3.3000000000000002E-2</c:v>
                </c:pt>
                <c:pt idx="1">
                  <c:v>3.500000000000001E-2</c:v>
                </c:pt>
                <c:pt idx="2">
                  <c:v>4.0000000000000022E-2</c:v>
                </c:pt>
                <c:pt idx="3">
                  <c:v>4.3000000000000003E-2</c:v>
                </c:pt>
                <c:pt idx="4">
                  <c:v>4.5999999999999999E-2</c:v>
                </c:pt>
                <c:pt idx="5">
                  <c:v>5.3000000000000012E-2</c:v>
                </c:pt>
              </c:numCache>
            </c:numRef>
          </c:val>
          <c:smooth val="0"/>
        </c:ser>
        <c:dLbls>
          <c:showLegendKey val="0"/>
          <c:showVal val="0"/>
          <c:showCatName val="0"/>
          <c:showSerName val="0"/>
          <c:showPercent val="0"/>
          <c:showBubbleSize val="0"/>
        </c:dLbls>
        <c:marker val="1"/>
        <c:smooth val="0"/>
        <c:axId val="132704896"/>
        <c:axId val="133378816"/>
      </c:lineChart>
      <c:catAx>
        <c:axId val="132704896"/>
        <c:scaling>
          <c:orientation val="minMax"/>
        </c:scaling>
        <c:delete val="0"/>
        <c:axPos val="b"/>
        <c:numFmt formatCode="General" sourceLinked="1"/>
        <c:majorTickMark val="out"/>
        <c:minorTickMark val="none"/>
        <c:tickLblPos val="nextTo"/>
        <c:crossAx val="133378816"/>
        <c:crosses val="autoZero"/>
        <c:auto val="1"/>
        <c:lblAlgn val="ctr"/>
        <c:lblOffset val="100"/>
        <c:noMultiLvlLbl val="0"/>
      </c:catAx>
      <c:valAx>
        <c:axId val="133378816"/>
        <c:scaling>
          <c:orientation val="minMax"/>
        </c:scaling>
        <c:delete val="0"/>
        <c:axPos val="l"/>
        <c:majorGridlines/>
        <c:numFmt formatCode="0.00%" sourceLinked="1"/>
        <c:majorTickMark val="out"/>
        <c:minorTickMark val="none"/>
        <c:tickLblPos val="nextTo"/>
        <c:crossAx val="132704896"/>
        <c:crosses val="autoZero"/>
        <c:crossBetween val="between"/>
      </c:valAx>
    </c:plotArea>
    <c:legend>
      <c:legendPos val="r"/>
      <c:overlay val="0"/>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1F15E-3906-42B8-913A-E1AD3953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9915</Words>
  <Characters>56519</Characters>
  <Application>Microsoft Office Word</Application>
  <DocSecurity>0</DocSecurity>
  <Lines>470</Lines>
  <Paragraphs>132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66302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2013-07-03T10:09:00Z</dcterms:created>
  <dcterms:modified xsi:type="dcterms:W3CDTF">2013-07-03T10:09:00Z</dcterms:modified>
</cp:coreProperties>
</file>