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42" w:rsidRPr="001E5742" w:rsidRDefault="001E5742" w:rsidP="001E5742">
      <w:pPr>
        <w:pStyle w:val="AralkYok"/>
        <w:jc w:val="center"/>
        <w:rPr>
          <w:rStyle w:val="Vurgu"/>
          <w:rFonts w:ascii="Times New Roman" w:hAnsi="Times New Roman"/>
          <w:i w:val="0"/>
          <w:sz w:val="28"/>
        </w:rPr>
      </w:pPr>
      <w:bookmarkStart w:id="0" w:name="_Toc354517283"/>
      <w:r w:rsidRPr="001E5742">
        <w:rPr>
          <w:rStyle w:val="Vurgu"/>
          <w:rFonts w:ascii="Times New Roman" w:hAnsi="Times New Roman"/>
          <w:i w:val="0"/>
          <w:sz w:val="28"/>
        </w:rPr>
        <w:t>The Relationship between Corporate Governance and Performance of Insurance Firms: Evidence from Turkey</w:t>
      </w:r>
    </w:p>
    <w:bookmarkEnd w:id="0"/>
    <w:p w:rsidR="00DC0765" w:rsidRPr="001E5742" w:rsidRDefault="00DC0765" w:rsidP="00DC0765">
      <w:pPr>
        <w:pStyle w:val="KonuBal"/>
        <w:jc w:val="center"/>
        <w:outlineLvl w:val="0"/>
        <w:rPr>
          <w:rFonts w:ascii="Times New Roman" w:hAnsi="Times New Roman" w:cs="Times New Roman"/>
          <w:color w:val="000000" w:themeColor="text1"/>
          <w:sz w:val="2"/>
          <w:szCs w:val="28"/>
          <w:lang w:val="en-US"/>
        </w:rPr>
      </w:pPr>
    </w:p>
    <w:p w:rsidR="001E5742" w:rsidRPr="001E5742" w:rsidRDefault="001E5742" w:rsidP="001E5742">
      <w:pPr>
        <w:pStyle w:val="AralkYok"/>
        <w:jc w:val="center"/>
        <w:rPr>
          <w:rFonts w:ascii="Times New Roman" w:hAnsi="Times New Roman"/>
          <w:b/>
        </w:rPr>
      </w:pPr>
      <w:bookmarkStart w:id="1" w:name="_GoBack"/>
      <w:r w:rsidRPr="001E5742">
        <w:rPr>
          <w:rFonts w:ascii="Times New Roman" w:hAnsi="Times New Roman"/>
          <w:b/>
        </w:rPr>
        <w:t>Mesut Doğan</w:t>
      </w:r>
    </w:p>
    <w:bookmarkEnd w:id="1"/>
    <w:p w:rsidR="001E5742" w:rsidRPr="001E5742" w:rsidRDefault="001E5742" w:rsidP="001E5742">
      <w:pPr>
        <w:pStyle w:val="AralkYok"/>
        <w:jc w:val="center"/>
        <w:rPr>
          <w:rFonts w:ascii="Times New Roman" w:hAnsi="Times New Roman"/>
          <w:i/>
        </w:rPr>
      </w:pPr>
      <w:r w:rsidRPr="001E5742">
        <w:rPr>
          <w:rFonts w:ascii="Times New Roman" w:hAnsi="Times New Roman"/>
          <w:i/>
        </w:rPr>
        <w:t>Afyon Kocatepe University, Afyonkarahisar, Turkey</w:t>
      </w:r>
    </w:p>
    <w:p w:rsidR="001E5742" w:rsidRPr="001E5742" w:rsidRDefault="001E5742" w:rsidP="001E5742">
      <w:pPr>
        <w:pStyle w:val="AralkYok"/>
        <w:jc w:val="center"/>
        <w:rPr>
          <w:rFonts w:ascii="Times New Roman" w:hAnsi="Times New Roman"/>
        </w:rPr>
      </w:pPr>
      <w:hyperlink r:id="rId7" w:history="1">
        <w:r w:rsidRPr="001E5742">
          <w:rPr>
            <w:rFonts w:ascii="Times New Roman" w:hAnsi="Times New Roman"/>
          </w:rPr>
          <w:t>mesutdogan@aku.edu.tr</w:t>
        </w:r>
      </w:hyperlink>
    </w:p>
    <w:p w:rsidR="001E5742" w:rsidRPr="001E5742" w:rsidRDefault="001E5742" w:rsidP="001E5742">
      <w:pPr>
        <w:pStyle w:val="AralkYok"/>
        <w:jc w:val="center"/>
        <w:rPr>
          <w:rFonts w:ascii="Times New Roman" w:hAnsi="Times New Roman"/>
        </w:rPr>
      </w:pPr>
    </w:p>
    <w:p w:rsidR="001E5742" w:rsidRPr="001E5742" w:rsidRDefault="001E5742" w:rsidP="001E5742">
      <w:pPr>
        <w:pStyle w:val="AralkYok"/>
        <w:jc w:val="center"/>
        <w:rPr>
          <w:rFonts w:ascii="Times New Roman" w:hAnsi="Times New Roman"/>
          <w:b/>
        </w:rPr>
      </w:pPr>
      <w:r w:rsidRPr="001E5742">
        <w:rPr>
          <w:rFonts w:ascii="Times New Roman" w:hAnsi="Times New Roman"/>
          <w:b/>
        </w:rPr>
        <w:t>Bilge Leyli Elitaş</w:t>
      </w:r>
    </w:p>
    <w:p w:rsidR="001E5742" w:rsidRPr="001E5742" w:rsidRDefault="001E5742" w:rsidP="001E5742">
      <w:pPr>
        <w:pStyle w:val="AralkYok"/>
        <w:jc w:val="center"/>
        <w:rPr>
          <w:rFonts w:ascii="Times New Roman" w:hAnsi="Times New Roman"/>
          <w:i/>
        </w:rPr>
      </w:pPr>
      <w:r w:rsidRPr="001E5742">
        <w:rPr>
          <w:rFonts w:ascii="Times New Roman" w:hAnsi="Times New Roman"/>
          <w:i/>
        </w:rPr>
        <w:t>Yalova University, Yalova, Turkey</w:t>
      </w:r>
    </w:p>
    <w:p w:rsidR="001E5742" w:rsidRPr="001E5742" w:rsidRDefault="001E5742" w:rsidP="001E5742">
      <w:pPr>
        <w:pStyle w:val="AralkYok"/>
        <w:jc w:val="center"/>
        <w:rPr>
          <w:rFonts w:ascii="Times New Roman" w:hAnsi="Times New Roman"/>
        </w:rPr>
      </w:pPr>
      <w:hyperlink r:id="rId8" w:history="1">
        <w:r w:rsidRPr="001E5742">
          <w:rPr>
            <w:rFonts w:ascii="Times New Roman" w:hAnsi="Times New Roman"/>
          </w:rPr>
          <w:t>bilgeleyli@yalova.edu.tr</w:t>
        </w:r>
      </w:hyperlink>
    </w:p>
    <w:p w:rsidR="001E5742" w:rsidRPr="001E5742" w:rsidRDefault="001E5742" w:rsidP="001E5742">
      <w:pPr>
        <w:pStyle w:val="AralkYok"/>
        <w:jc w:val="center"/>
        <w:rPr>
          <w:rFonts w:ascii="Times New Roman" w:hAnsi="Times New Roman"/>
        </w:rPr>
      </w:pPr>
    </w:p>
    <w:p w:rsidR="001E5742" w:rsidRPr="001E5742" w:rsidRDefault="001E5742" w:rsidP="001E5742">
      <w:pPr>
        <w:pStyle w:val="AralkYok"/>
        <w:jc w:val="center"/>
        <w:rPr>
          <w:rFonts w:ascii="Times New Roman" w:hAnsi="Times New Roman"/>
          <w:b/>
        </w:rPr>
      </w:pPr>
      <w:r w:rsidRPr="001E5742">
        <w:rPr>
          <w:rFonts w:ascii="Times New Roman" w:hAnsi="Times New Roman"/>
          <w:b/>
        </w:rPr>
        <w:t>Ramazan Nacar</w:t>
      </w:r>
    </w:p>
    <w:p w:rsidR="001E5742" w:rsidRPr="001E5742" w:rsidRDefault="001E5742" w:rsidP="001E5742">
      <w:pPr>
        <w:pStyle w:val="AralkYok"/>
        <w:jc w:val="center"/>
        <w:rPr>
          <w:rFonts w:ascii="Times New Roman" w:hAnsi="Times New Roman"/>
          <w:i/>
        </w:rPr>
      </w:pPr>
      <w:r w:rsidRPr="001E5742">
        <w:rPr>
          <w:rFonts w:ascii="Times New Roman" w:hAnsi="Times New Roman"/>
          <w:i/>
        </w:rPr>
        <w:t>Yalova University, Yalova, Turkey</w:t>
      </w:r>
    </w:p>
    <w:p w:rsidR="001E5742" w:rsidRPr="001E5742" w:rsidRDefault="001E5742" w:rsidP="001E5742">
      <w:pPr>
        <w:pStyle w:val="AralkYok"/>
        <w:jc w:val="center"/>
        <w:rPr>
          <w:rFonts w:ascii="Times New Roman" w:eastAsia="Calibri" w:hAnsi="Times New Roman"/>
          <w:lang w:eastAsia="en-US"/>
        </w:rPr>
      </w:pPr>
      <w:r w:rsidRPr="001E5742">
        <w:rPr>
          <w:rFonts w:ascii="Times New Roman" w:hAnsi="Times New Roman"/>
        </w:rPr>
        <w:t>rnacar@yalova.edu.tr</w:t>
      </w:r>
    </w:p>
    <w:p w:rsidR="00285B9A" w:rsidRPr="001E5742" w:rsidRDefault="00285B9A" w:rsidP="000C0831">
      <w:pPr>
        <w:jc w:val="both"/>
        <w:rPr>
          <w:b/>
          <w:noProof/>
          <w:sz w:val="22"/>
          <w:szCs w:val="22"/>
          <w:lang w:val="en-US"/>
        </w:rPr>
      </w:pPr>
    </w:p>
    <w:p w:rsidR="00B976C6" w:rsidRPr="001E5742" w:rsidRDefault="0027743E" w:rsidP="00B976C6">
      <w:pPr>
        <w:ind w:left="680" w:right="680"/>
        <w:jc w:val="center"/>
        <w:rPr>
          <w:b/>
          <w:noProof/>
          <w:sz w:val="22"/>
          <w:szCs w:val="22"/>
          <w:lang w:val="en-US"/>
        </w:rPr>
      </w:pPr>
      <w:r w:rsidRPr="001E5742">
        <w:rPr>
          <w:b/>
          <w:noProof/>
          <w:sz w:val="22"/>
          <w:szCs w:val="22"/>
          <w:lang w:val="en-US"/>
        </w:rPr>
        <w:t>Abstract</w:t>
      </w:r>
    </w:p>
    <w:p w:rsidR="001E5742" w:rsidRPr="001E5742" w:rsidRDefault="001E5742" w:rsidP="001E5742">
      <w:pPr>
        <w:ind w:left="680" w:right="680"/>
        <w:jc w:val="both"/>
        <w:rPr>
          <w:noProof/>
          <w:sz w:val="22"/>
          <w:szCs w:val="22"/>
          <w:lang w:val="en-US"/>
        </w:rPr>
      </w:pPr>
    </w:p>
    <w:p w:rsidR="001E5742" w:rsidRPr="001E5742" w:rsidRDefault="001E5742" w:rsidP="001E5742">
      <w:pPr>
        <w:ind w:left="680" w:right="680"/>
        <w:jc w:val="both"/>
        <w:rPr>
          <w:noProof/>
          <w:sz w:val="22"/>
          <w:szCs w:val="22"/>
          <w:lang w:val="en-US"/>
        </w:rPr>
      </w:pPr>
      <w:r w:rsidRPr="001E5742">
        <w:rPr>
          <w:sz w:val="22"/>
          <w:lang w:val="en-US"/>
        </w:rPr>
        <w:t xml:space="preserve">There are many studies in the field of corporate governance from all around the world. In accordance with these studies, it is emphasized that it cannot be mentioned about any single corporate governance model which is valid for all countries. Thus, this study aims to research the relationship between corporate governance and performance of insurance firms. Data used in this study is derived from seven insurance firms listed on Borsa İstanbul (BİST) and it is limited to 2005-2011 periods. The effects of corporate governance on performance of insurance firms are analyzed by multiple regression method. In the study, Return on Equity (ROE) is used as performance indicator of insurance firms, namely the dependent variable. And insurance firms’ size of board of directors, free float rate, CEO duality, the </w:t>
      </w:r>
      <w:r w:rsidRPr="001E5742">
        <w:rPr>
          <w:sz w:val="22"/>
          <w:lang w:val="en-US"/>
        </w:rPr>
        <w:t>block holder</w:t>
      </w:r>
      <w:r w:rsidRPr="001E5742">
        <w:rPr>
          <w:sz w:val="22"/>
          <w:lang w:val="en-US"/>
        </w:rPr>
        <w:t xml:space="preserve"> ratio, number of owners and total assets have been used as independent variables. The results of the analysis have proven a positive relation between ROE and free float rate, CEO duality and total assets. </w:t>
      </w:r>
    </w:p>
    <w:p w:rsidR="001E5742" w:rsidRPr="001E5742" w:rsidRDefault="001E5742" w:rsidP="001E5742">
      <w:pPr>
        <w:ind w:left="680" w:right="680"/>
        <w:jc w:val="both"/>
        <w:rPr>
          <w:noProof/>
          <w:sz w:val="22"/>
          <w:szCs w:val="22"/>
          <w:lang w:val="en-US"/>
        </w:rPr>
      </w:pPr>
    </w:p>
    <w:p w:rsidR="001E5742" w:rsidRPr="001E5742" w:rsidRDefault="001E5742" w:rsidP="001E5742">
      <w:pPr>
        <w:ind w:left="680" w:right="680"/>
        <w:jc w:val="both"/>
        <w:rPr>
          <w:noProof/>
          <w:sz w:val="22"/>
          <w:szCs w:val="22"/>
          <w:lang w:val="en-US"/>
        </w:rPr>
      </w:pPr>
      <w:r w:rsidRPr="001E5742">
        <w:rPr>
          <w:b/>
          <w:sz w:val="22"/>
          <w:lang w:val="en-US"/>
        </w:rPr>
        <w:t>Keywords:</w:t>
      </w:r>
      <w:r w:rsidRPr="001E5742">
        <w:rPr>
          <w:sz w:val="22"/>
          <w:lang w:val="en-US"/>
        </w:rPr>
        <w:t xml:space="preserve"> Corporate Governance, Firm Performance, Insurance Firms.</w:t>
      </w:r>
    </w:p>
    <w:p w:rsidR="00285B9A" w:rsidRDefault="00285B9A" w:rsidP="000C0831">
      <w:pPr>
        <w:ind w:left="567" w:right="567"/>
        <w:jc w:val="both"/>
        <w:rPr>
          <w:noProof/>
          <w:color w:val="000000"/>
          <w:lang w:val="en-US"/>
        </w:rPr>
      </w:pPr>
      <w:r w:rsidRPr="001E5742">
        <w:rPr>
          <w:noProof/>
          <w:color w:val="000000"/>
          <w:lang w:val="en-US"/>
        </w:rPr>
        <w:t xml:space="preserve"> </w:t>
      </w:r>
    </w:p>
    <w:p w:rsidR="001E5742" w:rsidRDefault="001E5742" w:rsidP="000C0831">
      <w:pPr>
        <w:ind w:left="567" w:right="567"/>
        <w:jc w:val="both"/>
        <w:rPr>
          <w:noProof/>
          <w:color w:val="000000"/>
          <w:lang w:val="en-US"/>
        </w:rPr>
      </w:pPr>
    </w:p>
    <w:p w:rsidR="001E5742" w:rsidRPr="001E5742" w:rsidRDefault="001E5742" w:rsidP="000C0831">
      <w:pPr>
        <w:ind w:left="567" w:right="567"/>
        <w:jc w:val="both"/>
        <w:rPr>
          <w:noProof/>
          <w:color w:val="000000"/>
          <w:lang w:val="en-US"/>
        </w:rPr>
      </w:pPr>
    </w:p>
    <w:p w:rsidR="00285B9A" w:rsidRPr="001E5742" w:rsidRDefault="00285B9A" w:rsidP="000C0831">
      <w:pPr>
        <w:jc w:val="both"/>
        <w:rPr>
          <w:b/>
          <w:noProof/>
          <w:lang w:val="en-US"/>
        </w:rPr>
      </w:pPr>
      <w:r w:rsidRPr="001E5742">
        <w:rPr>
          <w:b/>
          <w:noProof/>
          <w:lang w:val="en-US"/>
        </w:rPr>
        <w:t>Introduction</w:t>
      </w:r>
    </w:p>
    <w:p w:rsidR="00285B9A" w:rsidRPr="001E5742" w:rsidRDefault="00285B9A" w:rsidP="000C0831">
      <w:pPr>
        <w:jc w:val="both"/>
        <w:rPr>
          <w:noProof/>
          <w:lang w:val="en-US"/>
        </w:rPr>
      </w:pPr>
    </w:p>
    <w:p w:rsidR="001E5742" w:rsidRPr="001E5742" w:rsidRDefault="001E5742" w:rsidP="001E5742">
      <w:pPr>
        <w:autoSpaceDE w:val="0"/>
        <w:autoSpaceDN w:val="0"/>
        <w:adjustRightInd w:val="0"/>
        <w:jc w:val="both"/>
        <w:rPr>
          <w:lang w:val="en-US"/>
        </w:rPr>
      </w:pPr>
      <w:r w:rsidRPr="001E5742">
        <w:rPr>
          <w:lang w:val="en-US"/>
        </w:rPr>
        <w:t>The most used definition about the corporate governance is “</w:t>
      </w:r>
      <w:r w:rsidRPr="001E5742">
        <w:rPr>
          <w:i/>
          <w:lang w:val="en-US"/>
        </w:rPr>
        <w:t xml:space="preserve">Corporate governance deals with the ways in which the suppliers of finance to corporations assure themselves of getting a return on their investment” </w:t>
      </w:r>
      <w:r w:rsidRPr="001E5742">
        <w:rPr>
          <w:lang w:val="en-US"/>
        </w:rPr>
        <w:t>by Shleifer and Vishny (1997: 737)</w:t>
      </w:r>
    </w:p>
    <w:p w:rsidR="001E5742" w:rsidRPr="001E5742" w:rsidRDefault="001E5742" w:rsidP="001E5742">
      <w:pPr>
        <w:autoSpaceDE w:val="0"/>
        <w:autoSpaceDN w:val="0"/>
        <w:adjustRightInd w:val="0"/>
        <w:jc w:val="both"/>
        <w:rPr>
          <w:lang w:val="en-US"/>
        </w:rPr>
      </w:pPr>
    </w:p>
    <w:p w:rsidR="001E5742" w:rsidRPr="001E5742" w:rsidRDefault="001E5742" w:rsidP="001E5742">
      <w:pPr>
        <w:autoSpaceDE w:val="0"/>
        <w:autoSpaceDN w:val="0"/>
        <w:adjustRightInd w:val="0"/>
        <w:jc w:val="both"/>
        <w:rPr>
          <w:lang w:val="en-US"/>
        </w:rPr>
      </w:pPr>
      <w:r w:rsidRPr="001E5742">
        <w:rPr>
          <w:lang w:val="en-US"/>
        </w:rPr>
        <w:t>Corporate governance aims to manage in a way which maximizes the profits and benefits of corporate shareholders. It has the most important role to gain trust of investors and the public (Pamukçu, 2011: 134).</w:t>
      </w:r>
    </w:p>
    <w:p w:rsidR="001E5742" w:rsidRPr="001E5742" w:rsidRDefault="001E5742" w:rsidP="001E5742">
      <w:pPr>
        <w:autoSpaceDE w:val="0"/>
        <w:autoSpaceDN w:val="0"/>
        <w:adjustRightInd w:val="0"/>
        <w:jc w:val="both"/>
        <w:rPr>
          <w:lang w:val="en-US"/>
        </w:rPr>
      </w:pPr>
    </w:p>
    <w:p w:rsidR="001E5742" w:rsidRPr="001E5742" w:rsidRDefault="001E5742" w:rsidP="001E5742">
      <w:pPr>
        <w:autoSpaceDE w:val="0"/>
        <w:autoSpaceDN w:val="0"/>
        <w:adjustRightInd w:val="0"/>
        <w:jc w:val="both"/>
        <w:rPr>
          <w:lang w:val="en-US"/>
        </w:rPr>
      </w:pPr>
      <w:r w:rsidRPr="001E5742">
        <w:rPr>
          <w:lang w:val="en-US"/>
        </w:rPr>
        <w:t xml:space="preserve">Corporate governance gives investors a power to prevent CEO and board of directors to expropriate all </w:t>
      </w:r>
      <w:r w:rsidRPr="001E5742">
        <w:rPr>
          <w:lang w:val="en-US"/>
        </w:rPr>
        <w:t>corporations’</w:t>
      </w:r>
      <w:r w:rsidRPr="001E5742">
        <w:rPr>
          <w:lang w:val="en-US"/>
        </w:rPr>
        <w:t xml:space="preserve"> assets. Corporate governance can be summarized in one word as a control (Kula, 2006). </w:t>
      </w:r>
    </w:p>
    <w:p w:rsidR="001E5742" w:rsidRPr="001E5742" w:rsidRDefault="001E5742" w:rsidP="001E5742">
      <w:pPr>
        <w:autoSpaceDE w:val="0"/>
        <w:autoSpaceDN w:val="0"/>
        <w:adjustRightInd w:val="0"/>
        <w:rPr>
          <w:lang w:val="en-US"/>
        </w:rPr>
      </w:pPr>
    </w:p>
    <w:p w:rsidR="001E5742" w:rsidRPr="001E5742" w:rsidRDefault="001E5742" w:rsidP="001E5742">
      <w:pPr>
        <w:autoSpaceDE w:val="0"/>
        <w:autoSpaceDN w:val="0"/>
        <w:adjustRightInd w:val="0"/>
        <w:jc w:val="both"/>
        <w:rPr>
          <w:lang w:val="en-US"/>
        </w:rPr>
      </w:pPr>
      <w:r w:rsidRPr="001E5742">
        <w:rPr>
          <w:lang w:val="en-US"/>
        </w:rPr>
        <w:t xml:space="preserve">Maher and Andersson (1999) </w:t>
      </w:r>
      <w:r w:rsidRPr="001E5742">
        <w:rPr>
          <w:lang w:val="en-US"/>
        </w:rPr>
        <w:t>referred</w:t>
      </w:r>
      <w:r w:rsidRPr="001E5742">
        <w:rPr>
          <w:lang w:val="en-US"/>
        </w:rPr>
        <w:t xml:space="preserve"> that there is an effect of corporate governance on corporate and economic performance. Corporate governance both influences the progress and processing of capital markets and puts forward powerful impact on resource allocation. </w:t>
      </w:r>
      <w:r w:rsidRPr="001E5742">
        <w:rPr>
          <w:lang w:val="en-US"/>
        </w:rPr>
        <w:lastRenderedPageBreak/>
        <w:t xml:space="preserve">Corporate governance, which is a significant framework condition, also impresses industrial competitiveness and economies of member countries in the period of high capital mobility and rapid globalization (Maher and Andersson, 1999). In the literature there are many studies that researched the effects of corporate governance on corporate performance, especially for developed markets. </w:t>
      </w:r>
      <w:r w:rsidRPr="001E5742">
        <w:rPr>
          <w:lang w:val="en-US"/>
        </w:rPr>
        <w:t>Researchers stated that fine governance applications result in the enhancements of economic value added, higher productivity and reduce</w:t>
      </w:r>
      <w:r w:rsidRPr="001E5742">
        <w:rPr>
          <w:lang w:val="en-US"/>
        </w:rPr>
        <w:t xml:space="preserve"> the risk of systematic financial failure. However, there is no sufficient research for emerging markets, thus researching corporate governance in emerging markets is a fast-growing area (Maher and Andersson, 1999).</w:t>
      </w:r>
    </w:p>
    <w:p w:rsidR="001E5742" w:rsidRPr="001E5742" w:rsidRDefault="001E5742" w:rsidP="001E5742">
      <w:pPr>
        <w:autoSpaceDE w:val="0"/>
        <w:autoSpaceDN w:val="0"/>
        <w:adjustRightInd w:val="0"/>
        <w:jc w:val="both"/>
        <w:rPr>
          <w:lang w:val="en-US"/>
        </w:rPr>
      </w:pPr>
    </w:p>
    <w:p w:rsidR="001E5742" w:rsidRPr="001E5742" w:rsidRDefault="001E5742" w:rsidP="001E5742">
      <w:pPr>
        <w:autoSpaceDE w:val="0"/>
        <w:autoSpaceDN w:val="0"/>
        <w:adjustRightInd w:val="0"/>
        <w:jc w:val="both"/>
        <w:rPr>
          <w:lang w:val="en-US"/>
        </w:rPr>
      </w:pPr>
      <w:r w:rsidRPr="001E5742">
        <w:rPr>
          <w:lang w:val="en-US"/>
        </w:rPr>
        <w:t>Corporate governance cause to change business management philosophy in the field of information systems and accounting system (Aysan, 2007).</w:t>
      </w:r>
    </w:p>
    <w:p w:rsidR="001E5742" w:rsidRPr="001E5742" w:rsidRDefault="001E5742" w:rsidP="001E5742">
      <w:pPr>
        <w:autoSpaceDE w:val="0"/>
        <w:autoSpaceDN w:val="0"/>
        <w:adjustRightInd w:val="0"/>
        <w:ind w:firstLine="708"/>
        <w:jc w:val="both"/>
        <w:rPr>
          <w:lang w:val="en-US"/>
        </w:rPr>
      </w:pPr>
    </w:p>
    <w:p w:rsidR="001E5742" w:rsidRPr="001E5742" w:rsidRDefault="001E5742" w:rsidP="001E5742">
      <w:pPr>
        <w:autoSpaceDE w:val="0"/>
        <w:autoSpaceDN w:val="0"/>
        <w:adjustRightInd w:val="0"/>
        <w:jc w:val="both"/>
        <w:rPr>
          <w:lang w:val="en-US"/>
        </w:rPr>
      </w:pPr>
      <w:r w:rsidRPr="001E5742">
        <w:rPr>
          <w:lang w:val="en-US"/>
        </w:rPr>
        <w:t xml:space="preserve">There are studies about the relationship between corporate governance and firm performance in the literature. But the originality of this paper comes from assumption that it is the pioneer study that examined how corporate governance </w:t>
      </w:r>
      <w:r w:rsidRPr="001E5742">
        <w:rPr>
          <w:lang w:val="en-US"/>
        </w:rPr>
        <w:t>effects</w:t>
      </w:r>
      <w:r w:rsidRPr="001E5742">
        <w:rPr>
          <w:lang w:val="en-US"/>
        </w:rPr>
        <w:t xml:space="preserve"> the performance of insurance firms for Turkey. </w:t>
      </w:r>
    </w:p>
    <w:p w:rsidR="001E5742" w:rsidRPr="001E5742" w:rsidRDefault="001E5742" w:rsidP="001E5742">
      <w:pPr>
        <w:autoSpaceDE w:val="0"/>
        <w:autoSpaceDN w:val="0"/>
        <w:adjustRightInd w:val="0"/>
        <w:ind w:firstLine="708"/>
        <w:jc w:val="both"/>
        <w:rPr>
          <w:lang w:val="en-US"/>
        </w:rPr>
      </w:pPr>
    </w:p>
    <w:p w:rsidR="001E5742" w:rsidRPr="001E5742" w:rsidRDefault="001E5742" w:rsidP="001E5742">
      <w:pPr>
        <w:autoSpaceDE w:val="0"/>
        <w:autoSpaceDN w:val="0"/>
        <w:adjustRightInd w:val="0"/>
        <w:jc w:val="both"/>
        <w:rPr>
          <w:i/>
          <w:lang w:val="en-US"/>
        </w:rPr>
      </w:pPr>
      <w:r w:rsidRPr="001E5742">
        <w:rPr>
          <w:lang w:val="en-US"/>
        </w:rPr>
        <w:t xml:space="preserve">This study aims to analyze the effects of corporate governance on the performance of insurance firms. The originality of this paper </w:t>
      </w:r>
      <w:r w:rsidRPr="001E5742">
        <w:rPr>
          <w:lang w:val="en-US"/>
        </w:rPr>
        <w:t>with</w:t>
      </w:r>
      <w:r w:rsidRPr="001E5742">
        <w:rPr>
          <w:lang w:val="en-US"/>
        </w:rPr>
        <w:t xml:space="preserve"> this purpose, a sample has been constituted by using financial data of 7 insurance firms traded in Borsa İstanbul (BIST) for the period of 2005-2011.  The effects of corporate governance on the performance of insurance firms are analyzed by multiple regression method. In the study, Return on Equity (ROE) is used as performance indicator of insurance firms, namely the dependent variable. And insurance firms’ size of board of directors, free float rate, CEO duality, the </w:t>
      </w:r>
      <w:r w:rsidRPr="001E5742">
        <w:rPr>
          <w:lang w:val="en-US"/>
        </w:rPr>
        <w:t>block holder</w:t>
      </w:r>
      <w:r w:rsidRPr="001E5742">
        <w:rPr>
          <w:lang w:val="en-US"/>
        </w:rPr>
        <w:t xml:space="preserve"> ratio, number of owners and total assets have been used as independent variables. </w:t>
      </w:r>
    </w:p>
    <w:p w:rsidR="001E5742" w:rsidRPr="001E5742" w:rsidRDefault="001E5742" w:rsidP="001E5742">
      <w:pPr>
        <w:autoSpaceDE w:val="0"/>
        <w:autoSpaceDN w:val="0"/>
        <w:adjustRightInd w:val="0"/>
        <w:ind w:firstLine="708"/>
        <w:jc w:val="both"/>
        <w:rPr>
          <w:i/>
          <w:lang w:val="en-US"/>
        </w:rPr>
      </w:pPr>
    </w:p>
    <w:p w:rsidR="001E5742" w:rsidRPr="001E5742" w:rsidRDefault="001E5742" w:rsidP="001E5742">
      <w:pPr>
        <w:autoSpaceDE w:val="0"/>
        <w:autoSpaceDN w:val="0"/>
        <w:adjustRightInd w:val="0"/>
        <w:jc w:val="both"/>
        <w:rPr>
          <w:lang w:val="en-US"/>
        </w:rPr>
      </w:pPr>
      <w:r w:rsidRPr="001E5742">
        <w:rPr>
          <w:lang w:val="en-US"/>
        </w:rPr>
        <w:t xml:space="preserve">The study consists of five sections. In the second section that follows the introduction part, we summarize academic studies that measure the relationship between corporate governance and firm performance. The third section describes the methodology and the model of the study by introducing dependent and independent variables. The fourth chapter covers the results of multiple regression </w:t>
      </w:r>
      <w:r w:rsidRPr="001E5742">
        <w:rPr>
          <w:lang w:val="en-US"/>
        </w:rPr>
        <w:t>models</w:t>
      </w:r>
      <w:r w:rsidRPr="001E5742">
        <w:rPr>
          <w:lang w:val="en-US"/>
        </w:rPr>
        <w:t>. And in the last section we conducted an overall assessment of the research.</w:t>
      </w:r>
    </w:p>
    <w:p w:rsidR="001E5742" w:rsidRPr="001E5742" w:rsidRDefault="001E5742" w:rsidP="001E5742">
      <w:pPr>
        <w:autoSpaceDE w:val="0"/>
        <w:autoSpaceDN w:val="0"/>
        <w:adjustRightInd w:val="0"/>
        <w:jc w:val="both"/>
        <w:rPr>
          <w:lang w:val="en-US"/>
        </w:rPr>
      </w:pPr>
    </w:p>
    <w:p w:rsidR="001E5742" w:rsidRPr="001E5742" w:rsidRDefault="001E5742" w:rsidP="001E5742">
      <w:pPr>
        <w:autoSpaceDE w:val="0"/>
        <w:autoSpaceDN w:val="0"/>
        <w:adjustRightInd w:val="0"/>
        <w:jc w:val="both"/>
        <w:rPr>
          <w:b/>
          <w:lang w:val="en-US"/>
        </w:rPr>
      </w:pPr>
      <w:r w:rsidRPr="001E5742">
        <w:rPr>
          <w:b/>
          <w:lang w:val="en-US"/>
        </w:rPr>
        <w:t>The Literature Review</w:t>
      </w:r>
    </w:p>
    <w:p w:rsidR="001E5742" w:rsidRPr="001E5742" w:rsidRDefault="001E5742" w:rsidP="001E5742">
      <w:pPr>
        <w:autoSpaceDE w:val="0"/>
        <w:autoSpaceDN w:val="0"/>
        <w:adjustRightInd w:val="0"/>
        <w:jc w:val="both"/>
        <w:rPr>
          <w:b/>
          <w:lang w:val="en-US"/>
        </w:rPr>
      </w:pPr>
    </w:p>
    <w:p w:rsidR="001E5742" w:rsidRPr="001E5742" w:rsidRDefault="001E5742" w:rsidP="001E5742">
      <w:pPr>
        <w:jc w:val="both"/>
        <w:rPr>
          <w:lang w:val="en-US"/>
        </w:rPr>
      </w:pPr>
      <w:r w:rsidRPr="001E5742">
        <w:rPr>
          <w:lang w:val="en-US"/>
        </w:rPr>
        <w:t xml:space="preserve">Drobetz, Schillhofer and Zimmermann (2003) </w:t>
      </w:r>
      <w:r w:rsidRPr="001E5742">
        <w:rPr>
          <w:lang w:val="en-US"/>
        </w:rPr>
        <w:t>examine</w:t>
      </w:r>
      <w:r w:rsidRPr="001E5742">
        <w:rPr>
          <w:lang w:val="en-US"/>
        </w:rPr>
        <w:t xml:space="preserve"> the relationship between corporate governance and firm performance in Germany. Tobin’s Q and market-to-book ratio (MTBR) are used as firm valuation measures. According to the results of the empirical study there is a strong and a significant positive relationship between the quality of firm-level corporate governance and firm valuation.</w:t>
      </w:r>
    </w:p>
    <w:p w:rsidR="001E5742" w:rsidRPr="001E5742" w:rsidRDefault="001E5742" w:rsidP="001E5742">
      <w:pPr>
        <w:jc w:val="both"/>
        <w:rPr>
          <w:lang w:val="en-US"/>
        </w:rPr>
      </w:pPr>
    </w:p>
    <w:p w:rsidR="001E5742" w:rsidRPr="001E5742" w:rsidRDefault="001E5742" w:rsidP="001E5742">
      <w:pPr>
        <w:jc w:val="both"/>
        <w:rPr>
          <w:lang w:val="en-US"/>
        </w:rPr>
      </w:pPr>
      <w:r w:rsidRPr="001E5742">
        <w:rPr>
          <w:lang w:val="en-US"/>
        </w:rPr>
        <w:t>Beiner et. al. (2004) analyzed the relationship between corporate governance and firm valuation for Switzerland. The results of study show that corporate governance index (CGI), board size and shareholdings of officers and directors have a statistically significant effect on firm valuation. Beiner et. al. (2004) stated that the positive relationship between firm-level corporate governance and Tobin’s Q.</w:t>
      </w:r>
    </w:p>
    <w:p w:rsidR="001E5742" w:rsidRPr="001E5742" w:rsidRDefault="001E5742" w:rsidP="001E5742">
      <w:pPr>
        <w:spacing w:before="120" w:after="120"/>
        <w:jc w:val="both"/>
        <w:rPr>
          <w:lang w:val="en-US"/>
        </w:rPr>
      </w:pPr>
    </w:p>
    <w:p w:rsidR="001E5742" w:rsidRPr="001E5742" w:rsidRDefault="001E5742" w:rsidP="001E5742">
      <w:pPr>
        <w:spacing w:before="120" w:after="120"/>
        <w:jc w:val="both"/>
        <w:rPr>
          <w:lang w:val="en-US"/>
        </w:rPr>
      </w:pPr>
      <w:r w:rsidRPr="001E5742">
        <w:rPr>
          <w:lang w:val="en-US"/>
        </w:rPr>
        <w:lastRenderedPageBreak/>
        <w:t>Wu and Xu (2005) investigated corporate financing decisions and corporate governance effects on the firm value. Findings of the study are consistent with major corporate governance theories explaining financing decisions’ roles in a more competitive financial market.</w:t>
      </w:r>
    </w:p>
    <w:p w:rsidR="001E5742" w:rsidRPr="001E5742" w:rsidRDefault="001E5742" w:rsidP="001E5742">
      <w:pPr>
        <w:jc w:val="both"/>
        <w:rPr>
          <w:lang w:val="en-US"/>
        </w:rPr>
      </w:pPr>
    </w:p>
    <w:p w:rsidR="001E5742" w:rsidRPr="001E5742" w:rsidRDefault="001E5742" w:rsidP="001E5742">
      <w:pPr>
        <w:jc w:val="both"/>
        <w:rPr>
          <w:lang w:val="en-US"/>
        </w:rPr>
      </w:pPr>
      <w:r w:rsidRPr="001E5742">
        <w:rPr>
          <w:lang w:val="en-US"/>
        </w:rPr>
        <w:t xml:space="preserve">Chhaochharia and Grinstein (2007) founded that the corporate governance rules (Sarbanes-Oxley Act) had </w:t>
      </w:r>
      <w:r w:rsidRPr="001E5742">
        <w:rPr>
          <w:lang w:val="en-US"/>
        </w:rPr>
        <w:t>a</w:t>
      </w:r>
      <w:r w:rsidRPr="001E5742">
        <w:rPr>
          <w:lang w:val="en-US"/>
        </w:rPr>
        <w:t xml:space="preserve"> significant effect on firm value. </w:t>
      </w:r>
    </w:p>
    <w:p w:rsidR="001E5742" w:rsidRPr="001E5742" w:rsidRDefault="001E5742" w:rsidP="001E5742">
      <w:pPr>
        <w:jc w:val="both"/>
        <w:rPr>
          <w:lang w:val="en-US"/>
        </w:rPr>
      </w:pPr>
    </w:p>
    <w:p w:rsidR="001E5742" w:rsidRPr="001E5742" w:rsidRDefault="001E5742" w:rsidP="001E5742">
      <w:pPr>
        <w:jc w:val="both"/>
        <w:rPr>
          <w:lang w:val="en-US"/>
        </w:rPr>
      </w:pPr>
      <w:r w:rsidRPr="001E5742">
        <w:rPr>
          <w:lang w:val="en-US"/>
        </w:rPr>
        <w:t>Javed and Iqbal (2007) analyzed the relationship between corporate governance and firm value for the Karachi Stock Market, Pakistan. The sample of 50 firms is selected for the year 2003, 2004 and 2005 for the empirical study. The Tobin’s q, corporate governance index (CGI)-board composition (board), ownership and shareholdings (share) and disclosure, transparency and auditing (disc.); and size (in assets), leverage (debt/total asset ratio) and growth (average sale growth) are used in estimation. According to the results of the study a positive and significant relation has been found between the quality of firm-level corporate governance and firm performance.</w:t>
      </w:r>
    </w:p>
    <w:p w:rsidR="001E5742" w:rsidRPr="001E5742" w:rsidRDefault="001E5742" w:rsidP="001E5742">
      <w:pPr>
        <w:jc w:val="both"/>
        <w:rPr>
          <w:lang w:val="en-US"/>
        </w:rPr>
      </w:pPr>
    </w:p>
    <w:p w:rsidR="001E5742" w:rsidRPr="001E5742" w:rsidRDefault="001E5742" w:rsidP="001E5742">
      <w:pPr>
        <w:jc w:val="both"/>
        <w:rPr>
          <w:lang w:val="en-US"/>
        </w:rPr>
      </w:pPr>
      <w:r w:rsidRPr="001E5742">
        <w:rPr>
          <w:lang w:val="en-US"/>
        </w:rPr>
        <w:t xml:space="preserve">Toraman and Abdioğlu (2008) investigated weak and strong corporate governance practices of Borsa Istanbul (BIST) corporate governance index companies. In this respect rating reports had been investigated. Study results shows that the most powerful corporate governance practices are observed at the stakeholders section and the weakest are at the board of directors section of the guide. </w:t>
      </w:r>
    </w:p>
    <w:p w:rsidR="001E5742" w:rsidRPr="001E5742" w:rsidRDefault="001E5742" w:rsidP="001E5742">
      <w:pPr>
        <w:jc w:val="both"/>
        <w:rPr>
          <w:lang w:val="en-US"/>
        </w:rPr>
      </w:pPr>
    </w:p>
    <w:p w:rsidR="001E5742" w:rsidRPr="001E5742" w:rsidRDefault="001E5742" w:rsidP="001E5742">
      <w:pPr>
        <w:jc w:val="both"/>
        <w:rPr>
          <w:lang w:val="en-US"/>
        </w:rPr>
      </w:pPr>
      <w:r w:rsidRPr="001E5742">
        <w:rPr>
          <w:lang w:val="en-US"/>
        </w:rPr>
        <w:t xml:space="preserve">Dinç and Abdioğlu (2009) have studied the relationship between corporate governance and accounting information system with an empirical study for the BIST-100 (Borsa İstanbul-100) companies. Dinç and Abdioğlu (2009) points out that there is a strong positive correlation between accounting information system and corporate governance. </w:t>
      </w:r>
    </w:p>
    <w:p w:rsidR="001E5742" w:rsidRPr="001E5742" w:rsidRDefault="001E5742" w:rsidP="001E5742">
      <w:pPr>
        <w:jc w:val="both"/>
        <w:rPr>
          <w:lang w:val="en-US"/>
        </w:rPr>
      </w:pPr>
    </w:p>
    <w:p w:rsidR="001E5742" w:rsidRPr="001E5742" w:rsidRDefault="001E5742" w:rsidP="001E5742">
      <w:pPr>
        <w:jc w:val="both"/>
        <w:rPr>
          <w:lang w:val="en-US"/>
        </w:rPr>
      </w:pPr>
      <w:r w:rsidRPr="001E5742">
        <w:rPr>
          <w:lang w:val="en-US"/>
        </w:rPr>
        <w:t>Karamustafa et. al. (2009) investigated the relationship between corporate governance and corporate performance by analyzing Corporate Governance Index of 8 firms listed in BIST (Borsa İstanbul). They used both pre- and post-indexed the firms’ data. They treated current ratio, asset turnover, ROA, profit capital ratio, net profit margin, operating profit margin, debt ratio and financial leverage ratio as financial performance indicators of firms. They founded that there is statistical difference for asset turnover, ROA, and profit capital ratio between pre- and post-index periods.</w:t>
      </w:r>
    </w:p>
    <w:p w:rsidR="001E5742" w:rsidRPr="001E5742" w:rsidRDefault="001E5742" w:rsidP="001E5742">
      <w:pPr>
        <w:jc w:val="both"/>
        <w:rPr>
          <w:lang w:val="en-US"/>
        </w:rPr>
      </w:pPr>
    </w:p>
    <w:p w:rsidR="001E5742" w:rsidRPr="001E5742" w:rsidRDefault="001E5742" w:rsidP="001E5742">
      <w:pPr>
        <w:jc w:val="both"/>
        <w:rPr>
          <w:lang w:val="en-US"/>
        </w:rPr>
      </w:pPr>
      <w:r w:rsidRPr="001E5742">
        <w:rPr>
          <w:lang w:val="en-US"/>
        </w:rPr>
        <w:t>Najjar (2012) in his study examines the effect of corporate governance mechanisms on the firm’s performance of the insurance industry in Bahrain. A sample of five insurance companies listed on Bahrain Stock Exchange (BSE) has been used for the period of 2005-2010. The Pooled Least Squares method is used for the empirical study. Board size, CEO status, ownership concentration, firm size, industry performance, employees, shares traded is used as the independent variables and ROE is used as a dependent variable. According to the findings Najjar (2012) stated that in Bahrain there is a significant impact for corporate governance on the firm’s performance in the insurance industry. No significant impact of corporate governance has been found expressed by CEO status, ownership concentration, the number of employees, industry performance and number of shares traded on the firm’s performance (ROE). But a significant impact has been found for board size, firm size and number of blocks-holders on firm performance.</w:t>
      </w:r>
    </w:p>
    <w:p w:rsidR="001E5742" w:rsidRPr="001E5742" w:rsidRDefault="001E5742" w:rsidP="001E5742">
      <w:pPr>
        <w:jc w:val="both"/>
        <w:rPr>
          <w:lang w:val="en-US"/>
        </w:rPr>
      </w:pPr>
    </w:p>
    <w:p w:rsidR="001E5742" w:rsidRPr="001E5742" w:rsidRDefault="001E5742" w:rsidP="001E5742">
      <w:pPr>
        <w:jc w:val="both"/>
        <w:rPr>
          <w:lang w:val="en-US"/>
        </w:rPr>
      </w:pPr>
      <w:r w:rsidRPr="001E5742">
        <w:rPr>
          <w:lang w:val="en-US"/>
        </w:rPr>
        <w:lastRenderedPageBreak/>
        <w:t xml:space="preserve">Hatunoğlu and Güneş (2012) studied about the effects of the corporate governance practices on accounting information system based on new Turkish Commercial Code. </w:t>
      </w:r>
    </w:p>
    <w:p w:rsidR="001E5742" w:rsidRPr="001E5742" w:rsidRDefault="001E5742" w:rsidP="001E5742">
      <w:pPr>
        <w:jc w:val="both"/>
        <w:rPr>
          <w:lang w:val="en-US"/>
        </w:rPr>
      </w:pPr>
    </w:p>
    <w:p w:rsidR="001E5742" w:rsidRPr="001E5742" w:rsidRDefault="001E5742" w:rsidP="001E5742">
      <w:pPr>
        <w:jc w:val="both"/>
        <w:rPr>
          <w:b/>
          <w:lang w:val="en-US"/>
        </w:rPr>
      </w:pPr>
      <w:r w:rsidRPr="001E5742">
        <w:rPr>
          <w:b/>
          <w:lang w:val="en-US"/>
        </w:rPr>
        <w:t>Methodology</w:t>
      </w:r>
    </w:p>
    <w:p w:rsidR="001E5742" w:rsidRPr="001E5742" w:rsidRDefault="001E5742" w:rsidP="001E5742">
      <w:pPr>
        <w:jc w:val="both"/>
        <w:rPr>
          <w:b/>
          <w:lang w:val="en-US"/>
        </w:rPr>
      </w:pPr>
    </w:p>
    <w:p w:rsidR="001E5742" w:rsidRDefault="001E5742" w:rsidP="001E5742">
      <w:pPr>
        <w:spacing w:after="120"/>
        <w:jc w:val="both"/>
        <w:rPr>
          <w:lang w:val="en-US"/>
        </w:rPr>
      </w:pPr>
      <w:r w:rsidRPr="001E5742">
        <w:rPr>
          <w:lang w:val="en-US"/>
        </w:rPr>
        <w:t>The present study aims to analyze the influence of corporate governance on insurance firms' performance.  With this purpose in mind, a sample has been constituted by using financial data of 7 insurance firms traded in Borsa İstanbul (BIST) in the years of 2005-2011. All data utilized in the study have been obtained from the official web site of Borsa İstanbul (BIST)</w:t>
      </w:r>
      <w:r w:rsidRPr="001E5742">
        <w:rPr>
          <w:rStyle w:val="DipnotBavurusu"/>
          <w:lang w:val="en-US"/>
        </w:rPr>
        <w:footnoteReference w:id="1"/>
      </w:r>
      <w:r w:rsidRPr="001E5742">
        <w:rPr>
          <w:lang w:val="en-US"/>
        </w:rPr>
        <w:t>. Multiple regression and descriptive statistics have been used in empirical analysis. Durbin-Watson d statistic has been used to test if there is an autocorrelation of first degree between the error terms of the sample. Additionally, variance inflation factors (VIF) method has been used to determine multicollinearity. One dependent variable (ROE) and six independent variables (</w:t>
      </w:r>
      <w:r w:rsidRPr="001E5742">
        <w:rPr>
          <w:i/>
          <w:lang w:val="en-US"/>
        </w:rPr>
        <w:t xml:space="preserve">BOARDSIZE, FFRATE, DUALITY, BLOCKHOLDERS, OWNERSHIP </w:t>
      </w:r>
      <w:r w:rsidRPr="001E5742">
        <w:rPr>
          <w:lang w:val="en-US"/>
        </w:rPr>
        <w:t xml:space="preserve">and </w:t>
      </w:r>
      <w:r w:rsidRPr="001E5742">
        <w:rPr>
          <w:i/>
          <w:lang w:val="en-US"/>
        </w:rPr>
        <w:t>SIZE</w:t>
      </w:r>
      <w:r w:rsidRPr="001E5742">
        <w:rPr>
          <w:lang w:val="en-US"/>
        </w:rPr>
        <w:t xml:space="preserve">) have been used in the multiple regression </w:t>
      </w:r>
      <w:r w:rsidRPr="001E5742">
        <w:rPr>
          <w:lang w:val="en-US"/>
        </w:rPr>
        <w:t>models</w:t>
      </w:r>
      <w:r w:rsidRPr="001E5742">
        <w:rPr>
          <w:lang w:val="en-US"/>
        </w:rPr>
        <w:t>.  Dependent and independent variables used in the study are as below.</w:t>
      </w:r>
    </w:p>
    <w:p w:rsidR="001E5742" w:rsidRDefault="001E5742" w:rsidP="001E5742">
      <w:pPr>
        <w:spacing w:after="120"/>
        <w:jc w:val="both"/>
        <w:rPr>
          <w:lang w:val="en-US"/>
        </w:rPr>
      </w:pPr>
    </w:p>
    <w:p w:rsidR="001E5742" w:rsidRDefault="001E5742" w:rsidP="001E5742">
      <w:pPr>
        <w:spacing w:after="120"/>
        <w:jc w:val="center"/>
        <w:rPr>
          <w:bCs/>
          <w:sz w:val="22"/>
          <w:lang w:val="en-US"/>
        </w:rPr>
      </w:pPr>
      <w:r w:rsidRPr="001E5742">
        <w:rPr>
          <w:bCs/>
          <w:sz w:val="22"/>
          <w:lang w:val="en-US"/>
        </w:rPr>
        <w:t>Table 1: Descriptions of Variables Used in Analysis</w:t>
      </w:r>
    </w:p>
    <w:p w:rsidR="001E5742" w:rsidRPr="001E5742" w:rsidRDefault="001E5742" w:rsidP="001E5742">
      <w:pPr>
        <w:spacing w:after="120"/>
        <w:jc w:val="center"/>
        <w:rPr>
          <w:lang w:val="en-US"/>
        </w:rPr>
      </w:pPr>
    </w:p>
    <w:tbl>
      <w:tblPr>
        <w:tblStyle w:val="AkGlgeleme"/>
        <w:tblW w:w="0" w:type="auto"/>
        <w:jc w:val="center"/>
        <w:tblLayout w:type="fixed"/>
        <w:tblLook w:val="00A0" w:firstRow="1" w:lastRow="0" w:firstColumn="1" w:lastColumn="0" w:noHBand="0" w:noVBand="0"/>
      </w:tblPr>
      <w:tblGrid>
        <w:gridCol w:w="3175"/>
        <w:gridCol w:w="4747"/>
      </w:tblGrid>
      <w:tr w:rsidR="001E5742" w:rsidRPr="001E5742" w:rsidTr="001E5742">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3175" w:type="dxa"/>
            <w:shd w:val="clear" w:color="auto" w:fill="auto"/>
          </w:tcPr>
          <w:p w:rsidR="001E5742" w:rsidRPr="001E5742" w:rsidRDefault="001E5742" w:rsidP="001E5742">
            <w:pPr>
              <w:rPr>
                <w:b w:val="0"/>
                <w:bCs w:val="0"/>
                <w:sz w:val="20"/>
                <w:lang w:val="en-US"/>
              </w:rPr>
            </w:pPr>
            <w:r w:rsidRPr="001E5742">
              <w:rPr>
                <w:b w:val="0"/>
                <w:bCs w:val="0"/>
                <w:sz w:val="20"/>
                <w:lang w:val="en-US"/>
              </w:rPr>
              <w:t>Variables Description</w:t>
            </w:r>
          </w:p>
        </w:tc>
        <w:tc>
          <w:tcPr>
            <w:cnfStyle w:val="000010000000" w:firstRow="0" w:lastRow="0" w:firstColumn="0" w:lastColumn="0" w:oddVBand="1" w:evenVBand="0" w:oddHBand="0" w:evenHBand="0" w:firstRowFirstColumn="0" w:firstRowLastColumn="0" w:lastRowFirstColumn="0" w:lastRowLastColumn="0"/>
            <w:tcW w:w="4747" w:type="dxa"/>
            <w:shd w:val="clear" w:color="auto" w:fill="auto"/>
          </w:tcPr>
          <w:p w:rsidR="001E5742" w:rsidRPr="001E5742" w:rsidRDefault="001E5742" w:rsidP="001E5742">
            <w:pPr>
              <w:rPr>
                <w:b w:val="0"/>
                <w:bCs w:val="0"/>
                <w:sz w:val="20"/>
                <w:lang w:val="en-US"/>
              </w:rPr>
            </w:pPr>
            <w:r w:rsidRPr="001E5742">
              <w:rPr>
                <w:b w:val="0"/>
                <w:bCs w:val="0"/>
                <w:sz w:val="20"/>
                <w:lang w:val="en-US"/>
              </w:rPr>
              <w:t>Variables Description</w:t>
            </w:r>
          </w:p>
        </w:tc>
      </w:tr>
      <w:tr w:rsidR="001E5742" w:rsidRPr="001E5742" w:rsidTr="001E5742">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3175" w:type="dxa"/>
            <w:shd w:val="clear" w:color="auto" w:fill="auto"/>
          </w:tcPr>
          <w:p w:rsidR="001E5742" w:rsidRPr="001E5742" w:rsidRDefault="001E5742" w:rsidP="001E5742">
            <w:pPr>
              <w:rPr>
                <w:b w:val="0"/>
                <w:sz w:val="20"/>
                <w:lang w:val="en-US"/>
              </w:rPr>
            </w:pPr>
            <w:r w:rsidRPr="001E5742">
              <w:rPr>
                <w:b w:val="0"/>
                <w:bCs w:val="0"/>
                <w:sz w:val="20"/>
                <w:lang w:val="en-US"/>
              </w:rPr>
              <w:t>Dependent Variables</w:t>
            </w:r>
          </w:p>
        </w:tc>
        <w:tc>
          <w:tcPr>
            <w:cnfStyle w:val="000010000000" w:firstRow="0" w:lastRow="0" w:firstColumn="0" w:lastColumn="0" w:oddVBand="1" w:evenVBand="0" w:oddHBand="0" w:evenHBand="0" w:firstRowFirstColumn="0" w:firstRowLastColumn="0" w:lastRowFirstColumn="0" w:lastRowLastColumn="0"/>
            <w:tcW w:w="4747" w:type="dxa"/>
            <w:shd w:val="clear" w:color="auto" w:fill="auto"/>
          </w:tcPr>
          <w:p w:rsidR="001E5742" w:rsidRPr="001E5742" w:rsidRDefault="001E5742" w:rsidP="001E5742">
            <w:pPr>
              <w:rPr>
                <w:sz w:val="20"/>
                <w:lang w:val="en-US"/>
              </w:rPr>
            </w:pPr>
          </w:p>
        </w:tc>
      </w:tr>
      <w:tr w:rsidR="001E5742" w:rsidRPr="001E5742" w:rsidTr="001E5742">
        <w:trPr>
          <w:trHeight w:val="262"/>
          <w:jc w:val="center"/>
        </w:trPr>
        <w:tc>
          <w:tcPr>
            <w:cnfStyle w:val="001000000000" w:firstRow="0" w:lastRow="0" w:firstColumn="1" w:lastColumn="0" w:oddVBand="0" w:evenVBand="0" w:oddHBand="0" w:evenHBand="0" w:firstRowFirstColumn="0" w:firstRowLastColumn="0" w:lastRowFirstColumn="0" w:lastRowLastColumn="0"/>
            <w:tcW w:w="3175" w:type="dxa"/>
            <w:shd w:val="clear" w:color="auto" w:fill="auto"/>
          </w:tcPr>
          <w:p w:rsidR="001E5742" w:rsidRPr="001E5742" w:rsidRDefault="001E5742" w:rsidP="001E5742">
            <w:pPr>
              <w:rPr>
                <w:rFonts w:eastAsia="TimesNewRomanPSMT"/>
                <w:b w:val="0"/>
                <w:sz w:val="20"/>
                <w:lang w:val="en-US"/>
              </w:rPr>
            </w:pPr>
            <w:r w:rsidRPr="001E5742">
              <w:rPr>
                <w:b w:val="0"/>
                <w:sz w:val="20"/>
                <w:lang w:val="en-US"/>
              </w:rPr>
              <w:t>Return on Equity (ROE)</w:t>
            </w:r>
          </w:p>
        </w:tc>
        <w:tc>
          <w:tcPr>
            <w:cnfStyle w:val="000010000000" w:firstRow="0" w:lastRow="0" w:firstColumn="0" w:lastColumn="0" w:oddVBand="1" w:evenVBand="0" w:oddHBand="0" w:evenHBand="0" w:firstRowFirstColumn="0" w:firstRowLastColumn="0" w:lastRowFirstColumn="0" w:lastRowLastColumn="0"/>
            <w:tcW w:w="4747" w:type="dxa"/>
            <w:shd w:val="clear" w:color="auto" w:fill="auto"/>
          </w:tcPr>
          <w:p w:rsidR="001E5742" w:rsidRPr="001E5742" w:rsidRDefault="001E5742" w:rsidP="001E5742">
            <w:pPr>
              <w:rPr>
                <w:rFonts w:eastAsia="TimesNewRomanPSMT"/>
                <w:sz w:val="20"/>
                <w:lang w:val="en-US"/>
              </w:rPr>
            </w:pPr>
            <w:r w:rsidRPr="001E5742">
              <w:rPr>
                <w:sz w:val="20"/>
                <w:lang w:val="en-US"/>
              </w:rPr>
              <w:t>The ratio of net profit after tax to total equity capital</w:t>
            </w:r>
          </w:p>
        </w:tc>
      </w:tr>
      <w:tr w:rsidR="001E5742" w:rsidRPr="001E5742" w:rsidTr="001E5742">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3175" w:type="dxa"/>
            <w:shd w:val="clear" w:color="auto" w:fill="auto"/>
          </w:tcPr>
          <w:p w:rsidR="001E5742" w:rsidRPr="001E5742" w:rsidRDefault="001E5742" w:rsidP="001E5742">
            <w:pPr>
              <w:rPr>
                <w:b w:val="0"/>
                <w:sz w:val="20"/>
                <w:lang w:val="en-US"/>
              </w:rPr>
            </w:pPr>
            <w:r w:rsidRPr="001E5742">
              <w:rPr>
                <w:b w:val="0"/>
                <w:bCs w:val="0"/>
                <w:sz w:val="20"/>
                <w:lang w:val="en-US"/>
              </w:rPr>
              <w:t>Independent Variables</w:t>
            </w:r>
          </w:p>
        </w:tc>
        <w:tc>
          <w:tcPr>
            <w:cnfStyle w:val="000010000000" w:firstRow="0" w:lastRow="0" w:firstColumn="0" w:lastColumn="0" w:oddVBand="1" w:evenVBand="0" w:oddHBand="0" w:evenHBand="0" w:firstRowFirstColumn="0" w:firstRowLastColumn="0" w:lastRowFirstColumn="0" w:lastRowLastColumn="0"/>
            <w:tcW w:w="4747" w:type="dxa"/>
            <w:shd w:val="clear" w:color="auto" w:fill="auto"/>
          </w:tcPr>
          <w:p w:rsidR="001E5742" w:rsidRPr="001E5742" w:rsidRDefault="001E5742" w:rsidP="001E5742">
            <w:pPr>
              <w:rPr>
                <w:sz w:val="20"/>
                <w:lang w:val="en-US"/>
              </w:rPr>
            </w:pPr>
          </w:p>
        </w:tc>
      </w:tr>
      <w:tr w:rsidR="001E5742" w:rsidRPr="001E5742" w:rsidTr="001E5742">
        <w:trPr>
          <w:trHeight w:val="224"/>
          <w:jc w:val="center"/>
        </w:trPr>
        <w:tc>
          <w:tcPr>
            <w:cnfStyle w:val="001000000000" w:firstRow="0" w:lastRow="0" w:firstColumn="1" w:lastColumn="0" w:oddVBand="0" w:evenVBand="0" w:oddHBand="0" w:evenHBand="0" w:firstRowFirstColumn="0" w:firstRowLastColumn="0" w:lastRowFirstColumn="0" w:lastRowLastColumn="0"/>
            <w:tcW w:w="3175" w:type="dxa"/>
            <w:shd w:val="clear" w:color="auto" w:fill="auto"/>
          </w:tcPr>
          <w:p w:rsidR="001E5742" w:rsidRPr="001E5742" w:rsidRDefault="001E5742" w:rsidP="001E5742">
            <w:pPr>
              <w:rPr>
                <w:b w:val="0"/>
                <w:sz w:val="20"/>
                <w:lang w:val="en-US"/>
              </w:rPr>
            </w:pPr>
            <w:r w:rsidRPr="001E5742">
              <w:rPr>
                <w:b w:val="0"/>
                <w:iCs/>
                <w:sz w:val="20"/>
                <w:lang w:val="en-US"/>
              </w:rPr>
              <w:t xml:space="preserve">The Size of the Board of Directors </w:t>
            </w:r>
            <w:r w:rsidRPr="001E5742">
              <w:rPr>
                <w:rFonts w:eastAsia="TimesNewRomanPSMT"/>
                <w:b w:val="0"/>
                <w:sz w:val="20"/>
                <w:lang w:val="en-US"/>
              </w:rPr>
              <w:t>(BOARDSIZE)</w:t>
            </w:r>
          </w:p>
        </w:tc>
        <w:tc>
          <w:tcPr>
            <w:cnfStyle w:val="000010000000" w:firstRow="0" w:lastRow="0" w:firstColumn="0" w:lastColumn="0" w:oddVBand="1" w:evenVBand="0" w:oddHBand="0" w:evenHBand="0" w:firstRowFirstColumn="0" w:firstRowLastColumn="0" w:lastRowFirstColumn="0" w:lastRowLastColumn="0"/>
            <w:tcW w:w="4747" w:type="dxa"/>
            <w:shd w:val="clear" w:color="auto" w:fill="auto"/>
          </w:tcPr>
          <w:p w:rsidR="001E5742" w:rsidRPr="001E5742" w:rsidRDefault="001E5742" w:rsidP="001E5742">
            <w:pPr>
              <w:rPr>
                <w:sz w:val="20"/>
                <w:lang w:val="en-US"/>
              </w:rPr>
            </w:pPr>
            <w:r w:rsidRPr="001E5742">
              <w:rPr>
                <w:sz w:val="20"/>
                <w:lang w:val="en-US"/>
              </w:rPr>
              <w:t>It shows the total number of members in board of directors.</w:t>
            </w:r>
          </w:p>
        </w:tc>
      </w:tr>
      <w:tr w:rsidR="001E5742" w:rsidRPr="001E5742" w:rsidTr="001E5742">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3175" w:type="dxa"/>
            <w:shd w:val="clear" w:color="auto" w:fill="auto"/>
          </w:tcPr>
          <w:p w:rsidR="001E5742" w:rsidRPr="001E5742" w:rsidRDefault="001E5742" w:rsidP="001E5742">
            <w:pPr>
              <w:rPr>
                <w:b w:val="0"/>
                <w:sz w:val="20"/>
                <w:lang w:val="en-US"/>
              </w:rPr>
            </w:pPr>
            <w:r w:rsidRPr="001E5742">
              <w:rPr>
                <w:b w:val="0"/>
                <w:sz w:val="20"/>
                <w:lang w:val="en-US"/>
              </w:rPr>
              <w:t xml:space="preserve">Free Float Rate </w:t>
            </w:r>
            <w:r w:rsidRPr="001E5742">
              <w:rPr>
                <w:rFonts w:eastAsia="TimesNewRomanPSMT"/>
                <w:b w:val="0"/>
                <w:sz w:val="20"/>
                <w:lang w:val="en-US"/>
              </w:rPr>
              <w:t>(</w:t>
            </w:r>
            <w:r w:rsidRPr="001E5742">
              <w:rPr>
                <w:rFonts w:eastAsia="TimesNewRoman,Italic"/>
                <w:b w:val="0"/>
                <w:iCs/>
                <w:sz w:val="20"/>
                <w:lang w:val="en-US"/>
              </w:rPr>
              <w:t>FFRATE</w:t>
            </w:r>
            <w:r w:rsidRPr="001E5742">
              <w:rPr>
                <w:rFonts w:eastAsia="TimesNewRomanPSMT"/>
                <w:b w:val="0"/>
                <w:sz w:val="20"/>
                <w:lang w:val="en-US"/>
              </w:rPr>
              <w:t>)</w:t>
            </w:r>
          </w:p>
        </w:tc>
        <w:tc>
          <w:tcPr>
            <w:cnfStyle w:val="000010000000" w:firstRow="0" w:lastRow="0" w:firstColumn="0" w:lastColumn="0" w:oddVBand="1" w:evenVBand="0" w:oddHBand="0" w:evenHBand="0" w:firstRowFirstColumn="0" w:firstRowLastColumn="0" w:lastRowFirstColumn="0" w:lastRowLastColumn="0"/>
            <w:tcW w:w="4747" w:type="dxa"/>
            <w:shd w:val="clear" w:color="auto" w:fill="auto"/>
          </w:tcPr>
          <w:p w:rsidR="001E5742" w:rsidRPr="001E5742" w:rsidRDefault="001E5742" w:rsidP="001E5742">
            <w:pPr>
              <w:rPr>
                <w:sz w:val="20"/>
                <w:lang w:val="en-US"/>
              </w:rPr>
            </w:pPr>
            <w:r w:rsidRPr="001E5742">
              <w:rPr>
                <w:sz w:val="20"/>
                <w:lang w:val="en-US"/>
              </w:rPr>
              <w:t>It is the rate of free float of the business.</w:t>
            </w:r>
          </w:p>
        </w:tc>
      </w:tr>
      <w:tr w:rsidR="001E5742" w:rsidRPr="001E5742" w:rsidTr="001E5742">
        <w:trPr>
          <w:trHeight w:val="244"/>
          <w:jc w:val="center"/>
        </w:trPr>
        <w:tc>
          <w:tcPr>
            <w:cnfStyle w:val="001000000000" w:firstRow="0" w:lastRow="0" w:firstColumn="1" w:lastColumn="0" w:oddVBand="0" w:evenVBand="0" w:oddHBand="0" w:evenHBand="0" w:firstRowFirstColumn="0" w:firstRowLastColumn="0" w:lastRowFirstColumn="0" w:lastRowLastColumn="0"/>
            <w:tcW w:w="3175" w:type="dxa"/>
            <w:shd w:val="clear" w:color="auto" w:fill="auto"/>
          </w:tcPr>
          <w:p w:rsidR="001E5742" w:rsidRPr="001E5742" w:rsidRDefault="001E5742" w:rsidP="001E5742">
            <w:pPr>
              <w:rPr>
                <w:b w:val="0"/>
                <w:sz w:val="20"/>
                <w:lang w:val="en-US"/>
              </w:rPr>
            </w:pPr>
            <w:r w:rsidRPr="001E5742">
              <w:rPr>
                <w:rFonts w:eastAsia="Times-Roman"/>
                <w:b w:val="0"/>
                <w:sz w:val="20"/>
                <w:lang w:val="en-US"/>
              </w:rPr>
              <w:t xml:space="preserve">Ceo Duality </w:t>
            </w:r>
            <w:r w:rsidRPr="001E5742">
              <w:rPr>
                <w:rFonts w:eastAsia="TimesNewRomanPSMT"/>
                <w:b w:val="0"/>
                <w:sz w:val="20"/>
                <w:lang w:val="en-US"/>
              </w:rPr>
              <w:t>(DUALITY)</w:t>
            </w:r>
          </w:p>
        </w:tc>
        <w:tc>
          <w:tcPr>
            <w:cnfStyle w:val="000010000000" w:firstRow="0" w:lastRow="0" w:firstColumn="0" w:lastColumn="0" w:oddVBand="1" w:evenVBand="0" w:oddHBand="0" w:evenHBand="0" w:firstRowFirstColumn="0" w:firstRowLastColumn="0" w:lastRowFirstColumn="0" w:lastRowLastColumn="0"/>
            <w:tcW w:w="4747" w:type="dxa"/>
            <w:shd w:val="clear" w:color="auto" w:fill="auto"/>
          </w:tcPr>
          <w:p w:rsidR="001E5742" w:rsidRPr="001E5742" w:rsidRDefault="001E5742" w:rsidP="001E5742">
            <w:pPr>
              <w:spacing w:line="280" w:lineRule="auto"/>
              <w:rPr>
                <w:rFonts w:eastAsia="TimesNewRomanPSMT"/>
                <w:sz w:val="20"/>
                <w:lang w:val="en-US"/>
              </w:rPr>
            </w:pPr>
            <w:r w:rsidRPr="001E5742">
              <w:rPr>
                <w:sz w:val="20"/>
                <w:lang w:val="en-US"/>
              </w:rPr>
              <w:t xml:space="preserve">The cases in which CEO is the chairman of the board of directors=1   other cases=0 </w:t>
            </w:r>
          </w:p>
        </w:tc>
      </w:tr>
      <w:tr w:rsidR="001E5742" w:rsidRPr="001E5742" w:rsidTr="001E5742">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3175" w:type="dxa"/>
            <w:shd w:val="clear" w:color="auto" w:fill="auto"/>
          </w:tcPr>
          <w:p w:rsidR="001E5742" w:rsidRPr="001E5742" w:rsidRDefault="001E5742" w:rsidP="001E5742">
            <w:pPr>
              <w:pStyle w:val="Default"/>
              <w:rPr>
                <w:rFonts w:eastAsia="TimesNewRomanPSMT"/>
                <w:b w:val="0"/>
                <w:color w:val="auto"/>
                <w:sz w:val="20"/>
                <w:lang w:val="en-US"/>
              </w:rPr>
            </w:pPr>
            <w:r w:rsidRPr="001E5742">
              <w:rPr>
                <w:b w:val="0"/>
                <w:color w:val="auto"/>
                <w:sz w:val="20"/>
                <w:lang w:val="en-US"/>
              </w:rPr>
              <w:t>Structure of Ownership (BLOCKHOLDERS)</w:t>
            </w:r>
          </w:p>
        </w:tc>
        <w:tc>
          <w:tcPr>
            <w:cnfStyle w:val="000010000000" w:firstRow="0" w:lastRow="0" w:firstColumn="0" w:lastColumn="0" w:oddVBand="1" w:evenVBand="0" w:oddHBand="0" w:evenHBand="0" w:firstRowFirstColumn="0" w:firstRowLastColumn="0" w:lastRowFirstColumn="0" w:lastRowLastColumn="0"/>
            <w:tcW w:w="4747" w:type="dxa"/>
            <w:shd w:val="clear" w:color="auto" w:fill="auto"/>
          </w:tcPr>
          <w:p w:rsidR="001E5742" w:rsidRPr="001E5742" w:rsidRDefault="001E5742" w:rsidP="001E5742">
            <w:pPr>
              <w:rPr>
                <w:rFonts w:eastAsia="TimesNewRomanPSMT"/>
                <w:sz w:val="20"/>
                <w:lang w:val="en-US"/>
              </w:rPr>
            </w:pPr>
            <w:r w:rsidRPr="001E5742">
              <w:rPr>
                <w:sz w:val="20"/>
                <w:lang w:val="en-US"/>
              </w:rPr>
              <w:t>The ratio of blockholder’s stocks to all stocks.</w:t>
            </w:r>
          </w:p>
        </w:tc>
      </w:tr>
      <w:tr w:rsidR="001E5742" w:rsidRPr="001E5742" w:rsidTr="001E5742">
        <w:trPr>
          <w:trHeight w:val="244"/>
          <w:jc w:val="center"/>
        </w:trPr>
        <w:tc>
          <w:tcPr>
            <w:cnfStyle w:val="001000000000" w:firstRow="0" w:lastRow="0" w:firstColumn="1" w:lastColumn="0" w:oddVBand="0" w:evenVBand="0" w:oddHBand="0" w:evenHBand="0" w:firstRowFirstColumn="0" w:firstRowLastColumn="0" w:lastRowFirstColumn="0" w:lastRowLastColumn="0"/>
            <w:tcW w:w="3175" w:type="dxa"/>
            <w:shd w:val="clear" w:color="auto" w:fill="auto"/>
          </w:tcPr>
          <w:p w:rsidR="001E5742" w:rsidRPr="001E5742" w:rsidRDefault="001E5742" w:rsidP="001E5742">
            <w:pPr>
              <w:pStyle w:val="Default"/>
              <w:rPr>
                <w:b w:val="0"/>
                <w:color w:val="auto"/>
                <w:sz w:val="20"/>
                <w:lang w:val="en-US"/>
              </w:rPr>
            </w:pPr>
            <w:r w:rsidRPr="001E5742">
              <w:rPr>
                <w:b w:val="0"/>
                <w:color w:val="auto"/>
                <w:sz w:val="20"/>
                <w:lang w:val="en-US"/>
              </w:rPr>
              <w:t>Number of Owners (OWNERSHIP)</w:t>
            </w:r>
          </w:p>
        </w:tc>
        <w:tc>
          <w:tcPr>
            <w:cnfStyle w:val="000010000000" w:firstRow="0" w:lastRow="0" w:firstColumn="0" w:lastColumn="0" w:oddVBand="1" w:evenVBand="0" w:oddHBand="0" w:evenHBand="0" w:firstRowFirstColumn="0" w:firstRowLastColumn="0" w:lastRowFirstColumn="0" w:lastRowLastColumn="0"/>
            <w:tcW w:w="4747" w:type="dxa"/>
            <w:shd w:val="clear" w:color="auto" w:fill="auto"/>
          </w:tcPr>
          <w:p w:rsidR="001E5742" w:rsidRPr="001E5742" w:rsidRDefault="001E5742" w:rsidP="001E5742">
            <w:pPr>
              <w:spacing w:line="280" w:lineRule="auto"/>
              <w:rPr>
                <w:rFonts w:eastAsia="TimesNewRomanPSMT"/>
                <w:sz w:val="20"/>
                <w:lang w:val="en-US"/>
              </w:rPr>
            </w:pPr>
            <w:r w:rsidRPr="001E5742">
              <w:rPr>
                <w:sz w:val="20"/>
                <w:lang w:val="en-US"/>
              </w:rPr>
              <w:t>Number of owners of insurance firms</w:t>
            </w:r>
          </w:p>
        </w:tc>
      </w:tr>
      <w:tr w:rsidR="001E5742" w:rsidRPr="001E5742" w:rsidTr="001E5742">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3175" w:type="dxa"/>
            <w:shd w:val="clear" w:color="auto" w:fill="auto"/>
          </w:tcPr>
          <w:p w:rsidR="001E5742" w:rsidRPr="001E5742" w:rsidRDefault="001E5742" w:rsidP="001E5742">
            <w:pPr>
              <w:rPr>
                <w:rFonts w:eastAsia="TimesNewRomanPSMT"/>
                <w:b w:val="0"/>
                <w:sz w:val="20"/>
                <w:lang w:val="en-US"/>
              </w:rPr>
            </w:pPr>
            <w:r w:rsidRPr="001E5742">
              <w:rPr>
                <w:rFonts w:eastAsia="Times-Roman"/>
                <w:b w:val="0"/>
                <w:sz w:val="20"/>
                <w:lang w:val="en-US"/>
              </w:rPr>
              <w:t xml:space="preserve">Size of firm </w:t>
            </w:r>
            <w:r w:rsidRPr="001E5742">
              <w:rPr>
                <w:rFonts w:eastAsia="TimesNewRomanPSMT"/>
                <w:b w:val="0"/>
                <w:sz w:val="20"/>
                <w:lang w:val="en-US"/>
              </w:rPr>
              <w:t>(SIZE)</w:t>
            </w:r>
          </w:p>
        </w:tc>
        <w:tc>
          <w:tcPr>
            <w:cnfStyle w:val="000010000000" w:firstRow="0" w:lastRow="0" w:firstColumn="0" w:lastColumn="0" w:oddVBand="1" w:evenVBand="0" w:oddHBand="0" w:evenHBand="0" w:firstRowFirstColumn="0" w:firstRowLastColumn="0" w:lastRowFirstColumn="0" w:lastRowLastColumn="0"/>
            <w:tcW w:w="4747" w:type="dxa"/>
            <w:shd w:val="clear" w:color="auto" w:fill="auto"/>
          </w:tcPr>
          <w:p w:rsidR="001E5742" w:rsidRPr="001E5742" w:rsidRDefault="001E5742" w:rsidP="001E5742">
            <w:pPr>
              <w:rPr>
                <w:rFonts w:eastAsia="TimesNewRomanPSMT"/>
                <w:sz w:val="20"/>
                <w:vertAlign w:val="subscript"/>
                <w:lang w:val="en-US"/>
              </w:rPr>
            </w:pPr>
            <w:r w:rsidRPr="001E5742">
              <w:rPr>
                <w:sz w:val="20"/>
                <w:lang w:val="en-US"/>
              </w:rPr>
              <w:t>Natural logarithm of total assets</w:t>
            </w:r>
          </w:p>
        </w:tc>
      </w:tr>
    </w:tbl>
    <w:p w:rsidR="001E5742" w:rsidRPr="001E5742" w:rsidRDefault="001E5742" w:rsidP="001E5742">
      <w:pPr>
        <w:autoSpaceDE w:val="0"/>
        <w:autoSpaceDN w:val="0"/>
        <w:adjustRightInd w:val="0"/>
        <w:spacing w:before="120" w:line="360" w:lineRule="auto"/>
        <w:jc w:val="both"/>
        <w:rPr>
          <w:lang w:val="en-US"/>
        </w:rPr>
      </w:pPr>
    </w:p>
    <w:p w:rsidR="001E5742" w:rsidRPr="001E5742" w:rsidRDefault="001E5742" w:rsidP="001E5742">
      <w:pPr>
        <w:pStyle w:val="Default"/>
        <w:spacing w:before="120"/>
        <w:jc w:val="both"/>
        <w:rPr>
          <w:color w:val="auto"/>
          <w:lang w:val="en-US"/>
        </w:rPr>
      </w:pPr>
      <w:r w:rsidRPr="001E5742">
        <w:rPr>
          <w:color w:val="auto"/>
          <w:lang w:val="en-US"/>
        </w:rPr>
        <w:t xml:space="preserve">Below regression model and hypotheses have been developed based on dependent and independent variables introduced in Table 1 as well as considering the studies of </w:t>
      </w:r>
      <w:r w:rsidRPr="001E5742">
        <w:rPr>
          <w:lang w:val="en-US"/>
        </w:rPr>
        <w:t xml:space="preserve">Najjar (2012) </w:t>
      </w:r>
      <w:r w:rsidRPr="001E5742">
        <w:rPr>
          <w:color w:val="auto"/>
          <w:lang w:val="en-US"/>
        </w:rPr>
        <w:t xml:space="preserve">and </w:t>
      </w:r>
      <w:r w:rsidRPr="001E5742">
        <w:rPr>
          <w:lang w:val="en-US"/>
        </w:rPr>
        <w:t xml:space="preserve">Javed and Iqbal (2007) </w:t>
      </w:r>
      <w:r w:rsidRPr="001E5742">
        <w:rPr>
          <w:color w:val="auto"/>
          <w:lang w:val="en-US"/>
        </w:rPr>
        <w:t>found in literature.</w:t>
      </w:r>
    </w:p>
    <w:p w:rsidR="001E5742" w:rsidRPr="001E5742" w:rsidRDefault="001E5742" w:rsidP="001E5742">
      <w:pPr>
        <w:autoSpaceDE w:val="0"/>
        <w:autoSpaceDN w:val="0"/>
        <w:adjustRightInd w:val="0"/>
        <w:spacing w:before="120"/>
        <w:jc w:val="both"/>
        <w:rPr>
          <w:lang w:val="en-US"/>
        </w:rPr>
      </w:pPr>
    </w:p>
    <w:p w:rsidR="001E5742" w:rsidRPr="001E5742" w:rsidRDefault="001E5742" w:rsidP="001E5742">
      <w:pPr>
        <w:autoSpaceDE w:val="0"/>
        <w:autoSpaceDN w:val="0"/>
        <w:adjustRightInd w:val="0"/>
        <w:spacing w:before="120"/>
        <w:jc w:val="both"/>
        <w:rPr>
          <w:rFonts w:eastAsia="TimesNewRomanPS-ItalicMT"/>
          <w:i/>
          <w:iCs/>
          <w:vertAlign w:val="subscript"/>
          <w:lang w:val="en-US"/>
        </w:rPr>
      </w:pPr>
      <w:r>
        <w:rPr>
          <w:b/>
          <w:bCs/>
          <w:lang w:val="en-US"/>
        </w:rPr>
        <w:t>Model</w:t>
      </w:r>
      <w:r w:rsidRPr="001E5742">
        <w:rPr>
          <w:b/>
          <w:bCs/>
          <w:lang w:val="en-US"/>
        </w:rPr>
        <w:t xml:space="preserve">: </w:t>
      </w:r>
      <w:r w:rsidRPr="001E5742">
        <w:rPr>
          <w:rFonts w:eastAsia="TimesNewRomanPS-ItalicMT"/>
          <w:i/>
          <w:iCs/>
          <w:lang w:val="en-US"/>
        </w:rPr>
        <w:t>(ROE)</w:t>
      </w:r>
      <w:r w:rsidRPr="001E5742">
        <w:rPr>
          <w:rFonts w:eastAsia="TimesNewRomanPS-ItalicMT"/>
          <w:i/>
          <w:iCs/>
          <w:vertAlign w:val="subscript"/>
          <w:lang w:val="en-US"/>
        </w:rPr>
        <w:t>it</w:t>
      </w:r>
      <w:r w:rsidRPr="001E5742">
        <w:rPr>
          <w:rFonts w:eastAsia="TimesNewRomanPS-ItalicMT"/>
          <w:i/>
          <w:iCs/>
          <w:lang w:val="en-US"/>
        </w:rPr>
        <w:t>= β</w:t>
      </w:r>
      <w:r w:rsidRPr="001E5742">
        <w:rPr>
          <w:rFonts w:eastAsia="TimesNewRomanPS-ItalicMT"/>
          <w:i/>
          <w:iCs/>
          <w:vertAlign w:val="subscript"/>
          <w:lang w:val="en-US"/>
        </w:rPr>
        <w:t>it</w:t>
      </w:r>
      <w:r w:rsidRPr="001E5742">
        <w:rPr>
          <w:rFonts w:eastAsia="TimesNewRomanPS-ItalicMT"/>
          <w:i/>
          <w:iCs/>
          <w:lang w:val="en-US"/>
        </w:rPr>
        <w:t>+ β2</w:t>
      </w:r>
      <w:r w:rsidRPr="001E5742">
        <w:rPr>
          <w:rFonts w:eastAsia="TimesNewRomanPSMT"/>
          <w:i/>
          <w:lang w:val="en-US"/>
        </w:rPr>
        <w:t xml:space="preserve"> BOARDSIZE</w:t>
      </w:r>
      <w:r w:rsidRPr="001E5742">
        <w:rPr>
          <w:rFonts w:eastAsia="TimesNewRomanPS-ItalicMT"/>
          <w:i/>
          <w:iCs/>
          <w:vertAlign w:val="subscript"/>
          <w:lang w:val="en-US"/>
        </w:rPr>
        <w:t xml:space="preserve"> it</w:t>
      </w:r>
      <w:r w:rsidRPr="001E5742">
        <w:rPr>
          <w:rFonts w:eastAsia="TimesNewRomanPS-ItalicMT"/>
          <w:i/>
          <w:iCs/>
          <w:lang w:val="en-US"/>
        </w:rPr>
        <w:t xml:space="preserve"> + β3 </w:t>
      </w:r>
      <w:r w:rsidRPr="001E5742">
        <w:rPr>
          <w:rFonts w:eastAsia="TimesNewRoman,Italic"/>
          <w:i/>
          <w:iCs/>
          <w:lang w:val="en-US"/>
        </w:rPr>
        <w:t>FFRATE</w:t>
      </w:r>
      <w:r w:rsidRPr="001E5742">
        <w:rPr>
          <w:rFonts w:eastAsia="TimesNewRomanPS-ItalicMT"/>
          <w:i/>
          <w:iCs/>
          <w:vertAlign w:val="subscript"/>
          <w:lang w:val="en-US"/>
        </w:rPr>
        <w:t xml:space="preserve"> it</w:t>
      </w:r>
      <w:r w:rsidRPr="001E5742">
        <w:rPr>
          <w:rFonts w:eastAsia="TimesNewRomanPS-ItalicMT"/>
          <w:i/>
          <w:iCs/>
          <w:lang w:val="en-US"/>
        </w:rPr>
        <w:t xml:space="preserve"> + β4 </w:t>
      </w:r>
      <w:r w:rsidRPr="001E5742">
        <w:rPr>
          <w:rFonts w:eastAsia="TimesNewRomanPSMT"/>
          <w:i/>
          <w:lang w:val="en-US"/>
        </w:rPr>
        <w:t>DUALITY</w:t>
      </w:r>
      <w:r w:rsidRPr="001E5742">
        <w:rPr>
          <w:rFonts w:eastAsia="TimesNewRomanPS-ItalicMT"/>
          <w:i/>
          <w:iCs/>
          <w:vertAlign w:val="subscript"/>
          <w:lang w:val="en-US"/>
        </w:rPr>
        <w:t xml:space="preserve"> it</w:t>
      </w:r>
      <w:r w:rsidRPr="001E5742">
        <w:rPr>
          <w:rFonts w:eastAsia="TimesNewRomanPS-ItalicMT"/>
          <w:i/>
          <w:iCs/>
          <w:lang w:val="en-US"/>
        </w:rPr>
        <w:t>+ β5</w:t>
      </w:r>
      <w:r w:rsidRPr="001E5742">
        <w:rPr>
          <w:rFonts w:eastAsia="TimesNewRomanPSMT"/>
          <w:i/>
          <w:lang w:val="en-US"/>
        </w:rPr>
        <w:t xml:space="preserve"> BLOCKHOLDERS</w:t>
      </w:r>
      <w:r w:rsidRPr="001E5742">
        <w:rPr>
          <w:rFonts w:eastAsia="TimesNewRomanPS-ItalicMT"/>
          <w:i/>
          <w:iCs/>
          <w:vertAlign w:val="subscript"/>
          <w:lang w:val="en-US"/>
        </w:rPr>
        <w:t xml:space="preserve"> it</w:t>
      </w:r>
      <w:r w:rsidRPr="001E5742">
        <w:rPr>
          <w:rFonts w:eastAsia="TimesNewRomanPS-ItalicMT"/>
          <w:i/>
          <w:iCs/>
          <w:lang w:val="en-US"/>
        </w:rPr>
        <w:t xml:space="preserve"> + β6</w:t>
      </w:r>
      <w:r w:rsidRPr="001E5742">
        <w:rPr>
          <w:bCs/>
          <w:i/>
          <w:lang w:val="en-US"/>
        </w:rPr>
        <w:t xml:space="preserve"> OWNERSHIP</w:t>
      </w:r>
      <w:r w:rsidRPr="001E5742">
        <w:rPr>
          <w:rFonts w:eastAsia="TimesNewRomanPS-ItalicMT"/>
          <w:i/>
          <w:iCs/>
          <w:lang w:val="en-US"/>
        </w:rPr>
        <w:t>+ β7</w:t>
      </w:r>
      <w:r w:rsidRPr="001E5742">
        <w:rPr>
          <w:rFonts w:eastAsia="TimesNewRomanPSMT"/>
          <w:i/>
          <w:lang w:val="en-US"/>
        </w:rPr>
        <w:t xml:space="preserve"> SIZE </w:t>
      </w:r>
      <w:r w:rsidRPr="001E5742">
        <w:rPr>
          <w:rFonts w:eastAsia="TimesNewRomanPS-ItalicMT"/>
          <w:i/>
          <w:iCs/>
          <w:lang w:val="en-US"/>
        </w:rPr>
        <w:t>+e</w:t>
      </w:r>
      <w:r w:rsidRPr="001E5742">
        <w:rPr>
          <w:rFonts w:eastAsia="TimesNewRomanPS-ItalicMT"/>
          <w:i/>
          <w:iCs/>
          <w:vertAlign w:val="subscript"/>
          <w:lang w:val="en-US"/>
        </w:rPr>
        <w:t>it</w:t>
      </w:r>
    </w:p>
    <w:p w:rsidR="001E5742" w:rsidRPr="001E5742" w:rsidRDefault="001E5742" w:rsidP="001E5742">
      <w:pPr>
        <w:autoSpaceDE w:val="0"/>
        <w:autoSpaceDN w:val="0"/>
        <w:adjustRightInd w:val="0"/>
        <w:spacing w:before="120"/>
        <w:jc w:val="both"/>
        <w:rPr>
          <w:rFonts w:eastAsia="TimesNewRomanPS-ItalicMT"/>
          <w:i/>
          <w:iCs/>
          <w:lang w:val="en-US"/>
        </w:rPr>
      </w:pPr>
    </w:p>
    <w:p w:rsidR="001E5742" w:rsidRPr="001E5742" w:rsidRDefault="001E5742" w:rsidP="001E5742">
      <w:pPr>
        <w:autoSpaceDE w:val="0"/>
        <w:autoSpaceDN w:val="0"/>
        <w:adjustRightInd w:val="0"/>
        <w:spacing w:before="120"/>
        <w:jc w:val="both"/>
        <w:rPr>
          <w:i/>
          <w:lang w:val="en-US"/>
        </w:rPr>
      </w:pPr>
      <w:r w:rsidRPr="001E5742">
        <w:rPr>
          <w:i/>
          <w:lang w:val="en-US"/>
        </w:rPr>
        <w:t>H</w:t>
      </w:r>
      <w:r w:rsidRPr="001E5742">
        <w:rPr>
          <w:i/>
          <w:vertAlign w:val="subscript"/>
          <w:lang w:val="en-US"/>
        </w:rPr>
        <w:t>1</w:t>
      </w:r>
      <w:r w:rsidRPr="001E5742">
        <w:rPr>
          <w:i/>
          <w:lang w:val="en-US"/>
        </w:rPr>
        <w:t>: There is significant impact for board size on ROE.</w:t>
      </w:r>
    </w:p>
    <w:p w:rsidR="001E5742" w:rsidRPr="001E5742" w:rsidRDefault="001E5742" w:rsidP="001E5742">
      <w:pPr>
        <w:autoSpaceDE w:val="0"/>
        <w:autoSpaceDN w:val="0"/>
        <w:adjustRightInd w:val="0"/>
        <w:spacing w:before="120"/>
        <w:jc w:val="both"/>
        <w:rPr>
          <w:i/>
          <w:lang w:val="en-US"/>
        </w:rPr>
      </w:pPr>
      <w:r w:rsidRPr="001E5742">
        <w:rPr>
          <w:i/>
          <w:lang w:val="en-US"/>
        </w:rPr>
        <w:t>H</w:t>
      </w:r>
      <w:r w:rsidRPr="001E5742">
        <w:rPr>
          <w:i/>
          <w:vertAlign w:val="subscript"/>
          <w:lang w:val="en-US"/>
        </w:rPr>
        <w:t>2</w:t>
      </w:r>
      <w:r w:rsidRPr="001E5742">
        <w:rPr>
          <w:i/>
          <w:lang w:val="en-US"/>
        </w:rPr>
        <w:t>: There is significant impact for free float rate on ROE.</w:t>
      </w:r>
    </w:p>
    <w:p w:rsidR="001E5742" w:rsidRPr="001E5742" w:rsidRDefault="001E5742" w:rsidP="001E5742">
      <w:pPr>
        <w:autoSpaceDE w:val="0"/>
        <w:autoSpaceDN w:val="0"/>
        <w:adjustRightInd w:val="0"/>
        <w:spacing w:before="120"/>
        <w:jc w:val="both"/>
        <w:rPr>
          <w:i/>
          <w:lang w:val="en-US"/>
        </w:rPr>
      </w:pPr>
      <w:r w:rsidRPr="001E5742">
        <w:rPr>
          <w:rFonts w:eastAsia="TimesNewRomanPS-ItalicMT"/>
          <w:i/>
          <w:iCs/>
          <w:lang w:val="en-US"/>
        </w:rPr>
        <w:t>H</w:t>
      </w:r>
      <w:r w:rsidRPr="001E5742">
        <w:rPr>
          <w:rFonts w:eastAsia="TimesNewRomanPS-ItalicMT"/>
          <w:i/>
          <w:iCs/>
          <w:vertAlign w:val="subscript"/>
          <w:lang w:val="en-US"/>
        </w:rPr>
        <w:t>3</w:t>
      </w:r>
      <w:r w:rsidRPr="001E5742">
        <w:rPr>
          <w:rFonts w:eastAsia="TimesNewRomanPS-ItalicMT"/>
          <w:i/>
          <w:iCs/>
          <w:lang w:val="en-US"/>
        </w:rPr>
        <w:t xml:space="preserve">: </w:t>
      </w:r>
      <w:r w:rsidRPr="001E5742">
        <w:rPr>
          <w:i/>
          <w:lang w:val="en-US"/>
        </w:rPr>
        <w:t xml:space="preserve">There is significant impact for </w:t>
      </w:r>
      <w:r w:rsidRPr="001E5742">
        <w:rPr>
          <w:rFonts w:eastAsia="Times-Roman"/>
          <w:i/>
          <w:lang w:val="en-US"/>
        </w:rPr>
        <w:t xml:space="preserve">Ceo duality </w:t>
      </w:r>
      <w:r w:rsidRPr="001E5742">
        <w:rPr>
          <w:i/>
          <w:lang w:val="en-US"/>
        </w:rPr>
        <w:t>on ROE.</w:t>
      </w:r>
    </w:p>
    <w:p w:rsidR="001E5742" w:rsidRPr="001E5742" w:rsidRDefault="001E5742" w:rsidP="001E5742">
      <w:pPr>
        <w:autoSpaceDE w:val="0"/>
        <w:autoSpaceDN w:val="0"/>
        <w:adjustRightInd w:val="0"/>
        <w:spacing w:before="120"/>
        <w:jc w:val="both"/>
        <w:rPr>
          <w:rFonts w:eastAsia="TimesNewRomanPS-ItalicMT"/>
          <w:i/>
          <w:iCs/>
          <w:lang w:val="en-US"/>
        </w:rPr>
      </w:pPr>
      <w:r w:rsidRPr="001E5742">
        <w:rPr>
          <w:rFonts w:eastAsia="TimesNewRomanPS-ItalicMT"/>
          <w:i/>
          <w:iCs/>
          <w:lang w:val="en-US"/>
        </w:rPr>
        <w:lastRenderedPageBreak/>
        <w:t>H</w:t>
      </w:r>
      <w:r w:rsidRPr="001E5742">
        <w:rPr>
          <w:rFonts w:eastAsia="TimesNewRomanPS-ItalicMT"/>
          <w:i/>
          <w:iCs/>
          <w:vertAlign w:val="subscript"/>
          <w:lang w:val="en-US"/>
        </w:rPr>
        <w:t>4</w:t>
      </w:r>
      <w:r w:rsidRPr="001E5742">
        <w:rPr>
          <w:rFonts w:eastAsia="TimesNewRomanPS-ItalicMT"/>
          <w:i/>
          <w:iCs/>
          <w:lang w:val="en-US"/>
        </w:rPr>
        <w:t xml:space="preserve">: </w:t>
      </w:r>
      <w:r w:rsidRPr="001E5742">
        <w:rPr>
          <w:i/>
          <w:lang w:val="en-US"/>
        </w:rPr>
        <w:t>There is significant impact for blockholders on ROE</w:t>
      </w:r>
    </w:p>
    <w:p w:rsidR="001E5742" w:rsidRPr="001E5742" w:rsidRDefault="001E5742" w:rsidP="001E5742">
      <w:pPr>
        <w:autoSpaceDE w:val="0"/>
        <w:autoSpaceDN w:val="0"/>
        <w:adjustRightInd w:val="0"/>
        <w:spacing w:before="120"/>
        <w:jc w:val="both"/>
        <w:rPr>
          <w:rFonts w:eastAsia="TimesNewRomanPS-ItalicMT"/>
          <w:i/>
          <w:iCs/>
          <w:lang w:val="en-US"/>
        </w:rPr>
      </w:pPr>
      <w:r w:rsidRPr="001E5742">
        <w:rPr>
          <w:rFonts w:eastAsia="TimesNewRomanPS-ItalicMT"/>
          <w:i/>
          <w:iCs/>
          <w:lang w:val="en-US"/>
        </w:rPr>
        <w:t>H</w:t>
      </w:r>
      <w:r w:rsidRPr="001E5742">
        <w:rPr>
          <w:rFonts w:eastAsia="TimesNewRomanPS-ItalicMT"/>
          <w:i/>
          <w:iCs/>
          <w:vertAlign w:val="subscript"/>
          <w:lang w:val="en-US"/>
        </w:rPr>
        <w:t>5</w:t>
      </w:r>
      <w:r w:rsidRPr="001E5742">
        <w:rPr>
          <w:rFonts w:eastAsia="TimesNewRomanPS-ItalicMT"/>
          <w:i/>
          <w:iCs/>
          <w:lang w:val="en-US"/>
        </w:rPr>
        <w:t>:</w:t>
      </w:r>
      <w:r w:rsidRPr="001E5742">
        <w:rPr>
          <w:i/>
          <w:lang w:val="en-US"/>
        </w:rPr>
        <w:t xml:space="preserve"> There is significant impact for ownership concentration on ROE</w:t>
      </w:r>
      <w:r w:rsidRPr="001E5742">
        <w:rPr>
          <w:rFonts w:eastAsia="TimesNewRomanPS-ItalicMT"/>
          <w:i/>
          <w:iCs/>
          <w:lang w:val="en-US"/>
        </w:rPr>
        <w:t xml:space="preserve"> </w:t>
      </w:r>
    </w:p>
    <w:p w:rsidR="001E5742" w:rsidRPr="001E5742" w:rsidRDefault="001E5742" w:rsidP="001E5742">
      <w:pPr>
        <w:autoSpaceDE w:val="0"/>
        <w:autoSpaceDN w:val="0"/>
        <w:adjustRightInd w:val="0"/>
        <w:spacing w:before="120"/>
        <w:jc w:val="both"/>
        <w:rPr>
          <w:rFonts w:eastAsia="TimesNewRomanPS-ItalicMT"/>
          <w:i/>
          <w:iCs/>
          <w:lang w:val="en-US"/>
        </w:rPr>
      </w:pPr>
      <w:r w:rsidRPr="001E5742">
        <w:rPr>
          <w:rFonts w:eastAsia="TimesNewRomanPS-ItalicMT"/>
          <w:i/>
          <w:iCs/>
          <w:lang w:val="en-US"/>
        </w:rPr>
        <w:t>H</w:t>
      </w:r>
      <w:r w:rsidRPr="001E5742">
        <w:rPr>
          <w:rFonts w:eastAsia="TimesNewRomanPS-ItalicMT"/>
          <w:i/>
          <w:iCs/>
          <w:vertAlign w:val="subscript"/>
          <w:lang w:val="en-US"/>
        </w:rPr>
        <w:t>6</w:t>
      </w:r>
      <w:r w:rsidRPr="001E5742">
        <w:rPr>
          <w:rFonts w:eastAsia="TimesNewRomanPS-ItalicMT"/>
          <w:i/>
          <w:iCs/>
          <w:lang w:val="en-US"/>
        </w:rPr>
        <w:t xml:space="preserve">: </w:t>
      </w:r>
      <w:r w:rsidRPr="001E5742">
        <w:rPr>
          <w:i/>
          <w:lang w:val="en-US"/>
        </w:rPr>
        <w:t>There is significant impact for firm size on ROE</w:t>
      </w:r>
    </w:p>
    <w:p w:rsidR="001E5742" w:rsidRPr="001E5742" w:rsidRDefault="001E5742" w:rsidP="001E5742">
      <w:pPr>
        <w:autoSpaceDE w:val="0"/>
        <w:autoSpaceDN w:val="0"/>
        <w:adjustRightInd w:val="0"/>
        <w:spacing w:before="120"/>
        <w:jc w:val="both"/>
        <w:rPr>
          <w:lang w:val="en-US"/>
        </w:rPr>
      </w:pPr>
    </w:p>
    <w:p w:rsidR="001E5742" w:rsidRDefault="001E5742" w:rsidP="001E5742">
      <w:pPr>
        <w:autoSpaceDE w:val="0"/>
        <w:autoSpaceDN w:val="0"/>
        <w:adjustRightInd w:val="0"/>
        <w:spacing w:before="120"/>
        <w:jc w:val="both"/>
        <w:rPr>
          <w:lang w:val="en-US"/>
        </w:rPr>
      </w:pPr>
      <w:r w:rsidRPr="001E5742">
        <w:rPr>
          <w:lang w:val="en-US"/>
        </w:rPr>
        <w:t>Table 2 shows the results of descriptive statistics concerning dependent and independent variables used in empirical analyses.  As shown in Table 1, average return on equity (ROE) of the firms listed in BIST and reviewed in scope of the analysis is calculated as -0.7%.  Additionally, the values for insurance firms’ board of directors’ size (</w:t>
      </w:r>
      <w:r w:rsidRPr="001E5742">
        <w:rPr>
          <w:i/>
          <w:lang w:val="en-US"/>
        </w:rPr>
        <w:t>BOARDSIZE)</w:t>
      </w:r>
      <w:r w:rsidRPr="001E5742">
        <w:rPr>
          <w:lang w:val="en-US"/>
        </w:rPr>
        <w:t xml:space="preserve">, their free float rate </w:t>
      </w:r>
      <w:r w:rsidRPr="001E5742">
        <w:rPr>
          <w:i/>
          <w:lang w:val="en-US"/>
        </w:rPr>
        <w:t>(FFRATE)</w:t>
      </w:r>
      <w:r w:rsidRPr="001E5742">
        <w:rPr>
          <w:lang w:val="en-US"/>
        </w:rPr>
        <w:t xml:space="preserve">, the ratio of </w:t>
      </w:r>
      <w:r w:rsidRPr="001E5742">
        <w:rPr>
          <w:lang w:val="en-US"/>
        </w:rPr>
        <w:t>block holder’s</w:t>
      </w:r>
      <w:r w:rsidRPr="001E5742">
        <w:rPr>
          <w:lang w:val="en-US"/>
        </w:rPr>
        <w:t xml:space="preserve"> stocks to all stocks (</w:t>
      </w:r>
      <w:r w:rsidRPr="001E5742">
        <w:rPr>
          <w:i/>
          <w:lang w:val="en-US"/>
        </w:rPr>
        <w:t>BLOCKHOLDERS</w:t>
      </w:r>
      <w:r w:rsidRPr="001E5742">
        <w:rPr>
          <w:lang w:val="en-US"/>
        </w:rPr>
        <w:t>) and number of owners (</w:t>
      </w:r>
      <w:r w:rsidRPr="001E5742">
        <w:rPr>
          <w:i/>
          <w:lang w:val="en-US"/>
        </w:rPr>
        <w:t>OWNERSHIP</w:t>
      </w:r>
      <w:r w:rsidRPr="001E5742">
        <w:rPr>
          <w:lang w:val="en-US"/>
        </w:rPr>
        <w:t xml:space="preserve">) have been determined as </w:t>
      </w:r>
      <w:r w:rsidRPr="001E5742">
        <w:rPr>
          <w:b/>
          <w:lang w:val="en-US"/>
        </w:rPr>
        <w:t xml:space="preserve">7.57; </w:t>
      </w:r>
      <w:r w:rsidRPr="001E5742">
        <w:rPr>
          <w:lang w:val="en-US"/>
        </w:rPr>
        <w:t>22.37; 61.26 and 3.14 respectively.</w:t>
      </w:r>
    </w:p>
    <w:p w:rsidR="00193884" w:rsidRDefault="00193884" w:rsidP="001E5742">
      <w:pPr>
        <w:autoSpaceDE w:val="0"/>
        <w:autoSpaceDN w:val="0"/>
        <w:adjustRightInd w:val="0"/>
        <w:spacing w:before="120"/>
        <w:jc w:val="center"/>
        <w:rPr>
          <w:rFonts w:ascii="TimesNewRoman,Bold" w:hAnsi="TimesNewRoman,Bold"/>
          <w:sz w:val="22"/>
          <w:lang w:val="en-US"/>
        </w:rPr>
      </w:pPr>
    </w:p>
    <w:p w:rsidR="001E5742" w:rsidRDefault="001E5742" w:rsidP="001E5742">
      <w:pPr>
        <w:autoSpaceDE w:val="0"/>
        <w:autoSpaceDN w:val="0"/>
        <w:adjustRightInd w:val="0"/>
        <w:spacing w:before="120"/>
        <w:jc w:val="center"/>
        <w:rPr>
          <w:rFonts w:ascii="TimesNewRoman,Bold" w:hAnsi="TimesNewRoman,Bold" w:cs="TimesNewRoman,Bold"/>
          <w:bCs/>
          <w:sz w:val="22"/>
          <w:lang w:val="en-US"/>
        </w:rPr>
      </w:pPr>
      <w:r w:rsidRPr="001E5742">
        <w:rPr>
          <w:rFonts w:ascii="TimesNewRoman,Bold" w:hAnsi="TimesNewRoman,Bold"/>
          <w:sz w:val="22"/>
          <w:lang w:val="en-US"/>
        </w:rPr>
        <w:t xml:space="preserve">Table 2 </w:t>
      </w:r>
      <w:r w:rsidRPr="001E5742">
        <w:rPr>
          <w:rFonts w:ascii="TimesNewRoman,Bold" w:hAnsi="TimesNewRoman,Bold" w:cs="TimesNewRoman,Bold"/>
          <w:bCs/>
          <w:sz w:val="22"/>
          <w:lang w:val="en-US"/>
        </w:rPr>
        <w:t>Descriptive Statistics</w:t>
      </w:r>
    </w:p>
    <w:p w:rsidR="001E5742" w:rsidRPr="00193884" w:rsidRDefault="001E5742" w:rsidP="001E5742">
      <w:pPr>
        <w:autoSpaceDE w:val="0"/>
        <w:autoSpaceDN w:val="0"/>
        <w:adjustRightInd w:val="0"/>
        <w:spacing w:before="120"/>
        <w:jc w:val="center"/>
        <w:rPr>
          <w:sz w:val="8"/>
          <w:lang w:val="en-US"/>
        </w:rPr>
      </w:pPr>
    </w:p>
    <w:tbl>
      <w:tblPr>
        <w:tblStyle w:val="AkGlgeleme"/>
        <w:tblW w:w="0" w:type="auto"/>
        <w:jc w:val="center"/>
        <w:tblLook w:val="04A0" w:firstRow="1" w:lastRow="0" w:firstColumn="1" w:lastColumn="0" w:noHBand="0" w:noVBand="1"/>
      </w:tblPr>
      <w:tblGrid>
        <w:gridCol w:w="1621"/>
        <w:gridCol w:w="1611"/>
        <w:gridCol w:w="1158"/>
        <w:gridCol w:w="1158"/>
        <w:gridCol w:w="775"/>
        <w:gridCol w:w="805"/>
      </w:tblGrid>
      <w:tr w:rsidR="001E5742" w:rsidRPr="001E5742" w:rsidTr="001E5742">
        <w:trPr>
          <w:cnfStyle w:val="100000000000" w:firstRow="1" w:lastRow="0" w:firstColumn="0" w:lastColumn="0" w:oddVBand="0" w:evenVBand="0" w:oddHBand="0"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621" w:type="dxa"/>
            <w:shd w:val="clear" w:color="auto" w:fill="auto"/>
          </w:tcPr>
          <w:p w:rsidR="001E5742" w:rsidRPr="00193884" w:rsidRDefault="001E5742" w:rsidP="00193884">
            <w:pPr>
              <w:pStyle w:val="AralkYok"/>
              <w:rPr>
                <w:rFonts w:ascii="Times New Roman" w:hAnsi="Times New Roman"/>
                <w:b w:val="0"/>
                <w:sz w:val="20"/>
              </w:rPr>
            </w:pPr>
            <w:r w:rsidRPr="00193884">
              <w:rPr>
                <w:rFonts w:ascii="Times New Roman" w:hAnsi="Times New Roman"/>
                <w:b w:val="0"/>
                <w:sz w:val="20"/>
              </w:rPr>
              <w:t>Variables</w:t>
            </w:r>
          </w:p>
        </w:tc>
        <w:tc>
          <w:tcPr>
            <w:tcW w:w="1611" w:type="dxa"/>
            <w:shd w:val="clear" w:color="auto" w:fill="auto"/>
          </w:tcPr>
          <w:p w:rsidR="001E5742" w:rsidRPr="00193884" w:rsidRDefault="001E5742" w:rsidP="00193884">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rPr>
            </w:pPr>
            <w:r w:rsidRPr="00193884">
              <w:rPr>
                <w:rFonts w:ascii="Times New Roman" w:hAnsi="Times New Roman"/>
                <w:b w:val="0"/>
                <w:sz w:val="20"/>
              </w:rPr>
              <w:t xml:space="preserve">Number Of </w:t>
            </w:r>
            <w:r w:rsidRPr="00193884">
              <w:rPr>
                <w:rFonts w:ascii="Times New Roman" w:hAnsi="Times New Roman"/>
                <w:b w:val="0"/>
                <w:bCs w:val="0"/>
                <w:sz w:val="20"/>
              </w:rPr>
              <w:t>Observations</w:t>
            </w:r>
          </w:p>
        </w:tc>
        <w:tc>
          <w:tcPr>
            <w:tcW w:w="1158" w:type="dxa"/>
            <w:shd w:val="clear" w:color="auto" w:fill="auto"/>
          </w:tcPr>
          <w:p w:rsidR="001E5742" w:rsidRPr="00193884" w:rsidRDefault="001E5742" w:rsidP="00193884">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rPr>
            </w:pPr>
            <w:r w:rsidRPr="00193884">
              <w:rPr>
                <w:rFonts w:ascii="Times New Roman" w:hAnsi="Times New Roman"/>
                <w:b w:val="0"/>
                <w:sz w:val="20"/>
              </w:rPr>
              <w:t>Minumum</w:t>
            </w:r>
          </w:p>
        </w:tc>
        <w:tc>
          <w:tcPr>
            <w:tcW w:w="1158" w:type="dxa"/>
            <w:shd w:val="clear" w:color="auto" w:fill="auto"/>
          </w:tcPr>
          <w:p w:rsidR="001E5742" w:rsidRPr="00193884" w:rsidRDefault="001E5742" w:rsidP="00193884">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rPr>
            </w:pPr>
            <w:r w:rsidRPr="00193884">
              <w:rPr>
                <w:rFonts w:ascii="Times New Roman" w:hAnsi="Times New Roman"/>
                <w:b w:val="0"/>
                <w:sz w:val="20"/>
              </w:rPr>
              <w:t>Maximum</w:t>
            </w:r>
          </w:p>
        </w:tc>
        <w:tc>
          <w:tcPr>
            <w:tcW w:w="775" w:type="dxa"/>
            <w:shd w:val="clear" w:color="auto" w:fill="auto"/>
          </w:tcPr>
          <w:p w:rsidR="001E5742" w:rsidRPr="00193884" w:rsidRDefault="001E5742" w:rsidP="00193884">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rPr>
            </w:pPr>
            <w:r w:rsidRPr="00193884">
              <w:rPr>
                <w:rFonts w:ascii="Times New Roman" w:hAnsi="Times New Roman"/>
                <w:b w:val="0"/>
                <w:sz w:val="20"/>
              </w:rPr>
              <w:t>Mean</w:t>
            </w:r>
          </w:p>
        </w:tc>
        <w:tc>
          <w:tcPr>
            <w:tcW w:w="805" w:type="dxa"/>
            <w:shd w:val="clear" w:color="auto" w:fill="auto"/>
          </w:tcPr>
          <w:p w:rsidR="001E5742" w:rsidRPr="00193884" w:rsidRDefault="001E5742" w:rsidP="00193884">
            <w:pPr>
              <w:pStyle w:val="AralkYok"/>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rPr>
            </w:pPr>
            <w:r w:rsidRPr="00193884">
              <w:rPr>
                <w:rFonts w:ascii="Times New Roman" w:hAnsi="Times New Roman"/>
                <w:b w:val="0"/>
                <w:sz w:val="20"/>
              </w:rPr>
              <w:t>St. Dv.</w:t>
            </w:r>
          </w:p>
        </w:tc>
      </w:tr>
      <w:tr w:rsidR="001E5742" w:rsidRPr="001E5742" w:rsidTr="00193884">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1621" w:type="dxa"/>
            <w:shd w:val="clear" w:color="auto" w:fill="auto"/>
          </w:tcPr>
          <w:p w:rsidR="001E5742" w:rsidRPr="00193884" w:rsidRDefault="001E5742" w:rsidP="00193884">
            <w:pPr>
              <w:pStyle w:val="AralkYok"/>
              <w:rPr>
                <w:rFonts w:ascii="Times New Roman" w:hAnsi="Times New Roman"/>
                <w:b w:val="0"/>
                <w:i/>
                <w:sz w:val="20"/>
              </w:rPr>
            </w:pPr>
            <w:r w:rsidRPr="00193884">
              <w:rPr>
                <w:rFonts w:ascii="Times New Roman" w:hAnsi="Times New Roman"/>
                <w:b w:val="0"/>
                <w:i/>
                <w:sz w:val="20"/>
              </w:rPr>
              <w:t>Roe</w:t>
            </w:r>
          </w:p>
        </w:tc>
        <w:tc>
          <w:tcPr>
            <w:tcW w:w="1611" w:type="dxa"/>
            <w:shd w:val="clear" w:color="auto" w:fill="auto"/>
          </w:tcPr>
          <w:p w:rsidR="001E5742" w:rsidRPr="00193884" w:rsidRDefault="001E5742" w:rsidP="00193884">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3884">
              <w:rPr>
                <w:rFonts w:ascii="Times New Roman" w:hAnsi="Times New Roman"/>
                <w:sz w:val="20"/>
              </w:rPr>
              <w:t>49</w:t>
            </w:r>
          </w:p>
        </w:tc>
        <w:tc>
          <w:tcPr>
            <w:tcW w:w="1158" w:type="dxa"/>
            <w:shd w:val="clear" w:color="auto" w:fill="auto"/>
          </w:tcPr>
          <w:p w:rsidR="001E5742" w:rsidRPr="00193884" w:rsidRDefault="001E5742" w:rsidP="00193884">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3884">
              <w:rPr>
                <w:rFonts w:ascii="Times New Roman" w:hAnsi="Times New Roman"/>
                <w:sz w:val="20"/>
              </w:rPr>
              <w:t>-1,34</w:t>
            </w:r>
          </w:p>
        </w:tc>
        <w:tc>
          <w:tcPr>
            <w:tcW w:w="1158" w:type="dxa"/>
            <w:shd w:val="clear" w:color="auto" w:fill="auto"/>
          </w:tcPr>
          <w:p w:rsidR="001E5742" w:rsidRPr="00193884" w:rsidRDefault="001E5742" w:rsidP="00193884">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3884">
              <w:rPr>
                <w:rFonts w:ascii="Times New Roman" w:hAnsi="Times New Roman"/>
                <w:sz w:val="20"/>
              </w:rPr>
              <w:t>0,36</w:t>
            </w:r>
          </w:p>
        </w:tc>
        <w:tc>
          <w:tcPr>
            <w:tcW w:w="775" w:type="dxa"/>
            <w:shd w:val="clear" w:color="auto" w:fill="auto"/>
          </w:tcPr>
          <w:p w:rsidR="001E5742" w:rsidRPr="00193884" w:rsidRDefault="001E5742" w:rsidP="00193884">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3884">
              <w:rPr>
                <w:rFonts w:ascii="Times New Roman" w:hAnsi="Times New Roman"/>
                <w:sz w:val="20"/>
              </w:rPr>
              <w:t>-0,007</w:t>
            </w:r>
          </w:p>
        </w:tc>
        <w:tc>
          <w:tcPr>
            <w:tcW w:w="805" w:type="dxa"/>
            <w:shd w:val="clear" w:color="auto" w:fill="auto"/>
          </w:tcPr>
          <w:p w:rsidR="001E5742" w:rsidRPr="00193884" w:rsidRDefault="001E5742" w:rsidP="00193884">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3884">
              <w:rPr>
                <w:rFonts w:ascii="Times New Roman" w:hAnsi="Times New Roman"/>
                <w:sz w:val="20"/>
              </w:rPr>
              <w:t>0,30</w:t>
            </w:r>
          </w:p>
        </w:tc>
      </w:tr>
      <w:tr w:rsidR="001E5742" w:rsidRPr="001E5742" w:rsidTr="00193884">
        <w:trPr>
          <w:trHeight w:val="238"/>
          <w:jc w:val="center"/>
        </w:trPr>
        <w:tc>
          <w:tcPr>
            <w:cnfStyle w:val="001000000000" w:firstRow="0" w:lastRow="0" w:firstColumn="1" w:lastColumn="0" w:oddVBand="0" w:evenVBand="0" w:oddHBand="0" w:evenHBand="0" w:firstRowFirstColumn="0" w:firstRowLastColumn="0" w:lastRowFirstColumn="0" w:lastRowLastColumn="0"/>
            <w:tcW w:w="1621" w:type="dxa"/>
            <w:shd w:val="clear" w:color="auto" w:fill="auto"/>
          </w:tcPr>
          <w:p w:rsidR="001E5742" w:rsidRPr="00193884" w:rsidRDefault="001E5742" w:rsidP="00193884">
            <w:pPr>
              <w:pStyle w:val="AralkYok"/>
              <w:rPr>
                <w:rFonts w:ascii="Times New Roman" w:hAnsi="Times New Roman"/>
                <w:b w:val="0"/>
                <w:i/>
                <w:sz w:val="20"/>
              </w:rPr>
            </w:pPr>
            <w:r w:rsidRPr="00193884">
              <w:rPr>
                <w:rFonts w:ascii="Times New Roman" w:eastAsia="TimesNewRomanPSMT" w:hAnsi="Times New Roman"/>
                <w:b w:val="0"/>
                <w:i/>
                <w:sz w:val="20"/>
              </w:rPr>
              <w:t>Boardsize</w:t>
            </w:r>
          </w:p>
        </w:tc>
        <w:tc>
          <w:tcPr>
            <w:tcW w:w="1611" w:type="dxa"/>
            <w:shd w:val="clear" w:color="auto" w:fill="auto"/>
          </w:tcPr>
          <w:p w:rsidR="001E5742" w:rsidRPr="00193884" w:rsidRDefault="001E5742" w:rsidP="00193884">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3884">
              <w:rPr>
                <w:rFonts w:ascii="Times New Roman" w:hAnsi="Times New Roman"/>
                <w:sz w:val="20"/>
              </w:rPr>
              <w:t>49</w:t>
            </w:r>
          </w:p>
        </w:tc>
        <w:tc>
          <w:tcPr>
            <w:tcW w:w="1158" w:type="dxa"/>
            <w:shd w:val="clear" w:color="auto" w:fill="auto"/>
          </w:tcPr>
          <w:p w:rsidR="001E5742" w:rsidRPr="00193884" w:rsidRDefault="001E5742" w:rsidP="00193884">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3884">
              <w:rPr>
                <w:rFonts w:ascii="Times New Roman" w:hAnsi="Times New Roman"/>
                <w:sz w:val="20"/>
              </w:rPr>
              <w:t>5</w:t>
            </w:r>
          </w:p>
        </w:tc>
        <w:tc>
          <w:tcPr>
            <w:tcW w:w="1158" w:type="dxa"/>
            <w:shd w:val="clear" w:color="auto" w:fill="auto"/>
          </w:tcPr>
          <w:p w:rsidR="001E5742" w:rsidRPr="00193884" w:rsidRDefault="001E5742" w:rsidP="00193884">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3884">
              <w:rPr>
                <w:rFonts w:ascii="Times New Roman" w:hAnsi="Times New Roman"/>
                <w:sz w:val="20"/>
              </w:rPr>
              <w:t>14</w:t>
            </w:r>
          </w:p>
        </w:tc>
        <w:tc>
          <w:tcPr>
            <w:tcW w:w="775" w:type="dxa"/>
            <w:shd w:val="clear" w:color="auto" w:fill="auto"/>
          </w:tcPr>
          <w:p w:rsidR="001E5742" w:rsidRPr="00193884" w:rsidRDefault="001E5742" w:rsidP="00193884">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3884">
              <w:rPr>
                <w:rFonts w:ascii="Times New Roman" w:hAnsi="Times New Roman"/>
                <w:sz w:val="20"/>
              </w:rPr>
              <w:t>7,57</w:t>
            </w:r>
          </w:p>
        </w:tc>
        <w:tc>
          <w:tcPr>
            <w:tcW w:w="805" w:type="dxa"/>
            <w:shd w:val="clear" w:color="auto" w:fill="auto"/>
          </w:tcPr>
          <w:p w:rsidR="001E5742" w:rsidRPr="00193884" w:rsidRDefault="001E5742" w:rsidP="00193884">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3884">
              <w:rPr>
                <w:rFonts w:ascii="Times New Roman" w:hAnsi="Times New Roman"/>
                <w:sz w:val="20"/>
              </w:rPr>
              <w:t>1,58</w:t>
            </w:r>
          </w:p>
        </w:tc>
      </w:tr>
      <w:tr w:rsidR="001E5742" w:rsidRPr="001E5742" w:rsidTr="001E5742">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1621" w:type="dxa"/>
            <w:shd w:val="clear" w:color="auto" w:fill="auto"/>
          </w:tcPr>
          <w:p w:rsidR="001E5742" w:rsidRPr="00193884" w:rsidRDefault="001E5742" w:rsidP="00193884">
            <w:pPr>
              <w:pStyle w:val="AralkYok"/>
              <w:rPr>
                <w:rFonts w:ascii="Times New Roman" w:hAnsi="Times New Roman"/>
                <w:b w:val="0"/>
                <w:i/>
                <w:sz w:val="20"/>
              </w:rPr>
            </w:pPr>
            <w:r w:rsidRPr="00193884">
              <w:rPr>
                <w:rFonts w:ascii="Times New Roman" w:eastAsia="TimesNewRoman,Italic" w:hAnsi="Times New Roman"/>
                <w:b w:val="0"/>
                <w:i/>
                <w:iCs/>
                <w:sz w:val="20"/>
              </w:rPr>
              <w:t>Ffrate</w:t>
            </w:r>
          </w:p>
        </w:tc>
        <w:tc>
          <w:tcPr>
            <w:tcW w:w="1611" w:type="dxa"/>
            <w:shd w:val="clear" w:color="auto" w:fill="auto"/>
          </w:tcPr>
          <w:p w:rsidR="001E5742" w:rsidRPr="00193884" w:rsidRDefault="001E5742" w:rsidP="00193884">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3884">
              <w:rPr>
                <w:rFonts w:ascii="Times New Roman" w:hAnsi="Times New Roman"/>
                <w:sz w:val="20"/>
              </w:rPr>
              <w:t>49</w:t>
            </w:r>
          </w:p>
        </w:tc>
        <w:tc>
          <w:tcPr>
            <w:tcW w:w="1158" w:type="dxa"/>
            <w:shd w:val="clear" w:color="auto" w:fill="auto"/>
          </w:tcPr>
          <w:p w:rsidR="001E5742" w:rsidRPr="00193884" w:rsidRDefault="001E5742" w:rsidP="00193884">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3884">
              <w:rPr>
                <w:rFonts w:ascii="Times New Roman" w:hAnsi="Times New Roman"/>
                <w:sz w:val="20"/>
              </w:rPr>
              <w:t>1,34</w:t>
            </w:r>
          </w:p>
        </w:tc>
        <w:tc>
          <w:tcPr>
            <w:tcW w:w="1158" w:type="dxa"/>
            <w:shd w:val="clear" w:color="auto" w:fill="auto"/>
          </w:tcPr>
          <w:p w:rsidR="001E5742" w:rsidRPr="00193884" w:rsidRDefault="001E5742" w:rsidP="00193884">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3884">
              <w:rPr>
                <w:rFonts w:ascii="Times New Roman" w:hAnsi="Times New Roman"/>
                <w:sz w:val="20"/>
              </w:rPr>
              <w:t>41</w:t>
            </w:r>
          </w:p>
        </w:tc>
        <w:tc>
          <w:tcPr>
            <w:tcW w:w="775" w:type="dxa"/>
            <w:shd w:val="clear" w:color="auto" w:fill="auto"/>
          </w:tcPr>
          <w:p w:rsidR="001E5742" w:rsidRPr="00193884" w:rsidRDefault="001E5742" w:rsidP="00193884">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3884">
              <w:rPr>
                <w:rFonts w:ascii="Times New Roman" w:hAnsi="Times New Roman"/>
                <w:sz w:val="20"/>
              </w:rPr>
              <w:t>22,37</w:t>
            </w:r>
          </w:p>
        </w:tc>
        <w:tc>
          <w:tcPr>
            <w:tcW w:w="805" w:type="dxa"/>
            <w:shd w:val="clear" w:color="auto" w:fill="auto"/>
          </w:tcPr>
          <w:p w:rsidR="001E5742" w:rsidRPr="00193884" w:rsidRDefault="001E5742" w:rsidP="00193884">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3884">
              <w:rPr>
                <w:rFonts w:ascii="Times New Roman" w:hAnsi="Times New Roman"/>
                <w:sz w:val="20"/>
              </w:rPr>
              <w:t>1,45</w:t>
            </w:r>
          </w:p>
        </w:tc>
      </w:tr>
      <w:tr w:rsidR="001E5742" w:rsidRPr="001E5742" w:rsidTr="001E5742">
        <w:trPr>
          <w:trHeight w:val="408"/>
          <w:jc w:val="center"/>
        </w:trPr>
        <w:tc>
          <w:tcPr>
            <w:cnfStyle w:val="001000000000" w:firstRow="0" w:lastRow="0" w:firstColumn="1" w:lastColumn="0" w:oddVBand="0" w:evenVBand="0" w:oddHBand="0" w:evenHBand="0" w:firstRowFirstColumn="0" w:firstRowLastColumn="0" w:lastRowFirstColumn="0" w:lastRowLastColumn="0"/>
            <w:tcW w:w="1621" w:type="dxa"/>
            <w:shd w:val="clear" w:color="auto" w:fill="auto"/>
          </w:tcPr>
          <w:p w:rsidR="001E5742" w:rsidRPr="00193884" w:rsidRDefault="001E5742" w:rsidP="00193884">
            <w:pPr>
              <w:pStyle w:val="AralkYok"/>
              <w:rPr>
                <w:rFonts w:ascii="Times New Roman" w:hAnsi="Times New Roman"/>
                <w:b w:val="0"/>
                <w:i/>
                <w:sz w:val="20"/>
              </w:rPr>
            </w:pPr>
            <w:r w:rsidRPr="00193884">
              <w:rPr>
                <w:rFonts w:ascii="Times New Roman" w:eastAsia="TimesNewRomanPSMT" w:hAnsi="Times New Roman"/>
                <w:b w:val="0"/>
                <w:i/>
                <w:sz w:val="20"/>
              </w:rPr>
              <w:t>Duality</w:t>
            </w:r>
          </w:p>
        </w:tc>
        <w:tc>
          <w:tcPr>
            <w:tcW w:w="1611" w:type="dxa"/>
            <w:shd w:val="clear" w:color="auto" w:fill="auto"/>
          </w:tcPr>
          <w:p w:rsidR="001E5742" w:rsidRPr="00193884" w:rsidRDefault="001E5742" w:rsidP="00193884">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3884">
              <w:rPr>
                <w:rFonts w:ascii="Times New Roman" w:hAnsi="Times New Roman"/>
                <w:sz w:val="20"/>
              </w:rPr>
              <w:t>49</w:t>
            </w:r>
          </w:p>
        </w:tc>
        <w:tc>
          <w:tcPr>
            <w:tcW w:w="1158" w:type="dxa"/>
            <w:shd w:val="clear" w:color="auto" w:fill="auto"/>
          </w:tcPr>
          <w:p w:rsidR="001E5742" w:rsidRPr="00193884" w:rsidRDefault="001E5742" w:rsidP="00193884">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3884">
              <w:rPr>
                <w:rFonts w:ascii="Times New Roman" w:hAnsi="Times New Roman"/>
                <w:sz w:val="20"/>
              </w:rPr>
              <w:t>0</w:t>
            </w:r>
          </w:p>
        </w:tc>
        <w:tc>
          <w:tcPr>
            <w:tcW w:w="1158" w:type="dxa"/>
            <w:shd w:val="clear" w:color="auto" w:fill="auto"/>
          </w:tcPr>
          <w:p w:rsidR="001E5742" w:rsidRPr="00193884" w:rsidRDefault="001E5742" w:rsidP="00193884">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3884">
              <w:rPr>
                <w:rFonts w:ascii="Times New Roman" w:hAnsi="Times New Roman"/>
                <w:sz w:val="20"/>
              </w:rPr>
              <w:t>1</w:t>
            </w:r>
          </w:p>
        </w:tc>
        <w:tc>
          <w:tcPr>
            <w:tcW w:w="775" w:type="dxa"/>
            <w:shd w:val="clear" w:color="auto" w:fill="auto"/>
          </w:tcPr>
          <w:p w:rsidR="001E5742" w:rsidRPr="00193884" w:rsidRDefault="001E5742" w:rsidP="00193884">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3884">
              <w:rPr>
                <w:rFonts w:ascii="Times New Roman" w:hAnsi="Times New Roman"/>
                <w:sz w:val="20"/>
              </w:rPr>
              <w:t>0,29</w:t>
            </w:r>
          </w:p>
        </w:tc>
        <w:tc>
          <w:tcPr>
            <w:tcW w:w="805" w:type="dxa"/>
            <w:shd w:val="clear" w:color="auto" w:fill="auto"/>
          </w:tcPr>
          <w:p w:rsidR="001E5742" w:rsidRPr="00193884" w:rsidRDefault="001E5742" w:rsidP="00193884">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3884">
              <w:rPr>
                <w:rFonts w:ascii="Times New Roman" w:hAnsi="Times New Roman"/>
                <w:sz w:val="20"/>
              </w:rPr>
              <w:t>0,45</w:t>
            </w:r>
          </w:p>
        </w:tc>
      </w:tr>
      <w:tr w:rsidR="001E5742" w:rsidRPr="001E5742" w:rsidTr="001E5742">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621" w:type="dxa"/>
            <w:shd w:val="clear" w:color="auto" w:fill="auto"/>
          </w:tcPr>
          <w:p w:rsidR="001E5742" w:rsidRPr="00193884" w:rsidRDefault="001E5742" w:rsidP="00193884">
            <w:pPr>
              <w:pStyle w:val="AralkYok"/>
              <w:rPr>
                <w:rFonts w:ascii="Times New Roman" w:hAnsi="Times New Roman"/>
                <w:b w:val="0"/>
                <w:bCs w:val="0"/>
                <w:i/>
                <w:sz w:val="20"/>
              </w:rPr>
            </w:pPr>
            <w:r w:rsidRPr="00193884">
              <w:rPr>
                <w:rFonts w:ascii="Times New Roman" w:eastAsia="TimesNewRomanPSMT" w:hAnsi="Times New Roman"/>
                <w:b w:val="0"/>
                <w:i/>
                <w:sz w:val="20"/>
              </w:rPr>
              <w:t>Blockholders</w:t>
            </w:r>
          </w:p>
        </w:tc>
        <w:tc>
          <w:tcPr>
            <w:tcW w:w="1611" w:type="dxa"/>
            <w:shd w:val="clear" w:color="auto" w:fill="auto"/>
          </w:tcPr>
          <w:p w:rsidR="001E5742" w:rsidRPr="00193884" w:rsidRDefault="001E5742" w:rsidP="00193884">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3884">
              <w:rPr>
                <w:rFonts w:ascii="Times New Roman" w:hAnsi="Times New Roman"/>
                <w:sz w:val="20"/>
              </w:rPr>
              <w:t>49</w:t>
            </w:r>
          </w:p>
        </w:tc>
        <w:tc>
          <w:tcPr>
            <w:tcW w:w="1158" w:type="dxa"/>
            <w:shd w:val="clear" w:color="auto" w:fill="auto"/>
          </w:tcPr>
          <w:p w:rsidR="001E5742" w:rsidRPr="00193884" w:rsidRDefault="001E5742" w:rsidP="00193884">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3884">
              <w:rPr>
                <w:rFonts w:ascii="Times New Roman" w:hAnsi="Times New Roman"/>
                <w:sz w:val="20"/>
              </w:rPr>
              <w:t>34,22</w:t>
            </w:r>
          </w:p>
        </w:tc>
        <w:tc>
          <w:tcPr>
            <w:tcW w:w="1158" w:type="dxa"/>
            <w:shd w:val="clear" w:color="auto" w:fill="auto"/>
          </w:tcPr>
          <w:p w:rsidR="001E5742" w:rsidRPr="00193884" w:rsidRDefault="001E5742" w:rsidP="00193884">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3884">
              <w:rPr>
                <w:rFonts w:ascii="Times New Roman" w:hAnsi="Times New Roman"/>
                <w:sz w:val="20"/>
              </w:rPr>
              <w:t>98,66</w:t>
            </w:r>
          </w:p>
        </w:tc>
        <w:tc>
          <w:tcPr>
            <w:tcW w:w="775" w:type="dxa"/>
            <w:shd w:val="clear" w:color="auto" w:fill="auto"/>
          </w:tcPr>
          <w:p w:rsidR="001E5742" w:rsidRPr="00193884" w:rsidRDefault="001E5742" w:rsidP="00193884">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3884">
              <w:rPr>
                <w:rFonts w:ascii="Times New Roman" w:hAnsi="Times New Roman"/>
                <w:sz w:val="20"/>
              </w:rPr>
              <w:t>61,26</w:t>
            </w:r>
          </w:p>
        </w:tc>
        <w:tc>
          <w:tcPr>
            <w:tcW w:w="805" w:type="dxa"/>
            <w:shd w:val="clear" w:color="auto" w:fill="auto"/>
          </w:tcPr>
          <w:p w:rsidR="001E5742" w:rsidRPr="00193884" w:rsidRDefault="001E5742" w:rsidP="00193884">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3884">
              <w:rPr>
                <w:rFonts w:ascii="Times New Roman" w:hAnsi="Times New Roman"/>
                <w:sz w:val="20"/>
              </w:rPr>
              <w:t>2,05</w:t>
            </w:r>
          </w:p>
        </w:tc>
      </w:tr>
      <w:tr w:rsidR="001E5742" w:rsidRPr="001E5742" w:rsidTr="001E5742">
        <w:trPr>
          <w:trHeight w:val="408"/>
          <w:jc w:val="center"/>
        </w:trPr>
        <w:tc>
          <w:tcPr>
            <w:cnfStyle w:val="001000000000" w:firstRow="0" w:lastRow="0" w:firstColumn="1" w:lastColumn="0" w:oddVBand="0" w:evenVBand="0" w:oddHBand="0" w:evenHBand="0" w:firstRowFirstColumn="0" w:firstRowLastColumn="0" w:lastRowFirstColumn="0" w:lastRowLastColumn="0"/>
            <w:tcW w:w="1621" w:type="dxa"/>
            <w:shd w:val="clear" w:color="auto" w:fill="auto"/>
          </w:tcPr>
          <w:p w:rsidR="001E5742" w:rsidRPr="00193884" w:rsidRDefault="001E5742" w:rsidP="00193884">
            <w:pPr>
              <w:pStyle w:val="AralkYok"/>
              <w:rPr>
                <w:rFonts w:ascii="Times New Roman" w:hAnsi="Times New Roman"/>
                <w:b w:val="0"/>
                <w:i/>
                <w:sz w:val="20"/>
              </w:rPr>
            </w:pPr>
            <w:r w:rsidRPr="00193884">
              <w:rPr>
                <w:rFonts w:ascii="Times New Roman" w:hAnsi="Times New Roman"/>
                <w:b w:val="0"/>
                <w:bCs w:val="0"/>
                <w:i/>
                <w:sz w:val="20"/>
              </w:rPr>
              <w:t>Ownership</w:t>
            </w:r>
          </w:p>
        </w:tc>
        <w:tc>
          <w:tcPr>
            <w:tcW w:w="1611" w:type="dxa"/>
            <w:shd w:val="clear" w:color="auto" w:fill="auto"/>
          </w:tcPr>
          <w:p w:rsidR="001E5742" w:rsidRPr="00193884" w:rsidRDefault="001E5742" w:rsidP="00193884">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3884">
              <w:rPr>
                <w:rFonts w:ascii="Times New Roman" w:hAnsi="Times New Roman"/>
                <w:sz w:val="20"/>
              </w:rPr>
              <w:t>49</w:t>
            </w:r>
          </w:p>
        </w:tc>
        <w:tc>
          <w:tcPr>
            <w:tcW w:w="1158" w:type="dxa"/>
            <w:shd w:val="clear" w:color="auto" w:fill="auto"/>
          </w:tcPr>
          <w:p w:rsidR="001E5742" w:rsidRPr="00193884" w:rsidRDefault="001E5742" w:rsidP="00193884">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3884">
              <w:rPr>
                <w:rFonts w:ascii="Times New Roman" w:hAnsi="Times New Roman"/>
                <w:sz w:val="20"/>
              </w:rPr>
              <w:t>2</w:t>
            </w:r>
          </w:p>
        </w:tc>
        <w:tc>
          <w:tcPr>
            <w:tcW w:w="1158" w:type="dxa"/>
            <w:shd w:val="clear" w:color="auto" w:fill="auto"/>
          </w:tcPr>
          <w:p w:rsidR="001E5742" w:rsidRPr="00193884" w:rsidRDefault="001E5742" w:rsidP="00193884">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3884">
              <w:rPr>
                <w:rFonts w:ascii="Times New Roman" w:hAnsi="Times New Roman"/>
                <w:sz w:val="20"/>
              </w:rPr>
              <w:t>5</w:t>
            </w:r>
          </w:p>
        </w:tc>
        <w:tc>
          <w:tcPr>
            <w:tcW w:w="775" w:type="dxa"/>
            <w:shd w:val="clear" w:color="auto" w:fill="auto"/>
          </w:tcPr>
          <w:p w:rsidR="001E5742" w:rsidRPr="00193884" w:rsidRDefault="001E5742" w:rsidP="00193884">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3884">
              <w:rPr>
                <w:rFonts w:ascii="Times New Roman" w:hAnsi="Times New Roman"/>
                <w:sz w:val="20"/>
              </w:rPr>
              <w:t>3,14</w:t>
            </w:r>
          </w:p>
        </w:tc>
        <w:tc>
          <w:tcPr>
            <w:tcW w:w="805" w:type="dxa"/>
            <w:shd w:val="clear" w:color="auto" w:fill="auto"/>
          </w:tcPr>
          <w:p w:rsidR="001E5742" w:rsidRPr="00193884" w:rsidRDefault="001E5742" w:rsidP="00193884">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193884">
              <w:rPr>
                <w:rFonts w:ascii="Times New Roman" w:hAnsi="Times New Roman"/>
                <w:sz w:val="20"/>
              </w:rPr>
              <w:t>1,12</w:t>
            </w:r>
          </w:p>
        </w:tc>
      </w:tr>
      <w:tr w:rsidR="001E5742" w:rsidRPr="001E5742" w:rsidTr="00193884">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1621" w:type="dxa"/>
            <w:shd w:val="clear" w:color="auto" w:fill="auto"/>
          </w:tcPr>
          <w:p w:rsidR="001E5742" w:rsidRPr="00193884" w:rsidRDefault="001E5742" w:rsidP="00193884">
            <w:pPr>
              <w:pStyle w:val="AralkYok"/>
              <w:rPr>
                <w:rFonts w:ascii="Times New Roman" w:hAnsi="Times New Roman"/>
                <w:b w:val="0"/>
                <w:i/>
                <w:sz w:val="20"/>
              </w:rPr>
            </w:pPr>
            <w:r w:rsidRPr="00193884">
              <w:rPr>
                <w:rFonts w:ascii="Times New Roman" w:eastAsia="TimesNewRomanPSMT" w:hAnsi="Times New Roman"/>
                <w:b w:val="0"/>
                <w:i/>
                <w:sz w:val="20"/>
              </w:rPr>
              <w:t>Size</w:t>
            </w:r>
          </w:p>
        </w:tc>
        <w:tc>
          <w:tcPr>
            <w:tcW w:w="1611" w:type="dxa"/>
            <w:shd w:val="clear" w:color="auto" w:fill="auto"/>
          </w:tcPr>
          <w:p w:rsidR="001E5742" w:rsidRPr="00193884" w:rsidRDefault="001E5742" w:rsidP="00193884">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3884">
              <w:rPr>
                <w:rFonts w:ascii="Times New Roman" w:hAnsi="Times New Roman"/>
                <w:sz w:val="20"/>
              </w:rPr>
              <w:t>49</w:t>
            </w:r>
          </w:p>
        </w:tc>
        <w:tc>
          <w:tcPr>
            <w:tcW w:w="1158" w:type="dxa"/>
            <w:shd w:val="clear" w:color="auto" w:fill="auto"/>
          </w:tcPr>
          <w:p w:rsidR="001E5742" w:rsidRPr="00193884" w:rsidRDefault="001E5742" w:rsidP="00193884">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3884">
              <w:rPr>
                <w:rFonts w:ascii="Times New Roman" w:hAnsi="Times New Roman"/>
                <w:sz w:val="20"/>
              </w:rPr>
              <w:t>22,45</w:t>
            </w:r>
          </w:p>
        </w:tc>
        <w:tc>
          <w:tcPr>
            <w:tcW w:w="1158" w:type="dxa"/>
            <w:shd w:val="clear" w:color="auto" w:fill="auto"/>
          </w:tcPr>
          <w:p w:rsidR="001E5742" w:rsidRPr="00193884" w:rsidRDefault="001E5742" w:rsidP="00193884">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3884">
              <w:rPr>
                <w:rFonts w:ascii="Times New Roman" w:hAnsi="Times New Roman"/>
                <w:sz w:val="20"/>
              </w:rPr>
              <w:t>18,68</w:t>
            </w:r>
          </w:p>
        </w:tc>
        <w:tc>
          <w:tcPr>
            <w:tcW w:w="775" w:type="dxa"/>
            <w:shd w:val="clear" w:color="auto" w:fill="auto"/>
          </w:tcPr>
          <w:p w:rsidR="001E5742" w:rsidRPr="00193884" w:rsidRDefault="001E5742" w:rsidP="00193884">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3884">
              <w:rPr>
                <w:rFonts w:ascii="Times New Roman" w:hAnsi="Times New Roman"/>
                <w:sz w:val="20"/>
              </w:rPr>
              <w:t>20,53</w:t>
            </w:r>
          </w:p>
        </w:tc>
        <w:tc>
          <w:tcPr>
            <w:tcW w:w="805" w:type="dxa"/>
            <w:shd w:val="clear" w:color="auto" w:fill="auto"/>
          </w:tcPr>
          <w:p w:rsidR="001E5742" w:rsidRPr="00193884" w:rsidRDefault="001E5742" w:rsidP="00193884">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193884">
              <w:rPr>
                <w:rFonts w:ascii="Times New Roman" w:hAnsi="Times New Roman"/>
                <w:sz w:val="20"/>
              </w:rPr>
              <w:t>1,01</w:t>
            </w:r>
          </w:p>
        </w:tc>
      </w:tr>
    </w:tbl>
    <w:p w:rsidR="00193884" w:rsidRPr="00193884" w:rsidRDefault="00193884" w:rsidP="001E5742">
      <w:pPr>
        <w:autoSpaceDE w:val="0"/>
        <w:autoSpaceDN w:val="0"/>
        <w:adjustRightInd w:val="0"/>
        <w:spacing w:before="120"/>
        <w:jc w:val="both"/>
        <w:rPr>
          <w:b/>
          <w:sz w:val="14"/>
          <w:lang w:val="en-US"/>
        </w:rPr>
      </w:pPr>
    </w:p>
    <w:p w:rsidR="001E5742" w:rsidRPr="001E5742" w:rsidRDefault="001E5742" w:rsidP="001E5742">
      <w:pPr>
        <w:autoSpaceDE w:val="0"/>
        <w:autoSpaceDN w:val="0"/>
        <w:adjustRightInd w:val="0"/>
        <w:spacing w:before="120"/>
        <w:jc w:val="both"/>
        <w:rPr>
          <w:b/>
          <w:lang w:val="en-US"/>
        </w:rPr>
      </w:pPr>
      <w:r w:rsidRPr="001E5742">
        <w:rPr>
          <w:b/>
          <w:lang w:val="en-US"/>
        </w:rPr>
        <w:t>Findings</w:t>
      </w:r>
    </w:p>
    <w:p w:rsidR="001E5742" w:rsidRPr="001E5742" w:rsidRDefault="001E5742" w:rsidP="001E5742">
      <w:pPr>
        <w:autoSpaceDE w:val="0"/>
        <w:autoSpaceDN w:val="0"/>
        <w:adjustRightInd w:val="0"/>
        <w:spacing w:before="120"/>
        <w:jc w:val="both"/>
        <w:rPr>
          <w:b/>
          <w:lang w:val="en-US"/>
        </w:rPr>
      </w:pPr>
    </w:p>
    <w:p w:rsidR="001E5742" w:rsidRPr="001E5742" w:rsidRDefault="001E5742" w:rsidP="001E5742">
      <w:pPr>
        <w:autoSpaceDE w:val="0"/>
        <w:autoSpaceDN w:val="0"/>
        <w:adjustRightInd w:val="0"/>
        <w:spacing w:after="120"/>
        <w:jc w:val="both"/>
        <w:rPr>
          <w:lang w:val="en-US"/>
        </w:rPr>
      </w:pPr>
      <w:r w:rsidRPr="001E5742">
        <w:rPr>
          <w:lang w:val="en-US"/>
        </w:rPr>
        <w:t xml:space="preserve">Table 3 shows multiple regression analysis results indicating the relation between performance of insurance firms and corporate governance related to above developed model. </w:t>
      </w:r>
    </w:p>
    <w:p w:rsidR="001E5742" w:rsidRPr="001E5742" w:rsidRDefault="001E5742" w:rsidP="001E5742">
      <w:pPr>
        <w:autoSpaceDE w:val="0"/>
        <w:autoSpaceDN w:val="0"/>
        <w:adjustRightInd w:val="0"/>
        <w:spacing w:before="120" w:line="360" w:lineRule="auto"/>
        <w:jc w:val="center"/>
        <w:rPr>
          <w:sz w:val="22"/>
          <w:lang w:val="en-US"/>
        </w:rPr>
      </w:pPr>
      <w:r w:rsidRPr="001E5742">
        <w:rPr>
          <w:sz w:val="22"/>
          <w:lang w:val="en-US"/>
        </w:rPr>
        <w:t xml:space="preserve">Table 3 </w:t>
      </w:r>
      <w:r w:rsidRPr="001E5742">
        <w:rPr>
          <w:bCs/>
          <w:sz w:val="22"/>
          <w:lang w:val="en-US"/>
        </w:rPr>
        <w:t>Results of Regression Analysis</w:t>
      </w:r>
    </w:p>
    <w:tbl>
      <w:tblPr>
        <w:tblStyle w:val="AkGlgeleme"/>
        <w:tblW w:w="0" w:type="auto"/>
        <w:tblLook w:val="04A0" w:firstRow="1" w:lastRow="0" w:firstColumn="1" w:lastColumn="0" w:noHBand="0" w:noVBand="1"/>
      </w:tblPr>
      <w:tblGrid>
        <w:gridCol w:w="2034"/>
        <w:gridCol w:w="791"/>
        <w:gridCol w:w="1038"/>
        <w:gridCol w:w="1568"/>
        <w:gridCol w:w="752"/>
        <w:gridCol w:w="922"/>
        <w:gridCol w:w="1071"/>
        <w:gridCol w:w="827"/>
      </w:tblGrid>
      <w:tr w:rsidR="00193884" w:rsidRPr="00193884" w:rsidTr="001E5742">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087" w:type="dxa"/>
            <w:vMerge w:val="restart"/>
            <w:shd w:val="clear" w:color="auto" w:fill="auto"/>
            <w:hideMark/>
          </w:tcPr>
          <w:p w:rsidR="001E5742" w:rsidRPr="00193884" w:rsidRDefault="001E5742" w:rsidP="00CC2370">
            <w:pPr>
              <w:jc w:val="center"/>
              <w:rPr>
                <w:b w:val="0"/>
                <w:sz w:val="18"/>
                <w:szCs w:val="20"/>
                <w:lang w:val="en-US"/>
              </w:rPr>
            </w:pPr>
            <w:r w:rsidRPr="00193884">
              <w:rPr>
                <w:b w:val="0"/>
                <w:sz w:val="18"/>
                <w:szCs w:val="20"/>
                <w:lang w:val="en-US"/>
              </w:rPr>
              <w:t xml:space="preserve">MODEL </w:t>
            </w:r>
          </w:p>
          <w:p w:rsidR="001E5742" w:rsidRPr="00193884" w:rsidRDefault="001E5742" w:rsidP="00CC2370">
            <w:pPr>
              <w:jc w:val="center"/>
              <w:rPr>
                <w:b w:val="0"/>
                <w:sz w:val="18"/>
                <w:szCs w:val="20"/>
                <w:lang w:val="en-US"/>
              </w:rPr>
            </w:pPr>
            <w:r w:rsidRPr="00193884">
              <w:rPr>
                <w:b w:val="0"/>
                <w:sz w:val="18"/>
                <w:szCs w:val="20"/>
                <w:lang w:val="en-US"/>
              </w:rPr>
              <w:t>ROE</w:t>
            </w:r>
          </w:p>
        </w:tc>
        <w:tc>
          <w:tcPr>
            <w:tcW w:w="1884" w:type="dxa"/>
            <w:gridSpan w:val="2"/>
            <w:shd w:val="clear" w:color="auto" w:fill="auto"/>
            <w:hideMark/>
          </w:tcPr>
          <w:p w:rsidR="001E5742" w:rsidRPr="00193884" w:rsidRDefault="001E5742" w:rsidP="00CC237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iCs/>
                <w:sz w:val="18"/>
                <w:szCs w:val="20"/>
                <w:lang w:val="en-US"/>
              </w:rPr>
            </w:pPr>
            <w:r w:rsidRPr="00193884">
              <w:rPr>
                <w:b w:val="0"/>
                <w:bCs w:val="0"/>
                <w:iCs/>
                <w:sz w:val="18"/>
                <w:szCs w:val="20"/>
                <w:lang w:val="en-US"/>
              </w:rPr>
              <w:t>Unstandardized</w:t>
            </w:r>
          </w:p>
          <w:p w:rsidR="001E5742" w:rsidRPr="00193884" w:rsidRDefault="001E5742" w:rsidP="00CC2370">
            <w:pPr>
              <w:jc w:val="center"/>
              <w:cnfStyle w:val="100000000000" w:firstRow="1" w:lastRow="0" w:firstColumn="0" w:lastColumn="0" w:oddVBand="0" w:evenVBand="0" w:oddHBand="0" w:evenHBand="0" w:firstRowFirstColumn="0" w:firstRowLastColumn="0" w:lastRowFirstColumn="0" w:lastRowLastColumn="0"/>
              <w:rPr>
                <w:b w:val="0"/>
                <w:sz w:val="18"/>
                <w:szCs w:val="20"/>
                <w:lang w:val="en-US"/>
              </w:rPr>
            </w:pPr>
            <w:r w:rsidRPr="00193884">
              <w:rPr>
                <w:b w:val="0"/>
                <w:bCs w:val="0"/>
                <w:iCs/>
                <w:sz w:val="18"/>
                <w:szCs w:val="20"/>
                <w:lang w:val="en-US"/>
              </w:rPr>
              <w:t>Coefficients</w:t>
            </w:r>
          </w:p>
        </w:tc>
        <w:tc>
          <w:tcPr>
            <w:tcW w:w="1625" w:type="dxa"/>
            <w:shd w:val="clear" w:color="auto" w:fill="auto"/>
            <w:hideMark/>
          </w:tcPr>
          <w:p w:rsidR="001E5742" w:rsidRPr="00193884" w:rsidRDefault="001E5742" w:rsidP="00CC237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iCs/>
                <w:sz w:val="18"/>
                <w:szCs w:val="20"/>
                <w:lang w:val="en-US"/>
              </w:rPr>
            </w:pPr>
            <w:r w:rsidRPr="00193884">
              <w:rPr>
                <w:b w:val="0"/>
                <w:bCs w:val="0"/>
                <w:iCs/>
                <w:sz w:val="18"/>
                <w:szCs w:val="20"/>
                <w:lang w:val="en-US"/>
              </w:rPr>
              <w:t>Standardized</w:t>
            </w:r>
          </w:p>
          <w:p w:rsidR="001E5742" w:rsidRPr="00193884" w:rsidRDefault="001E5742" w:rsidP="00CC2370">
            <w:pPr>
              <w:jc w:val="center"/>
              <w:cnfStyle w:val="100000000000" w:firstRow="1" w:lastRow="0" w:firstColumn="0" w:lastColumn="0" w:oddVBand="0" w:evenVBand="0" w:oddHBand="0" w:evenHBand="0" w:firstRowFirstColumn="0" w:firstRowLastColumn="0" w:lastRowFirstColumn="0" w:lastRowLastColumn="0"/>
              <w:rPr>
                <w:b w:val="0"/>
                <w:sz w:val="18"/>
                <w:szCs w:val="20"/>
                <w:lang w:val="en-US"/>
              </w:rPr>
            </w:pPr>
            <w:r w:rsidRPr="00193884">
              <w:rPr>
                <w:b w:val="0"/>
                <w:bCs w:val="0"/>
                <w:iCs/>
                <w:sz w:val="18"/>
                <w:szCs w:val="20"/>
                <w:lang w:val="en-US"/>
              </w:rPr>
              <w:t>Coefficients</w:t>
            </w:r>
          </w:p>
        </w:tc>
        <w:tc>
          <w:tcPr>
            <w:tcW w:w="770" w:type="dxa"/>
            <w:vMerge w:val="restart"/>
            <w:shd w:val="clear" w:color="auto" w:fill="auto"/>
            <w:hideMark/>
          </w:tcPr>
          <w:p w:rsidR="001E5742" w:rsidRPr="00193884" w:rsidRDefault="001E5742" w:rsidP="00CC2370">
            <w:pPr>
              <w:jc w:val="center"/>
              <w:cnfStyle w:val="100000000000" w:firstRow="1" w:lastRow="0" w:firstColumn="0" w:lastColumn="0" w:oddVBand="0" w:evenVBand="0" w:oddHBand="0" w:evenHBand="0" w:firstRowFirstColumn="0" w:firstRowLastColumn="0" w:lastRowFirstColumn="0" w:lastRowLastColumn="0"/>
              <w:rPr>
                <w:b w:val="0"/>
                <w:sz w:val="18"/>
                <w:szCs w:val="20"/>
                <w:lang w:val="en-US"/>
              </w:rPr>
            </w:pPr>
            <w:r w:rsidRPr="00193884">
              <w:rPr>
                <w:b w:val="0"/>
                <w:sz w:val="18"/>
                <w:szCs w:val="20"/>
                <w:lang w:val="en-US"/>
              </w:rPr>
              <w:t>t</w:t>
            </w:r>
          </w:p>
        </w:tc>
        <w:tc>
          <w:tcPr>
            <w:tcW w:w="976" w:type="dxa"/>
            <w:vMerge w:val="restart"/>
            <w:shd w:val="clear" w:color="auto" w:fill="auto"/>
            <w:hideMark/>
          </w:tcPr>
          <w:p w:rsidR="001E5742" w:rsidRPr="00193884" w:rsidRDefault="001E5742" w:rsidP="00CC2370">
            <w:pPr>
              <w:jc w:val="center"/>
              <w:cnfStyle w:val="100000000000" w:firstRow="1" w:lastRow="0" w:firstColumn="0" w:lastColumn="0" w:oddVBand="0" w:evenVBand="0" w:oddHBand="0" w:evenHBand="0" w:firstRowFirstColumn="0" w:firstRowLastColumn="0" w:lastRowFirstColumn="0" w:lastRowLastColumn="0"/>
              <w:rPr>
                <w:b w:val="0"/>
                <w:sz w:val="18"/>
                <w:szCs w:val="20"/>
                <w:lang w:val="en-US"/>
              </w:rPr>
            </w:pPr>
            <w:r w:rsidRPr="00193884">
              <w:rPr>
                <w:b w:val="0"/>
                <w:bCs w:val="0"/>
                <w:iCs/>
                <w:sz w:val="18"/>
                <w:szCs w:val="20"/>
                <w:lang w:val="en-US"/>
              </w:rPr>
              <w:t>Sig.</w:t>
            </w:r>
          </w:p>
        </w:tc>
        <w:tc>
          <w:tcPr>
            <w:tcW w:w="1946" w:type="dxa"/>
            <w:gridSpan w:val="2"/>
            <w:shd w:val="clear" w:color="auto" w:fill="auto"/>
            <w:hideMark/>
          </w:tcPr>
          <w:p w:rsidR="001E5742" w:rsidRPr="00193884" w:rsidRDefault="001E5742" w:rsidP="00CC2370">
            <w:pPr>
              <w:jc w:val="center"/>
              <w:cnfStyle w:val="100000000000" w:firstRow="1" w:lastRow="0" w:firstColumn="0" w:lastColumn="0" w:oddVBand="0" w:evenVBand="0" w:oddHBand="0" w:evenHBand="0" w:firstRowFirstColumn="0" w:firstRowLastColumn="0" w:lastRowFirstColumn="0" w:lastRowLastColumn="0"/>
              <w:rPr>
                <w:b w:val="0"/>
                <w:sz w:val="18"/>
                <w:szCs w:val="20"/>
                <w:lang w:val="en-US"/>
              </w:rPr>
            </w:pPr>
            <w:r w:rsidRPr="00193884">
              <w:rPr>
                <w:b w:val="0"/>
                <w:bCs w:val="0"/>
                <w:iCs/>
                <w:sz w:val="18"/>
                <w:szCs w:val="20"/>
                <w:lang w:val="en-US"/>
              </w:rPr>
              <w:t xml:space="preserve">Collinearity </w:t>
            </w:r>
            <w:r w:rsidRPr="00193884">
              <w:rPr>
                <w:b w:val="0"/>
                <w:sz w:val="18"/>
                <w:szCs w:val="20"/>
                <w:lang w:val="en-US"/>
              </w:rPr>
              <w:t>Statistics</w:t>
            </w:r>
          </w:p>
        </w:tc>
      </w:tr>
      <w:tr w:rsidR="001E5742" w:rsidRPr="00193884" w:rsidTr="001E574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rsidR="001E5742" w:rsidRPr="00193884" w:rsidRDefault="001E5742" w:rsidP="00CC2370">
            <w:pPr>
              <w:rPr>
                <w:b w:val="0"/>
                <w:sz w:val="18"/>
                <w:szCs w:val="20"/>
                <w:lang w:val="en-US"/>
              </w:rPr>
            </w:pPr>
          </w:p>
        </w:tc>
        <w:tc>
          <w:tcPr>
            <w:tcW w:w="815" w:type="dxa"/>
            <w:shd w:val="clear" w:color="auto" w:fill="auto"/>
            <w:hideMark/>
          </w:tcPr>
          <w:p w:rsidR="001E5742" w:rsidRPr="00193884" w:rsidRDefault="001E5742" w:rsidP="00CC2370">
            <w:pPr>
              <w:jc w:val="center"/>
              <w:cnfStyle w:val="000000100000" w:firstRow="0" w:lastRow="0" w:firstColumn="0" w:lastColumn="0" w:oddVBand="0" w:evenVBand="0" w:oddHBand="1" w:evenHBand="0" w:firstRowFirstColumn="0" w:firstRowLastColumn="0" w:lastRowFirstColumn="0" w:lastRowLastColumn="0"/>
              <w:rPr>
                <w:sz w:val="18"/>
                <w:szCs w:val="20"/>
                <w:lang w:val="en-US"/>
              </w:rPr>
            </w:pPr>
            <w:r w:rsidRPr="00193884">
              <w:rPr>
                <w:sz w:val="18"/>
                <w:szCs w:val="20"/>
                <w:lang w:val="en-US"/>
              </w:rPr>
              <w:t>B</w:t>
            </w:r>
          </w:p>
        </w:tc>
        <w:tc>
          <w:tcPr>
            <w:tcW w:w="1069" w:type="dxa"/>
            <w:shd w:val="clear" w:color="auto" w:fill="auto"/>
            <w:hideMark/>
          </w:tcPr>
          <w:p w:rsidR="001E5742" w:rsidRPr="00193884" w:rsidRDefault="001E5742" w:rsidP="00CC237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Italic"/>
                <w:iCs/>
                <w:sz w:val="18"/>
                <w:szCs w:val="20"/>
                <w:lang w:val="en-US"/>
              </w:rPr>
            </w:pPr>
            <w:r w:rsidRPr="00193884">
              <w:rPr>
                <w:rFonts w:eastAsia="Times-Italic"/>
                <w:iCs/>
                <w:sz w:val="18"/>
                <w:szCs w:val="20"/>
                <w:lang w:val="en-US"/>
              </w:rPr>
              <w:t>Standart</w:t>
            </w:r>
          </w:p>
          <w:p w:rsidR="001E5742" w:rsidRPr="00193884" w:rsidRDefault="001E5742" w:rsidP="00CC2370">
            <w:pPr>
              <w:jc w:val="center"/>
              <w:cnfStyle w:val="000000100000" w:firstRow="0" w:lastRow="0" w:firstColumn="0" w:lastColumn="0" w:oddVBand="0" w:evenVBand="0" w:oddHBand="1" w:evenHBand="0" w:firstRowFirstColumn="0" w:firstRowLastColumn="0" w:lastRowFirstColumn="0" w:lastRowLastColumn="0"/>
              <w:rPr>
                <w:sz w:val="18"/>
                <w:szCs w:val="20"/>
                <w:lang w:val="en-US"/>
              </w:rPr>
            </w:pPr>
            <w:r w:rsidRPr="00193884">
              <w:rPr>
                <w:rFonts w:eastAsia="Times-Italic"/>
                <w:iCs/>
                <w:sz w:val="18"/>
                <w:szCs w:val="20"/>
                <w:lang w:val="en-US"/>
              </w:rPr>
              <w:t>Error</w:t>
            </w:r>
          </w:p>
        </w:tc>
        <w:tc>
          <w:tcPr>
            <w:tcW w:w="1625" w:type="dxa"/>
            <w:shd w:val="clear" w:color="auto" w:fill="auto"/>
            <w:hideMark/>
          </w:tcPr>
          <w:p w:rsidR="001E5742" w:rsidRPr="00193884" w:rsidRDefault="001E5742" w:rsidP="00CC2370">
            <w:pPr>
              <w:jc w:val="center"/>
              <w:cnfStyle w:val="000000100000" w:firstRow="0" w:lastRow="0" w:firstColumn="0" w:lastColumn="0" w:oddVBand="0" w:evenVBand="0" w:oddHBand="1" w:evenHBand="0" w:firstRowFirstColumn="0" w:firstRowLastColumn="0" w:lastRowFirstColumn="0" w:lastRowLastColumn="0"/>
              <w:rPr>
                <w:sz w:val="18"/>
                <w:szCs w:val="20"/>
                <w:lang w:val="en-US"/>
              </w:rPr>
            </w:pPr>
            <w:r w:rsidRPr="00193884">
              <w:rPr>
                <w:sz w:val="18"/>
                <w:szCs w:val="20"/>
                <w:lang w:val="en-US"/>
              </w:rPr>
              <w:t>Beta</w:t>
            </w:r>
          </w:p>
        </w:tc>
        <w:tc>
          <w:tcPr>
            <w:tcW w:w="0" w:type="auto"/>
            <w:vMerge/>
            <w:shd w:val="clear" w:color="auto" w:fill="auto"/>
            <w:hideMark/>
          </w:tcPr>
          <w:p w:rsidR="001E5742" w:rsidRPr="00193884" w:rsidRDefault="001E5742" w:rsidP="00CC2370">
            <w:pPr>
              <w:cnfStyle w:val="000000100000" w:firstRow="0" w:lastRow="0" w:firstColumn="0" w:lastColumn="0" w:oddVBand="0" w:evenVBand="0" w:oddHBand="1" w:evenHBand="0" w:firstRowFirstColumn="0" w:firstRowLastColumn="0" w:lastRowFirstColumn="0" w:lastRowLastColumn="0"/>
              <w:rPr>
                <w:sz w:val="18"/>
                <w:szCs w:val="20"/>
                <w:lang w:val="en-US"/>
              </w:rPr>
            </w:pPr>
          </w:p>
        </w:tc>
        <w:tc>
          <w:tcPr>
            <w:tcW w:w="0" w:type="auto"/>
            <w:vMerge/>
            <w:shd w:val="clear" w:color="auto" w:fill="auto"/>
            <w:hideMark/>
          </w:tcPr>
          <w:p w:rsidR="001E5742" w:rsidRPr="00193884" w:rsidRDefault="001E5742" w:rsidP="00CC2370">
            <w:pPr>
              <w:cnfStyle w:val="000000100000" w:firstRow="0" w:lastRow="0" w:firstColumn="0" w:lastColumn="0" w:oddVBand="0" w:evenVBand="0" w:oddHBand="1" w:evenHBand="0" w:firstRowFirstColumn="0" w:firstRowLastColumn="0" w:lastRowFirstColumn="0" w:lastRowLastColumn="0"/>
              <w:rPr>
                <w:sz w:val="18"/>
                <w:szCs w:val="20"/>
                <w:lang w:val="en-US"/>
              </w:rPr>
            </w:pPr>
          </w:p>
        </w:tc>
        <w:tc>
          <w:tcPr>
            <w:tcW w:w="1090" w:type="dxa"/>
            <w:shd w:val="clear" w:color="auto" w:fill="auto"/>
            <w:hideMark/>
          </w:tcPr>
          <w:p w:rsidR="001E5742" w:rsidRPr="00193884" w:rsidRDefault="001E5742" w:rsidP="00CC2370">
            <w:pPr>
              <w:jc w:val="center"/>
              <w:cnfStyle w:val="000000100000" w:firstRow="0" w:lastRow="0" w:firstColumn="0" w:lastColumn="0" w:oddVBand="0" w:evenVBand="0" w:oddHBand="1" w:evenHBand="0" w:firstRowFirstColumn="0" w:firstRowLastColumn="0" w:lastRowFirstColumn="0" w:lastRowLastColumn="0"/>
              <w:rPr>
                <w:sz w:val="18"/>
                <w:szCs w:val="20"/>
                <w:lang w:val="en-US"/>
              </w:rPr>
            </w:pPr>
            <w:r w:rsidRPr="00193884">
              <w:rPr>
                <w:bCs/>
                <w:iCs/>
                <w:sz w:val="18"/>
                <w:szCs w:val="20"/>
                <w:lang w:val="en-US"/>
              </w:rPr>
              <w:t>Tolerance</w:t>
            </w:r>
          </w:p>
        </w:tc>
        <w:tc>
          <w:tcPr>
            <w:tcW w:w="856" w:type="dxa"/>
            <w:shd w:val="clear" w:color="auto" w:fill="auto"/>
            <w:hideMark/>
          </w:tcPr>
          <w:p w:rsidR="001E5742" w:rsidRPr="00193884" w:rsidRDefault="001E5742" w:rsidP="00CC2370">
            <w:pPr>
              <w:jc w:val="center"/>
              <w:cnfStyle w:val="000000100000" w:firstRow="0" w:lastRow="0" w:firstColumn="0" w:lastColumn="0" w:oddVBand="0" w:evenVBand="0" w:oddHBand="1" w:evenHBand="0" w:firstRowFirstColumn="0" w:firstRowLastColumn="0" w:lastRowFirstColumn="0" w:lastRowLastColumn="0"/>
              <w:rPr>
                <w:sz w:val="18"/>
                <w:szCs w:val="20"/>
                <w:lang w:val="en-US"/>
              </w:rPr>
            </w:pPr>
            <w:r w:rsidRPr="00193884">
              <w:rPr>
                <w:sz w:val="18"/>
                <w:szCs w:val="20"/>
                <w:lang w:val="en-US"/>
              </w:rPr>
              <w:t>VIF</w:t>
            </w:r>
          </w:p>
        </w:tc>
      </w:tr>
      <w:tr w:rsidR="001E5742" w:rsidRPr="00193884" w:rsidTr="001E5742">
        <w:trPr>
          <w:trHeight w:val="268"/>
        </w:trPr>
        <w:tc>
          <w:tcPr>
            <w:cnfStyle w:val="001000000000" w:firstRow="0" w:lastRow="0" w:firstColumn="1" w:lastColumn="0" w:oddVBand="0" w:evenVBand="0" w:oddHBand="0" w:evenHBand="0" w:firstRowFirstColumn="0" w:firstRowLastColumn="0" w:lastRowFirstColumn="0" w:lastRowLastColumn="0"/>
            <w:tcW w:w="2087" w:type="dxa"/>
            <w:shd w:val="clear" w:color="auto" w:fill="auto"/>
            <w:hideMark/>
          </w:tcPr>
          <w:p w:rsidR="001E5742" w:rsidRPr="00193884" w:rsidRDefault="001E5742" w:rsidP="00CC2370">
            <w:pPr>
              <w:jc w:val="center"/>
              <w:rPr>
                <w:b w:val="0"/>
                <w:sz w:val="18"/>
                <w:szCs w:val="20"/>
                <w:lang w:val="en-US"/>
              </w:rPr>
            </w:pPr>
            <w:r w:rsidRPr="00193884">
              <w:rPr>
                <w:b w:val="0"/>
                <w:sz w:val="18"/>
                <w:szCs w:val="20"/>
                <w:lang w:val="en-US"/>
              </w:rPr>
              <w:t>Constant</w:t>
            </w:r>
          </w:p>
        </w:tc>
        <w:tc>
          <w:tcPr>
            <w:tcW w:w="815" w:type="dxa"/>
            <w:shd w:val="clear" w:color="auto" w:fill="auto"/>
            <w:hideMark/>
          </w:tcPr>
          <w:p w:rsidR="001E5742" w:rsidRPr="00193884" w:rsidRDefault="001E5742" w:rsidP="00CC2370">
            <w:pPr>
              <w:jc w:val="center"/>
              <w:cnfStyle w:val="000000000000" w:firstRow="0" w:lastRow="0" w:firstColumn="0" w:lastColumn="0" w:oddVBand="0" w:evenVBand="0" w:oddHBand="0" w:evenHBand="0" w:firstRowFirstColumn="0" w:firstRowLastColumn="0" w:lastRowFirstColumn="0" w:lastRowLastColumn="0"/>
              <w:rPr>
                <w:sz w:val="18"/>
                <w:szCs w:val="20"/>
                <w:lang w:val="en-US"/>
              </w:rPr>
            </w:pPr>
            <w:r w:rsidRPr="00193884">
              <w:rPr>
                <w:sz w:val="18"/>
                <w:szCs w:val="20"/>
                <w:lang w:val="en-US"/>
              </w:rPr>
              <w:t>-2,497</w:t>
            </w:r>
          </w:p>
        </w:tc>
        <w:tc>
          <w:tcPr>
            <w:tcW w:w="1069" w:type="dxa"/>
            <w:shd w:val="clear" w:color="auto" w:fill="auto"/>
            <w:hideMark/>
          </w:tcPr>
          <w:p w:rsidR="001E5742" w:rsidRPr="00193884" w:rsidRDefault="001E5742" w:rsidP="00CC2370">
            <w:pPr>
              <w:jc w:val="center"/>
              <w:cnfStyle w:val="000000000000" w:firstRow="0" w:lastRow="0" w:firstColumn="0" w:lastColumn="0" w:oddVBand="0" w:evenVBand="0" w:oddHBand="0" w:evenHBand="0" w:firstRowFirstColumn="0" w:firstRowLastColumn="0" w:lastRowFirstColumn="0" w:lastRowLastColumn="0"/>
              <w:rPr>
                <w:sz w:val="18"/>
                <w:szCs w:val="20"/>
                <w:lang w:val="en-US"/>
              </w:rPr>
            </w:pPr>
            <w:r w:rsidRPr="00193884">
              <w:rPr>
                <w:sz w:val="18"/>
                <w:szCs w:val="20"/>
                <w:lang w:val="en-US"/>
              </w:rPr>
              <w:t>,553</w:t>
            </w:r>
          </w:p>
        </w:tc>
        <w:tc>
          <w:tcPr>
            <w:tcW w:w="1625" w:type="dxa"/>
            <w:shd w:val="clear" w:color="auto" w:fill="auto"/>
            <w:hideMark/>
          </w:tcPr>
          <w:p w:rsidR="001E5742" w:rsidRPr="00193884" w:rsidRDefault="001E5742" w:rsidP="00CC2370">
            <w:pPr>
              <w:jc w:val="center"/>
              <w:cnfStyle w:val="000000000000" w:firstRow="0" w:lastRow="0" w:firstColumn="0" w:lastColumn="0" w:oddVBand="0" w:evenVBand="0" w:oddHBand="0" w:evenHBand="0" w:firstRowFirstColumn="0" w:firstRowLastColumn="0" w:lastRowFirstColumn="0" w:lastRowLastColumn="0"/>
              <w:rPr>
                <w:sz w:val="18"/>
                <w:szCs w:val="20"/>
                <w:lang w:val="en-US"/>
              </w:rPr>
            </w:pPr>
          </w:p>
        </w:tc>
        <w:tc>
          <w:tcPr>
            <w:tcW w:w="770" w:type="dxa"/>
            <w:shd w:val="clear" w:color="auto" w:fill="auto"/>
            <w:hideMark/>
          </w:tcPr>
          <w:p w:rsidR="001E5742" w:rsidRPr="00193884" w:rsidRDefault="001E5742" w:rsidP="00CC2370">
            <w:pPr>
              <w:jc w:val="center"/>
              <w:cnfStyle w:val="000000000000" w:firstRow="0" w:lastRow="0" w:firstColumn="0" w:lastColumn="0" w:oddVBand="0" w:evenVBand="0" w:oddHBand="0" w:evenHBand="0" w:firstRowFirstColumn="0" w:firstRowLastColumn="0" w:lastRowFirstColumn="0" w:lastRowLastColumn="0"/>
              <w:rPr>
                <w:sz w:val="18"/>
                <w:szCs w:val="20"/>
                <w:lang w:val="en-US"/>
              </w:rPr>
            </w:pPr>
            <w:r w:rsidRPr="00193884">
              <w:rPr>
                <w:sz w:val="18"/>
                <w:szCs w:val="20"/>
                <w:lang w:val="en-US"/>
              </w:rPr>
              <w:t>-4,51</w:t>
            </w:r>
          </w:p>
        </w:tc>
        <w:tc>
          <w:tcPr>
            <w:tcW w:w="976" w:type="dxa"/>
            <w:shd w:val="clear" w:color="auto" w:fill="auto"/>
            <w:hideMark/>
          </w:tcPr>
          <w:p w:rsidR="001E5742" w:rsidRPr="00193884" w:rsidRDefault="001E5742" w:rsidP="00CC2370">
            <w:pPr>
              <w:jc w:val="center"/>
              <w:cnfStyle w:val="000000000000" w:firstRow="0" w:lastRow="0" w:firstColumn="0" w:lastColumn="0" w:oddVBand="0" w:evenVBand="0" w:oddHBand="0" w:evenHBand="0" w:firstRowFirstColumn="0" w:firstRowLastColumn="0" w:lastRowFirstColumn="0" w:lastRowLastColumn="0"/>
              <w:rPr>
                <w:sz w:val="18"/>
                <w:szCs w:val="20"/>
                <w:lang w:val="en-US"/>
              </w:rPr>
            </w:pPr>
            <w:r w:rsidRPr="00193884">
              <w:rPr>
                <w:sz w:val="18"/>
                <w:szCs w:val="20"/>
                <w:lang w:val="en-US"/>
              </w:rPr>
              <w:t>,000</w:t>
            </w:r>
          </w:p>
        </w:tc>
        <w:tc>
          <w:tcPr>
            <w:tcW w:w="1090" w:type="dxa"/>
            <w:shd w:val="clear" w:color="auto" w:fill="auto"/>
            <w:hideMark/>
          </w:tcPr>
          <w:p w:rsidR="001E5742" w:rsidRPr="00193884" w:rsidRDefault="001E5742" w:rsidP="00CC2370">
            <w:pPr>
              <w:jc w:val="center"/>
              <w:cnfStyle w:val="000000000000" w:firstRow="0" w:lastRow="0" w:firstColumn="0" w:lastColumn="0" w:oddVBand="0" w:evenVBand="0" w:oddHBand="0" w:evenHBand="0" w:firstRowFirstColumn="0" w:firstRowLastColumn="0" w:lastRowFirstColumn="0" w:lastRowLastColumn="0"/>
              <w:rPr>
                <w:sz w:val="18"/>
                <w:szCs w:val="20"/>
                <w:lang w:val="en-US"/>
              </w:rPr>
            </w:pPr>
          </w:p>
        </w:tc>
        <w:tc>
          <w:tcPr>
            <w:tcW w:w="856" w:type="dxa"/>
            <w:shd w:val="clear" w:color="auto" w:fill="auto"/>
            <w:hideMark/>
          </w:tcPr>
          <w:p w:rsidR="001E5742" w:rsidRPr="00193884" w:rsidRDefault="001E5742" w:rsidP="00CC2370">
            <w:pPr>
              <w:jc w:val="center"/>
              <w:cnfStyle w:val="000000000000" w:firstRow="0" w:lastRow="0" w:firstColumn="0" w:lastColumn="0" w:oddVBand="0" w:evenVBand="0" w:oddHBand="0" w:evenHBand="0" w:firstRowFirstColumn="0" w:firstRowLastColumn="0" w:lastRowFirstColumn="0" w:lastRowLastColumn="0"/>
              <w:rPr>
                <w:sz w:val="18"/>
                <w:szCs w:val="20"/>
                <w:lang w:val="en-US"/>
              </w:rPr>
            </w:pPr>
          </w:p>
        </w:tc>
      </w:tr>
      <w:tr w:rsidR="001E5742" w:rsidRPr="00193884" w:rsidTr="001E5742">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087" w:type="dxa"/>
            <w:shd w:val="clear" w:color="auto" w:fill="auto"/>
            <w:hideMark/>
          </w:tcPr>
          <w:p w:rsidR="001E5742" w:rsidRPr="00193884" w:rsidRDefault="001E5742" w:rsidP="00CC2370">
            <w:pPr>
              <w:jc w:val="center"/>
              <w:rPr>
                <w:b w:val="0"/>
                <w:sz w:val="18"/>
                <w:szCs w:val="20"/>
                <w:lang w:val="en-US"/>
              </w:rPr>
            </w:pPr>
            <w:r w:rsidRPr="00193884">
              <w:rPr>
                <w:rFonts w:eastAsia="TimesNewRomanPSMT"/>
                <w:b w:val="0"/>
                <w:sz w:val="18"/>
                <w:szCs w:val="20"/>
                <w:lang w:val="en-US"/>
              </w:rPr>
              <w:t>BOARDSIZE</w:t>
            </w:r>
          </w:p>
        </w:tc>
        <w:tc>
          <w:tcPr>
            <w:tcW w:w="815" w:type="dxa"/>
            <w:shd w:val="clear" w:color="auto" w:fill="auto"/>
            <w:hideMark/>
          </w:tcPr>
          <w:p w:rsidR="001E5742" w:rsidRPr="00193884" w:rsidRDefault="001E5742" w:rsidP="00CC2370">
            <w:pPr>
              <w:jc w:val="center"/>
              <w:cnfStyle w:val="000000100000" w:firstRow="0" w:lastRow="0" w:firstColumn="0" w:lastColumn="0" w:oddVBand="0" w:evenVBand="0" w:oddHBand="1" w:evenHBand="0" w:firstRowFirstColumn="0" w:firstRowLastColumn="0" w:lastRowFirstColumn="0" w:lastRowLastColumn="0"/>
              <w:rPr>
                <w:sz w:val="18"/>
                <w:szCs w:val="20"/>
                <w:lang w:val="en-US"/>
              </w:rPr>
            </w:pPr>
            <w:r w:rsidRPr="00193884">
              <w:rPr>
                <w:sz w:val="18"/>
                <w:szCs w:val="20"/>
                <w:lang w:val="en-US"/>
              </w:rPr>
              <w:t>,004</w:t>
            </w:r>
          </w:p>
        </w:tc>
        <w:tc>
          <w:tcPr>
            <w:tcW w:w="1069" w:type="dxa"/>
            <w:shd w:val="clear" w:color="auto" w:fill="auto"/>
            <w:hideMark/>
          </w:tcPr>
          <w:p w:rsidR="001E5742" w:rsidRPr="00193884" w:rsidRDefault="001E5742" w:rsidP="00CC2370">
            <w:pPr>
              <w:jc w:val="center"/>
              <w:cnfStyle w:val="000000100000" w:firstRow="0" w:lastRow="0" w:firstColumn="0" w:lastColumn="0" w:oddVBand="0" w:evenVBand="0" w:oddHBand="1" w:evenHBand="0" w:firstRowFirstColumn="0" w:firstRowLastColumn="0" w:lastRowFirstColumn="0" w:lastRowLastColumn="0"/>
              <w:rPr>
                <w:sz w:val="18"/>
                <w:szCs w:val="20"/>
                <w:lang w:val="en-US"/>
              </w:rPr>
            </w:pPr>
            <w:r w:rsidRPr="00193884">
              <w:rPr>
                <w:sz w:val="18"/>
                <w:szCs w:val="20"/>
                <w:lang w:val="en-US"/>
              </w:rPr>
              <w:t>,017</w:t>
            </w:r>
          </w:p>
        </w:tc>
        <w:tc>
          <w:tcPr>
            <w:tcW w:w="1625" w:type="dxa"/>
            <w:shd w:val="clear" w:color="auto" w:fill="auto"/>
            <w:hideMark/>
          </w:tcPr>
          <w:p w:rsidR="001E5742" w:rsidRPr="00193884" w:rsidRDefault="001E5742" w:rsidP="00CC2370">
            <w:pPr>
              <w:jc w:val="center"/>
              <w:cnfStyle w:val="000000100000" w:firstRow="0" w:lastRow="0" w:firstColumn="0" w:lastColumn="0" w:oddVBand="0" w:evenVBand="0" w:oddHBand="1" w:evenHBand="0" w:firstRowFirstColumn="0" w:firstRowLastColumn="0" w:lastRowFirstColumn="0" w:lastRowLastColumn="0"/>
              <w:rPr>
                <w:sz w:val="18"/>
                <w:szCs w:val="20"/>
                <w:lang w:val="en-US"/>
              </w:rPr>
            </w:pPr>
            <w:r w:rsidRPr="00193884">
              <w:rPr>
                <w:sz w:val="18"/>
                <w:szCs w:val="20"/>
                <w:lang w:val="en-US"/>
              </w:rPr>
              <w:t>,023</w:t>
            </w:r>
          </w:p>
        </w:tc>
        <w:tc>
          <w:tcPr>
            <w:tcW w:w="770" w:type="dxa"/>
            <w:shd w:val="clear" w:color="auto" w:fill="auto"/>
            <w:hideMark/>
          </w:tcPr>
          <w:p w:rsidR="001E5742" w:rsidRPr="00193884" w:rsidRDefault="001E5742" w:rsidP="00CC2370">
            <w:pPr>
              <w:jc w:val="center"/>
              <w:cnfStyle w:val="000000100000" w:firstRow="0" w:lastRow="0" w:firstColumn="0" w:lastColumn="0" w:oddVBand="0" w:evenVBand="0" w:oddHBand="1" w:evenHBand="0" w:firstRowFirstColumn="0" w:firstRowLastColumn="0" w:lastRowFirstColumn="0" w:lastRowLastColumn="0"/>
              <w:rPr>
                <w:sz w:val="18"/>
                <w:szCs w:val="20"/>
                <w:lang w:val="en-US"/>
              </w:rPr>
            </w:pPr>
            <w:r w:rsidRPr="00193884">
              <w:rPr>
                <w:sz w:val="18"/>
                <w:szCs w:val="20"/>
                <w:lang w:val="en-US"/>
              </w:rPr>
              <w:t>,259</w:t>
            </w:r>
          </w:p>
        </w:tc>
        <w:tc>
          <w:tcPr>
            <w:tcW w:w="976" w:type="dxa"/>
            <w:shd w:val="clear" w:color="auto" w:fill="auto"/>
            <w:hideMark/>
          </w:tcPr>
          <w:p w:rsidR="001E5742" w:rsidRPr="00193884" w:rsidRDefault="001E5742" w:rsidP="00CC2370">
            <w:pPr>
              <w:jc w:val="center"/>
              <w:cnfStyle w:val="000000100000" w:firstRow="0" w:lastRow="0" w:firstColumn="0" w:lastColumn="0" w:oddVBand="0" w:evenVBand="0" w:oddHBand="1" w:evenHBand="0" w:firstRowFirstColumn="0" w:firstRowLastColumn="0" w:lastRowFirstColumn="0" w:lastRowLastColumn="0"/>
              <w:rPr>
                <w:sz w:val="18"/>
                <w:szCs w:val="20"/>
                <w:lang w:val="en-US"/>
              </w:rPr>
            </w:pPr>
            <w:r w:rsidRPr="00193884">
              <w:rPr>
                <w:sz w:val="18"/>
                <w:szCs w:val="20"/>
                <w:lang w:val="en-US"/>
              </w:rPr>
              <w:t>,796</w:t>
            </w:r>
          </w:p>
        </w:tc>
        <w:tc>
          <w:tcPr>
            <w:tcW w:w="1090" w:type="dxa"/>
            <w:shd w:val="clear" w:color="auto" w:fill="auto"/>
            <w:hideMark/>
          </w:tcPr>
          <w:p w:rsidR="001E5742" w:rsidRPr="00193884" w:rsidRDefault="001E5742" w:rsidP="00CC2370">
            <w:pPr>
              <w:jc w:val="center"/>
              <w:cnfStyle w:val="000000100000" w:firstRow="0" w:lastRow="0" w:firstColumn="0" w:lastColumn="0" w:oddVBand="0" w:evenVBand="0" w:oddHBand="1" w:evenHBand="0" w:firstRowFirstColumn="0" w:firstRowLastColumn="0" w:lastRowFirstColumn="0" w:lastRowLastColumn="0"/>
              <w:rPr>
                <w:sz w:val="18"/>
                <w:szCs w:val="20"/>
                <w:lang w:val="en-US"/>
              </w:rPr>
            </w:pPr>
            <w:r w:rsidRPr="00193884">
              <w:rPr>
                <w:sz w:val="18"/>
                <w:szCs w:val="20"/>
                <w:lang w:val="en-US"/>
              </w:rPr>
              <w:t>,547</w:t>
            </w:r>
          </w:p>
        </w:tc>
        <w:tc>
          <w:tcPr>
            <w:tcW w:w="856" w:type="dxa"/>
            <w:shd w:val="clear" w:color="auto" w:fill="auto"/>
            <w:hideMark/>
          </w:tcPr>
          <w:p w:rsidR="001E5742" w:rsidRPr="00193884" w:rsidRDefault="001E5742" w:rsidP="00CC2370">
            <w:pPr>
              <w:jc w:val="center"/>
              <w:cnfStyle w:val="000000100000" w:firstRow="0" w:lastRow="0" w:firstColumn="0" w:lastColumn="0" w:oddVBand="0" w:evenVBand="0" w:oddHBand="1" w:evenHBand="0" w:firstRowFirstColumn="0" w:firstRowLastColumn="0" w:lastRowFirstColumn="0" w:lastRowLastColumn="0"/>
              <w:rPr>
                <w:sz w:val="18"/>
                <w:szCs w:val="20"/>
                <w:lang w:val="en-US"/>
              </w:rPr>
            </w:pPr>
            <w:r w:rsidRPr="00193884">
              <w:rPr>
                <w:sz w:val="18"/>
                <w:szCs w:val="20"/>
                <w:lang w:val="en-US"/>
              </w:rPr>
              <w:t>1,828</w:t>
            </w:r>
          </w:p>
        </w:tc>
      </w:tr>
      <w:tr w:rsidR="001E5742" w:rsidRPr="00193884" w:rsidTr="001E5742">
        <w:trPr>
          <w:trHeight w:val="268"/>
        </w:trPr>
        <w:tc>
          <w:tcPr>
            <w:cnfStyle w:val="001000000000" w:firstRow="0" w:lastRow="0" w:firstColumn="1" w:lastColumn="0" w:oddVBand="0" w:evenVBand="0" w:oddHBand="0" w:evenHBand="0" w:firstRowFirstColumn="0" w:firstRowLastColumn="0" w:lastRowFirstColumn="0" w:lastRowLastColumn="0"/>
            <w:tcW w:w="2087" w:type="dxa"/>
            <w:shd w:val="clear" w:color="auto" w:fill="auto"/>
          </w:tcPr>
          <w:p w:rsidR="001E5742" w:rsidRPr="00193884" w:rsidRDefault="001E5742" w:rsidP="00CC2370">
            <w:pPr>
              <w:jc w:val="center"/>
              <w:rPr>
                <w:b w:val="0"/>
                <w:sz w:val="18"/>
                <w:szCs w:val="20"/>
                <w:lang w:val="en-US"/>
              </w:rPr>
            </w:pPr>
            <w:r w:rsidRPr="00193884">
              <w:rPr>
                <w:rFonts w:eastAsia="TimesNewRoman,Italic"/>
                <w:b w:val="0"/>
                <w:iCs/>
                <w:sz w:val="18"/>
                <w:szCs w:val="20"/>
                <w:lang w:val="en-US"/>
              </w:rPr>
              <w:t>FFRATE</w:t>
            </w:r>
          </w:p>
        </w:tc>
        <w:tc>
          <w:tcPr>
            <w:tcW w:w="815" w:type="dxa"/>
            <w:shd w:val="clear" w:color="auto" w:fill="auto"/>
            <w:hideMark/>
          </w:tcPr>
          <w:p w:rsidR="001E5742" w:rsidRPr="00193884" w:rsidRDefault="001E5742" w:rsidP="00CC2370">
            <w:pPr>
              <w:jc w:val="center"/>
              <w:cnfStyle w:val="000000000000" w:firstRow="0" w:lastRow="0" w:firstColumn="0" w:lastColumn="0" w:oddVBand="0" w:evenVBand="0" w:oddHBand="0" w:evenHBand="0" w:firstRowFirstColumn="0" w:firstRowLastColumn="0" w:lastRowFirstColumn="0" w:lastRowLastColumn="0"/>
              <w:rPr>
                <w:sz w:val="18"/>
                <w:szCs w:val="20"/>
                <w:lang w:val="en-US"/>
              </w:rPr>
            </w:pPr>
            <w:r w:rsidRPr="00193884">
              <w:rPr>
                <w:sz w:val="18"/>
                <w:szCs w:val="20"/>
                <w:lang w:val="en-US"/>
              </w:rPr>
              <w:t>,009</w:t>
            </w:r>
          </w:p>
        </w:tc>
        <w:tc>
          <w:tcPr>
            <w:tcW w:w="1069" w:type="dxa"/>
            <w:shd w:val="clear" w:color="auto" w:fill="auto"/>
            <w:hideMark/>
          </w:tcPr>
          <w:p w:rsidR="001E5742" w:rsidRPr="00193884" w:rsidRDefault="001E5742" w:rsidP="00CC2370">
            <w:pPr>
              <w:jc w:val="center"/>
              <w:cnfStyle w:val="000000000000" w:firstRow="0" w:lastRow="0" w:firstColumn="0" w:lastColumn="0" w:oddVBand="0" w:evenVBand="0" w:oddHBand="0" w:evenHBand="0" w:firstRowFirstColumn="0" w:firstRowLastColumn="0" w:lastRowFirstColumn="0" w:lastRowLastColumn="0"/>
              <w:rPr>
                <w:sz w:val="18"/>
                <w:szCs w:val="20"/>
                <w:lang w:val="en-US"/>
              </w:rPr>
            </w:pPr>
            <w:r w:rsidRPr="00193884">
              <w:rPr>
                <w:sz w:val="18"/>
                <w:szCs w:val="20"/>
                <w:lang w:val="en-US"/>
              </w:rPr>
              <w:t>,004</w:t>
            </w:r>
          </w:p>
        </w:tc>
        <w:tc>
          <w:tcPr>
            <w:tcW w:w="1625" w:type="dxa"/>
            <w:shd w:val="clear" w:color="auto" w:fill="auto"/>
            <w:hideMark/>
          </w:tcPr>
          <w:p w:rsidR="001E5742" w:rsidRPr="00193884" w:rsidRDefault="001E5742" w:rsidP="00CC2370">
            <w:pPr>
              <w:jc w:val="center"/>
              <w:cnfStyle w:val="000000000000" w:firstRow="0" w:lastRow="0" w:firstColumn="0" w:lastColumn="0" w:oddVBand="0" w:evenVBand="0" w:oddHBand="0" w:evenHBand="0" w:firstRowFirstColumn="0" w:firstRowLastColumn="0" w:lastRowFirstColumn="0" w:lastRowLastColumn="0"/>
              <w:rPr>
                <w:sz w:val="18"/>
                <w:szCs w:val="20"/>
                <w:lang w:val="en-US"/>
              </w:rPr>
            </w:pPr>
            <w:r w:rsidRPr="00193884">
              <w:rPr>
                <w:sz w:val="18"/>
                <w:szCs w:val="20"/>
                <w:lang w:val="en-US"/>
              </w:rPr>
              <w:t>,445</w:t>
            </w:r>
          </w:p>
        </w:tc>
        <w:tc>
          <w:tcPr>
            <w:tcW w:w="770" w:type="dxa"/>
            <w:shd w:val="clear" w:color="auto" w:fill="auto"/>
            <w:hideMark/>
          </w:tcPr>
          <w:p w:rsidR="001E5742" w:rsidRPr="00193884" w:rsidRDefault="001E5742" w:rsidP="00CC2370">
            <w:pPr>
              <w:jc w:val="center"/>
              <w:cnfStyle w:val="000000000000" w:firstRow="0" w:lastRow="0" w:firstColumn="0" w:lastColumn="0" w:oddVBand="0" w:evenVBand="0" w:oddHBand="0" w:evenHBand="0" w:firstRowFirstColumn="0" w:firstRowLastColumn="0" w:lastRowFirstColumn="0" w:lastRowLastColumn="0"/>
              <w:rPr>
                <w:sz w:val="18"/>
                <w:szCs w:val="20"/>
                <w:lang w:val="en-US"/>
              </w:rPr>
            </w:pPr>
            <w:r w:rsidRPr="00193884">
              <w:rPr>
                <w:sz w:val="18"/>
                <w:szCs w:val="20"/>
                <w:lang w:val="en-US"/>
              </w:rPr>
              <w:t>2,232</w:t>
            </w:r>
          </w:p>
        </w:tc>
        <w:tc>
          <w:tcPr>
            <w:tcW w:w="976" w:type="dxa"/>
            <w:shd w:val="clear" w:color="auto" w:fill="auto"/>
            <w:hideMark/>
          </w:tcPr>
          <w:p w:rsidR="001E5742" w:rsidRPr="00193884" w:rsidRDefault="001E5742" w:rsidP="00CC2370">
            <w:pPr>
              <w:jc w:val="center"/>
              <w:cnfStyle w:val="000000000000" w:firstRow="0" w:lastRow="0" w:firstColumn="0" w:lastColumn="0" w:oddVBand="0" w:evenVBand="0" w:oddHBand="0" w:evenHBand="0" w:firstRowFirstColumn="0" w:firstRowLastColumn="0" w:lastRowFirstColumn="0" w:lastRowLastColumn="0"/>
              <w:rPr>
                <w:sz w:val="18"/>
                <w:szCs w:val="20"/>
                <w:lang w:val="en-US"/>
              </w:rPr>
            </w:pPr>
            <w:r w:rsidRPr="00193884">
              <w:rPr>
                <w:sz w:val="18"/>
                <w:szCs w:val="20"/>
                <w:lang w:val="en-US"/>
              </w:rPr>
              <w:t>,027</w:t>
            </w:r>
          </w:p>
        </w:tc>
        <w:tc>
          <w:tcPr>
            <w:tcW w:w="1090" w:type="dxa"/>
            <w:shd w:val="clear" w:color="auto" w:fill="auto"/>
            <w:hideMark/>
          </w:tcPr>
          <w:p w:rsidR="001E5742" w:rsidRPr="00193884" w:rsidRDefault="001E5742" w:rsidP="00CC2370">
            <w:pPr>
              <w:jc w:val="center"/>
              <w:cnfStyle w:val="000000000000" w:firstRow="0" w:lastRow="0" w:firstColumn="0" w:lastColumn="0" w:oddVBand="0" w:evenVBand="0" w:oddHBand="0" w:evenHBand="0" w:firstRowFirstColumn="0" w:firstRowLastColumn="0" w:lastRowFirstColumn="0" w:lastRowLastColumn="0"/>
              <w:rPr>
                <w:sz w:val="18"/>
                <w:szCs w:val="20"/>
                <w:lang w:val="en-US"/>
              </w:rPr>
            </w:pPr>
            <w:r w:rsidRPr="00193884">
              <w:rPr>
                <w:sz w:val="18"/>
                <w:szCs w:val="20"/>
                <w:lang w:val="en-US"/>
              </w:rPr>
              <w:t>,108</w:t>
            </w:r>
          </w:p>
        </w:tc>
        <w:tc>
          <w:tcPr>
            <w:tcW w:w="856" w:type="dxa"/>
            <w:shd w:val="clear" w:color="auto" w:fill="auto"/>
            <w:hideMark/>
          </w:tcPr>
          <w:p w:rsidR="001E5742" w:rsidRPr="00193884" w:rsidRDefault="001E5742" w:rsidP="00CC2370">
            <w:pPr>
              <w:jc w:val="center"/>
              <w:cnfStyle w:val="000000000000" w:firstRow="0" w:lastRow="0" w:firstColumn="0" w:lastColumn="0" w:oddVBand="0" w:evenVBand="0" w:oddHBand="0" w:evenHBand="0" w:firstRowFirstColumn="0" w:firstRowLastColumn="0" w:lastRowFirstColumn="0" w:lastRowLastColumn="0"/>
              <w:rPr>
                <w:sz w:val="18"/>
                <w:szCs w:val="20"/>
                <w:lang w:val="en-US"/>
              </w:rPr>
            </w:pPr>
            <w:r w:rsidRPr="00193884">
              <w:rPr>
                <w:sz w:val="18"/>
                <w:szCs w:val="20"/>
                <w:lang w:val="en-US"/>
              </w:rPr>
              <w:t>9,233</w:t>
            </w:r>
          </w:p>
        </w:tc>
      </w:tr>
      <w:tr w:rsidR="001E5742" w:rsidRPr="00193884" w:rsidTr="001E5742">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087" w:type="dxa"/>
            <w:shd w:val="clear" w:color="auto" w:fill="auto"/>
          </w:tcPr>
          <w:p w:rsidR="001E5742" w:rsidRPr="00193884" w:rsidRDefault="001E5742" w:rsidP="00CC2370">
            <w:pPr>
              <w:jc w:val="center"/>
              <w:rPr>
                <w:b w:val="0"/>
                <w:sz w:val="18"/>
                <w:szCs w:val="20"/>
                <w:lang w:val="en-US"/>
              </w:rPr>
            </w:pPr>
            <w:r w:rsidRPr="00193884">
              <w:rPr>
                <w:rFonts w:eastAsia="TimesNewRomanPSMT"/>
                <w:b w:val="0"/>
                <w:sz w:val="18"/>
                <w:szCs w:val="20"/>
                <w:lang w:val="en-US"/>
              </w:rPr>
              <w:t>DUALITY</w:t>
            </w:r>
          </w:p>
        </w:tc>
        <w:tc>
          <w:tcPr>
            <w:tcW w:w="815" w:type="dxa"/>
            <w:shd w:val="clear" w:color="auto" w:fill="auto"/>
            <w:hideMark/>
          </w:tcPr>
          <w:p w:rsidR="001E5742" w:rsidRPr="00193884" w:rsidRDefault="001E5742" w:rsidP="00CC2370">
            <w:pPr>
              <w:jc w:val="center"/>
              <w:cnfStyle w:val="000000100000" w:firstRow="0" w:lastRow="0" w:firstColumn="0" w:lastColumn="0" w:oddVBand="0" w:evenVBand="0" w:oddHBand="1" w:evenHBand="0" w:firstRowFirstColumn="0" w:firstRowLastColumn="0" w:lastRowFirstColumn="0" w:lastRowLastColumn="0"/>
              <w:rPr>
                <w:sz w:val="18"/>
                <w:szCs w:val="20"/>
                <w:lang w:val="en-US"/>
              </w:rPr>
            </w:pPr>
            <w:r w:rsidRPr="00193884">
              <w:rPr>
                <w:sz w:val="18"/>
                <w:szCs w:val="20"/>
                <w:lang w:val="en-US"/>
              </w:rPr>
              <w:t>,209</w:t>
            </w:r>
          </w:p>
        </w:tc>
        <w:tc>
          <w:tcPr>
            <w:tcW w:w="1069" w:type="dxa"/>
            <w:shd w:val="clear" w:color="auto" w:fill="auto"/>
            <w:hideMark/>
          </w:tcPr>
          <w:p w:rsidR="001E5742" w:rsidRPr="00193884" w:rsidRDefault="001E5742" w:rsidP="00CC2370">
            <w:pPr>
              <w:jc w:val="center"/>
              <w:cnfStyle w:val="000000100000" w:firstRow="0" w:lastRow="0" w:firstColumn="0" w:lastColumn="0" w:oddVBand="0" w:evenVBand="0" w:oddHBand="1" w:evenHBand="0" w:firstRowFirstColumn="0" w:firstRowLastColumn="0" w:lastRowFirstColumn="0" w:lastRowLastColumn="0"/>
              <w:rPr>
                <w:sz w:val="18"/>
                <w:szCs w:val="20"/>
                <w:lang w:val="en-US"/>
              </w:rPr>
            </w:pPr>
            <w:r w:rsidRPr="00193884">
              <w:rPr>
                <w:sz w:val="18"/>
                <w:szCs w:val="20"/>
                <w:lang w:val="en-US"/>
              </w:rPr>
              <w:t>,055</w:t>
            </w:r>
          </w:p>
        </w:tc>
        <w:tc>
          <w:tcPr>
            <w:tcW w:w="1625" w:type="dxa"/>
            <w:shd w:val="clear" w:color="auto" w:fill="auto"/>
            <w:hideMark/>
          </w:tcPr>
          <w:p w:rsidR="001E5742" w:rsidRPr="00193884" w:rsidRDefault="001E5742" w:rsidP="00CC2370">
            <w:pPr>
              <w:jc w:val="center"/>
              <w:cnfStyle w:val="000000100000" w:firstRow="0" w:lastRow="0" w:firstColumn="0" w:lastColumn="0" w:oddVBand="0" w:evenVBand="0" w:oddHBand="1" w:evenHBand="0" w:firstRowFirstColumn="0" w:firstRowLastColumn="0" w:lastRowFirstColumn="0" w:lastRowLastColumn="0"/>
              <w:rPr>
                <w:sz w:val="18"/>
                <w:szCs w:val="20"/>
                <w:lang w:val="en-US"/>
              </w:rPr>
            </w:pPr>
            <w:r w:rsidRPr="00193884">
              <w:rPr>
                <w:sz w:val="18"/>
                <w:szCs w:val="20"/>
                <w:lang w:val="en-US"/>
              </w:rPr>
              <w:t>,315</w:t>
            </w:r>
          </w:p>
        </w:tc>
        <w:tc>
          <w:tcPr>
            <w:tcW w:w="770" w:type="dxa"/>
            <w:shd w:val="clear" w:color="auto" w:fill="auto"/>
            <w:hideMark/>
          </w:tcPr>
          <w:p w:rsidR="001E5742" w:rsidRPr="00193884" w:rsidRDefault="001E5742" w:rsidP="00CC2370">
            <w:pPr>
              <w:jc w:val="center"/>
              <w:cnfStyle w:val="000000100000" w:firstRow="0" w:lastRow="0" w:firstColumn="0" w:lastColumn="0" w:oddVBand="0" w:evenVBand="0" w:oddHBand="1" w:evenHBand="0" w:firstRowFirstColumn="0" w:firstRowLastColumn="0" w:lastRowFirstColumn="0" w:lastRowLastColumn="0"/>
              <w:rPr>
                <w:sz w:val="18"/>
                <w:szCs w:val="20"/>
                <w:lang w:val="en-US"/>
              </w:rPr>
            </w:pPr>
            <w:r w:rsidRPr="00193884">
              <w:rPr>
                <w:sz w:val="18"/>
                <w:szCs w:val="20"/>
                <w:lang w:val="en-US"/>
              </w:rPr>
              <w:t>3,821</w:t>
            </w:r>
          </w:p>
        </w:tc>
        <w:tc>
          <w:tcPr>
            <w:tcW w:w="976" w:type="dxa"/>
            <w:shd w:val="clear" w:color="auto" w:fill="auto"/>
            <w:hideMark/>
          </w:tcPr>
          <w:p w:rsidR="001E5742" w:rsidRPr="00193884" w:rsidRDefault="001E5742" w:rsidP="00CC2370">
            <w:pPr>
              <w:jc w:val="center"/>
              <w:cnfStyle w:val="000000100000" w:firstRow="0" w:lastRow="0" w:firstColumn="0" w:lastColumn="0" w:oddVBand="0" w:evenVBand="0" w:oddHBand="1" w:evenHBand="0" w:firstRowFirstColumn="0" w:firstRowLastColumn="0" w:lastRowFirstColumn="0" w:lastRowLastColumn="0"/>
              <w:rPr>
                <w:sz w:val="18"/>
                <w:szCs w:val="20"/>
                <w:lang w:val="en-US"/>
              </w:rPr>
            </w:pPr>
            <w:r w:rsidRPr="00193884">
              <w:rPr>
                <w:sz w:val="18"/>
                <w:szCs w:val="20"/>
                <w:lang w:val="en-US"/>
              </w:rPr>
              <w:t>,000</w:t>
            </w:r>
          </w:p>
        </w:tc>
        <w:tc>
          <w:tcPr>
            <w:tcW w:w="1090" w:type="dxa"/>
            <w:shd w:val="clear" w:color="auto" w:fill="auto"/>
            <w:hideMark/>
          </w:tcPr>
          <w:p w:rsidR="001E5742" w:rsidRPr="00193884" w:rsidRDefault="001E5742" w:rsidP="00CC2370">
            <w:pPr>
              <w:jc w:val="center"/>
              <w:cnfStyle w:val="000000100000" w:firstRow="0" w:lastRow="0" w:firstColumn="0" w:lastColumn="0" w:oddVBand="0" w:evenVBand="0" w:oddHBand="1" w:evenHBand="0" w:firstRowFirstColumn="0" w:firstRowLastColumn="0" w:lastRowFirstColumn="0" w:lastRowLastColumn="0"/>
              <w:rPr>
                <w:sz w:val="18"/>
                <w:szCs w:val="20"/>
                <w:lang w:val="en-US"/>
              </w:rPr>
            </w:pPr>
            <w:r w:rsidRPr="00193884">
              <w:rPr>
                <w:sz w:val="18"/>
                <w:szCs w:val="20"/>
                <w:lang w:val="en-US"/>
              </w:rPr>
              <w:t>,634</w:t>
            </w:r>
          </w:p>
        </w:tc>
        <w:tc>
          <w:tcPr>
            <w:tcW w:w="856" w:type="dxa"/>
            <w:shd w:val="clear" w:color="auto" w:fill="auto"/>
            <w:hideMark/>
          </w:tcPr>
          <w:p w:rsidR="001E5742" w:rsidRPr="00193884" w:rsidRDefault="001E5742" w:rsidP="00CC2370">
            <w:pPr>
              <w:jc w:val="center"/>
              <w:cnfStyle w:val="000000100000" w:firstRow="0" w:lastRow="0" w:firstColumn="0" w:lastColumn="0" w:oddVBand="0" w:evenVBand="0" w:oddHBand="1" w:evenHBand="0" w:firstRowFirstColumn="0" w:firstRowLastColumn="0" w:lastRowFirstColumn="0" w:lastRowLastColumn="0"/>
              <w:rPr>
                <w:sz w:val="18"/>
                <w:szCs w:val="20"/>
                <w:lang w:val="en-US"/>
              </w:rPr>
            </w:pPr>
            <w:r w:rsidRPr="00193884">
              <w:rPr>
                <w:sz w:val="18"/>
                <w:szCs w:val="20"/>
                <w:lang w:val="en-US"/>
              </w:rPr>
              <w:t>1,578</w:t>
            </w:r>
          </w:p>
        </w:tc>
      </w:tr>
      <w:tr w:rsidR="001E5742" w:rsidRPr="00193884" w:rsidTr="001E5742">
        <w:trPr>
          <w:trHeight w:val="268"/>
        </w:trPr>
        <w:tc>
          <w:tcPr>
            <w:cnfStyle w:val="001000000000" w:firstRow="0" w:lastRow="0" w:firstColumn="1" w:lastColumn="0" w:oddVBand="0" w:evenVBand="0" w:oddHBand="0" w:evenHBand="0" w:firstRowFirstColumn="0" w:firstRowLastColumn="0" w:lastRowFirstColumn="0" w:lastRowLastColumn="0"/>
            <w:tcW w:w="2087" w:type="dxa"/>
            <w:shd w:val="clear" w:color="auto" w:fill="auto"/>
          </w:tcPr>
          <w:p w:rsidR="001E5742" w:rsidRPr="00193884" w:rsidRDefault="001E5742" w:rsidP="00CC2370">
            <w:pPr>
              <w:jc w:val="center"/>
              <w:rPr>
                <w:b w:val="0"/>
                <w:bCs w:val="0"/>
                <w:sz w:val="18"/>
                <w:szCs w:val="20"/>
                <w:lang w:val="en-US"/>
              </w:rPr>
            </w:pPr>
            <w:r w:rsidRPr="00193884">
              <w:rPr>
                <w:rFonts w:eastAsia="TimesNewRomanPSMT"/>
                <w:b w:val="0"/>
                <w:sz w:val="18"/>
                <w:szCs w:val="20"/>
                <w:lang w:val="en-US"/>
              </w:rPr>
              <w:t>BLOCKHOLDERS</w:t>
            </w:r>
          </w:p>
        </w:tc>
        <w:tc>
          <w:tcPr>
            <w:tcW w:w="815" w:type="dxa"/>
            <w:shd w:val="clear" w:color="auto" w:fill="auto"/>
            <w:hideMark/>
          </w:tcPr>
          <w:p w:rsidR="001E5742" w:rsidRPr="00193884" w:rsidRDefault="001E5742" w:rsidP="00CC2370">
            <w:pPr>
              <w:jc w:val="center"/>
              <w:cnfStyle w:val="000000000000" w:firstRow="0" w:lastRow="0" w:firstColumn="0" w:lastColumn="0" w:oddVBand="0" w:evenVBand="0" w:oddHBand="0" w:evenHBand="0" w:firstRowFirstColumn="0" w:firstRowLastColumn="0" w:lastRowFirstColumn="0" w:lastRowLastColumn="0"/>
              <w:rPr>
                <w:sz w:val="18"/>
                <w:szCs w:val="20"/>
                <w:lang w:val="en-US"/>
              </w:rPr>
            </w:pPr>
            <w:r w:rsidRPr="00193884">
              <w:rPr>
                <w:sz w:val="18"/>
                <w:szCs w:val="20"/>
                <w:lang w:val="en-US"/>
              </w:rPr>
              <w:t>,004</w:t>
            </w:r>
          </w:p>
        </w:tc>
        <w:tc>
          <w:tcPr>
            <w:tcW w:w="1069" w:type="dxa"/>
            <w:shd w:val="clear" w:color="auto" w:fill="auto"/>
            <w:hideMark/>
          </w:tcPr>
          <w:p w:rsidR="001E5742" w:rsidRPr="00193884" w:rsidRDefault="001E5742" w:rsidP="00CC2370">
            <w:pPr>
              <w:jc w:val="center"/>
              <w:cnfStyle w:val="000000000000" w:firstRow="0" w:lastRow="0" w:firstColumn="0" w:lastColumn="0" w:oddVBand="0" w:evenVBand="0" w:oddHBand="0" w:evenHBand="0" w:firstRowFirstColumn="0" w:firstRowLastColumn="0" w:lastRowFirstColumn="0" w:lastRowLastColumn="0"/>
              <w:rPr>
                <w:sz w:val="18"/>
                <w:szCs w:val="20"/>
                <w:lang w:val="en-US"/>
              </w:rPr>
            </w:pPr>
            <w:r w:rsidRPr="00193884">
              <w:rPr>
                <w:sz w:val="18"/>
                <w:szCs w:val="20"/>
                <w:lang w:val="en-US"/>
              </w:rPr>
              <w:t>,003</w:t>
            </w:r>
          </w:p>
        </w:tc>
        <w:tc>
          <w:tcPr>
            <w:tcW w:w="1625" w:type="dxa"/>
            <w:shd w:val="clear" w:color="auto" w:fill="auto"/>
            <w:hideMark/>
          </w:tcPr>
          <w:p w:rsidR="001E5742" w:rsidRPr="00193884" w:rsidRDefault="001E5742" w:rsidP="00CC2370">
            <w:pPr>
              <w:jc w:val="center"/>
              <w:cnfStyle w:val="000000000000" w:firstRow="0" w:lastRow="0" w:firstColumn="0" w:lastColumn="0" w:oddVBand="0" w:evenVBand="0" w:oddHBand="0" w:evenHBand="0" w:firstRowFirstColumn="0" w:firstRowLastColumn="0" w:lastRowFirstColumn="0" w:lastRowLastColumn="0"/>
              <w:rPr>
                <w:sz w:val="18"/>
                <w:szCs w:val="20"/>
                <w:lang w:val="en-US"/>
              </w:rPr>
            </w:pPr>
            <w:r w:rsidRPr="00193884">
              <w:rPr>
                <w:sz w:val="18"/>
                <w:szCs w:val="20"/>
                <w:lang w:val="en-US"/>
              </w:rPr>
              <w:t>,247</w:t>
            </w:r>
          </w:p>
        </w:tc>
        <w:tc>
          <w:tcPr>
            <w:tcW w:w="770" w:type="dxa"/>
            <w:shd w:val="clear" w:color="auto" w:fill="auto"/>
            <w:hideMark/>
          </w:tcPr>
          <w:p w:rsidR="001E5742" w:rsidRPr="00193884" w:rsidRDefault="001E5742" w:rsidP="00CC2370">
            <w:pPr>
              <w:jc w:val="center"/>
              <w:cnfStyle w:val="000000000000" w:firstRow="0" w:lastRow="0" w:firstColumn="0" w:lastColumn="0" w:oddVBand="0" w:evenVBand="0" w:oddHBand="0" w:evenHBand="0" w:firstRowFirstColumn="0" w:firstRowLastColumn="0" w:lastRowFirstColumn="0" w:lastRowLastColumn="0"/>
              <w:rPr>
                <w:sz w:val="18"/>
                <w:szCs w:val="20"/>
                <w:lang w:val="en-US"/>
              </w:rPr>
            </w:pPr>
            <w:r w:rsidRPr="00193884">
              <w:rPr>
                <w:sz w:val="18"/>
                <w:szCs w:val="20"/>
                <w:lang w:val="en-US"/>
              </w:rPr>
              <w:t>1,316</w:t>
            </w:r>
          </w:p>
        </w:tc>
        <w:tc>
          <w:tcPr>
            <w:tcW w:w="976" w:type="dxa"/>
            <w:shd w:val="clear" w:color="auto" w:fill="auto"/>
            <w:hideMark/>
          </w:tcPr>
          <w:p w:rsidR="001E5742" w:rsidRPr="00193884" w:rsidRDefault="001E5742" w:rsidP="00CC2370">
            <w:pPr>
              <w:jc w:val="center"/>
              <w:cnfStyle w:val="000000000000" w:firstRow="0" w:lastRow="0" w:firstColumn="0" w:lastColumn="0" w:oddVBand="0" w:evenVBand="0" w:oddHBand="0" w:evenHBand="0" w:firstRowFirstColumn="0" w:firstRowLastColumn="0" w:lastRowFirstColumn="0" w:lastRowLastColumn="0"/>
              <w:rPr>
                <w:sz w:val="18"/>
                <w:szCs w:val="20"/>
                <w:lang w:val="en-US"/>
              </w:rPr>
            </w:pPr>
            <w:r w:rsidRPr="00193884">
              <w:rPr>
                <w:sz w:val="18"/>
                <w:szCs w:val="20"/>
                <w:lang w:val="en-US"/>
              </w:rPr>
              <w:t>,190</w:t>
            </w:r>
          </w:p>
        </w:tc>
        <w:tc>
          <w:tcPr>
            <w:tcW w:w="1090" w:type="dxa"/>
            <w:shd w:val="clear" w:color="auto" w:fill="auto"/>
            <w:hideMark/>
          </w:tcPr>
          <w:p w:rsidR="001E5742" w:rsidRPr="00193884" w:rsidRDefault="001E5742" w:rsidP="00CC2370">
            <w:pPr>
              <w:jc w:val="center"/>
              <w:cnfStyle w:val="000000000000" w:firstRow="0" w:lastRow="0" w:firstColumn="0" w:lastColumn="0" w:oddVBand="0" w:evenVBand="0" w:oddHBand="0" w:evenHBand="0" w:firstRowFirstColumn="0" w:firstRowLastColumn="0" w:lastRowFirstColumn="0" w:lastRowLastColumn="0"/>
              <w:rPr>
                <w:sz w:val="18"/>
                <w:szCs w:val="20"/>
                <w:lang w:val="en-US"/>
              </w:rPr>
            </w:pPr>
            <w:r w:rsidRPr="00193884">
              <w:rPr>
                <w:sz w:val="18"/>
                <w:szCs w:val="20"/>
                <w:lang w:val="en-US"/>
              </w:rPr>
              <w:t>,122</w:t>
            </w:r>
          </w:p>
        </w:tc>
        <w:tc>
          <w:tcPr>
            <w:tcW w:w="856" w:type="dxa"/>
            <w:shd w:val="clear" w:color="auto" w:fill="auto"/>
            <w:hideMark/>
          </w:tcPr>
          <w:p w:rsidR="001E5742" w:rsidRPr="00193884" w:rsidRDefault="001E5742" w:rsidP="00CC2370">
            <w:pPr>
              <w:jc w:val="center"/>
              <w:cnfStyle w:val="000000000000" w:firstRow="0" w:lastRow="0" w:firstColumn="0" w:lastColumn="0" w:oddVBand="0" w:evenVBand="0" w:oddHBand="0" w:evenHBand="0" w:firstRowFirstColumn="0" w:firstRowLastColumn="0" w:lastRowFirstColumn="0" w:lastRowLastColumn="0"/>
              <w:rPr>
                <w:sz w:val="18"/>
                <w:szCs w:val="20"/>
                <w:lang w:val="en-US"/>
              </w:rPr>
            </w:pPr>
            <w:r w:rsidRPr="00193884">
              <w:rPr>
                <w:sz w:val="18"/>
                <w:szCs w:val="20"/>
                <w:lang w:val="en-US"/>
              </w:rPr>
              <w:t>8,219</w:t>
            </w:r>
          </w:p>
        </w:tc>
      </w:tr>
      <w:tr w:rsidR="001E5742" w:rsidRPr="00193884" w:rsidTr="001E57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87" w:type="dxa"/>
            <w:shd w:val="clear" w:color="auto" w:fill="auto"/>
          </w:tcPr>
          <w:p w:rsidR="001E5742" w:rsidRPr="00193884" w:rsidRDefault="001E5742" w:rsidP="00CC2370">
            <w:pPr>
              <w:jc w:val="center"/>
              <w:rPr>
                <w:b w:val="0"/>
                <w:sz w:val="18"/>
                <w:szCs w:val="20"/>
                <w:lang w:val="en-US"/>
              </w:rPr>
            </w:pPr>
            <w:r w:rsidRPr="00193884">
              <w:rPr>
                <w:b w:val="0"/>
                <w:bCs w:val="0"/>
                <w:sz w:val="18"/>
                <w:szCs w:val="20"/>
                <w:lang w:val="en-US"/>
              </w:rPr>
              <w:t>OWNERSHIP</w:t>
            </w:r>
          </w:p>
        </w:tc>
        <w:tc>
          <w:tcPr>
            <w:tcW w:w="815" w:type="dxa"/>
            <w:shd w:val="clear" w:color="auto" w:fill="auto"/>
          </w:tcPr>
          <w:p w:rsidR="001E5742" w:rsidRPr="00193884" w:rsidRDefault="001E5742" w:rsidP="00CC2370">
            <w:pPr>
              <w:jc w:val="center"/>
              <w:cnfStyle w:val="000000100000" w:firstRow="0" w:lastRow="0" w:firstColumn="0" w:lastColumn="0" w:oddVBand="0" w:evenVBand="0" w:oddHBand="1" w:evenHBand="0" w:firstRowFirstColumn="0" w:firstRowLastColumn="0" w:lastRowFirstColumn="0" w:lastRowLastColumn="0"/>
              <w:rPr>
                <w:sz w:val="18"/>
                <w:szCs w:val="20"/>
                <w:lang w:val="en-US"/>
              </w:rPr>
            </w:pPr>
            <w:r w:rsidRPr="00193884">
              <w:rPr>
                <w:sz w:val="18"/>
                <w:szCs w:val="20"/>
                <w:lang w:val="en-US"/>
              </w:rPr>
              <w:t>,037</w:t>
            </w:r>
          </w:p>
        </w:tc>
        <w:tc>
          <w:tcPr>
            <w:tcW w:w="1069" w:type="dxa"/>
            <w:shd w:val="clear" w:color="auto" w:fill="auto"/>
          </w:tcPr>
          <w:p w:rsidR="001E5742" w:rsidRPr="00193884" w:rsidRDefault="001E5742" w:rsidP="00CC2370">
            <w:pPr>
              <w:jc w:val="center"/>
              <w:cnfStyle w:val="000000100000" w:firstRow="0" w:lastRow="0" w:firstColumn="0" w:lastColumn="0" w:oddVBand="0" w:evenVBand="0" w:oddHBand="1" w:evenHBand="0" w:firstRowFirstColumn="0" w:firstRowLastColumn="0" w:lastRowFirstColumn="0" w:lastRowLastColumn="0"/>
              <w:rPr>
                <w:sz w:val="18"/>
                <w:szCs w:val="20"/>
                <w:lang w:val="en-US"/>
              </w:rPr>
            </w:pPr>
            <w:r w:rsidRPr="00193884">
              <w:rPr>
                <w:sz w:val="18"/>
                <w:szCs w:val="20"/>
                <w:lang w:val="en-US"/>
              </w:rPr>
              <w:t>,032</w:t>
            </w:r>
          </w:p>
        </w:tc>
        <w:tc>
          <w:tcPr>
            <w:tcW w:w="1625" w:type="dxa"/>
            <w:shd w:val="clear" w:color="auto" w:fill="auto"/>
          </w:tcPr>
          <w:p w:rsidR="001E5742" w:rsidRPr="00193884" w:rsidRDefault="001E5742" w:rsidP="00CC2370">
            <w:pPr>
              <w:jc w:val="center"/>
              <w:cnfStyle w:val="000000100000" w:firstRow="0" w:lastRow="0" w:firstColumn="0" w:lastColumn="0" w:oddVBand="0" w:evenVBand="0" w:oddHBand="1" w:evenHBand="0" w:firstRowFirstColumn="0" w:firstRowLastColumn="0" w:lastRowFirstColumn="0" w:lastRowLastColumn="0"/>
              <w:rPr>
                <w:sz w:val="18"/>
                <w:szCs w:val="20"/>
                <w:lang w:val="en-US"/>
              </w:rPr>
            </w:pPr>
            <w:r w:rsidRPr="00193884">
              <w:rPr>
                <w:sz w:val="18"/>
                <w:szCs w:val="20"/>
                <w:lang w:val="en-US"/>
              </w:rPr>
              <w:t>,140</w:t>
            </w:r>
          </w:p>
        </w:tc>
        <w:tc>
          <w:tcPr>
            <w:tcW w:w="770" w:type="dxa"/>
            <w:shd w:val="clear" w:color="auto" w:fill="auto"/>
          </w:tcPr>
          <w:p w:rsidR="001E5742" w:rsidRPr="00193884" w:rsidRDefault="001E5742" w:rsidP="00CC2370">
            <w:pPr>
              <w:jc w:val="center"/>
              <w:cnfStyle w:val="000000100000" w:firstRow="0" w:lastRow="0" w:firstColumn="0" w:lastColumn="0" w:oddVBand="0" w:evenVBand="0" w:oddHBand="1" w:evenHBand="0" w:firstRowFirstColumn="0" w:firstRowLastColumn="0" w:lastRowFirstColumn="0" w:lastRowLastColumn="0"/>
              <w:rPr>
                <w:sz w:val="18"/>
                <w:szCs w:val="20"/>
                <w:lang w:val="en-US"/>
              </w:rPr>
            </w:pPr>
            <w:r w:rsidRPr="00193884">
              <w:rPr>
                <w:sz w:val="18"/>
                <w:szCs w:val="20"/>
                <w:lang w:val="en-US"/>
              </w:rPr>
              <w:t>1,169</w:t>
            </w:r>
          </w:p>
        </w:tc>
        <w:tc>
          <w:tcPr>
            <w:tcW w:w="976" w:type="dxa"/>
            <w:shd w:val="clear" w:color="auto" w:fill="auto"/>
          </w:tcPr>
          <w:p w:rsidR="001E5742" w:rsidRPr="00193884" w:rsidRDefault="001E5742" w:rsidP="00CC2370">
            <w:pPr>
              <w:jc w:val="center"/>
              <w:cnfStyle w:val="000000100000" w:firstRow="0" w:lastRow="0" w:firstColumn="0" w:lastColumn="0" w:oddVBand="0" w:evenVBand="0" w:oddHBand="1" w:evenHBand="0" w:firstRowFirstColumn="0" w:firstRowLastColumn="0" w:lastRowFirstColumn="0" w:lastRowLastColumn="0"/>
              <w:rPr>
                <w:sz w:val="18"/>
                <w:szCs w:val="20"/>
                <w:lang w:val="en-US"/>
              </w:rPr>
            </w:pPr>
            <w:r w:rsidRPr="00193884">
              <w:rPr>
                <w:sz w:val="18"/>
                <w:szCs w:val="20"/>
                <w:lang w:val="en-US"/>
              </w:rPr>
              <w:t>,244</w:t>
            </w:r>
          </w:p>
        </w:tc>
        <w:tc>
          <w:tcPr>
            <w:tcW w:w="1090" w:type="dxa"/>
            <w:shd w:val="clear" w:color="auto" w:fill="auto"/>
          </w:tcPr>
          <w:p w:rsidR="001E5742" w:rsidRPr="00193884" w:rsidRDefault="001E5742" w:rsidP="00CC2370">
            <w:pPr>
              <w:jc w:val="center"/>
              <w:cnfStyle w:val="000000100000" w:firstRow="0" w:lastRow="0" w:firstColumn="0" w:lastColumn="0" w:oddVBand="0" w:evenVBand="0" w:oddHBand="1" w:evenHBand="0" w:firstRowFirstColumn="0" w:firstRowLastColumn="0" w:lastRowFirstColumn="0" w:lastRowLastColumn="0"/>
              <w:rPr>
                <w:sz w:val="18"/>
                <w:szCs w:val="20"/>
                <w:lang w:val="en-US"/>
              </w:rPr>
            </w:pPr>
            <w:r w:rsidRPr="00193884">
              <w:rPr>
                <w:sz w:val="18"/>
                <w:szCs w:val="20"/>
                <w:lang w:val="en-US"/>
              </w:rPr>
              <w:t>,299</w:t>
            </w:r>
          </w:p>
        </w:tc>
        <w:tc>
          <w:tcPr>
            <w:tcW w:w="856" w:type="dxa"/>
            <w:shd w:val="clear" w:color="auto" w:fill="auto"/>
          </w:tcPr>
          <w:p w:rsidR="001E5742" w:rsidRPr="00193884" w:rsidRDefault="001E5742" w:rsidP="00CC2370">
            <w:pPr>
              <w:jc w:val="center"/>
              <w:cnfStyle w:val="000000100000" w:firstRow="0" w:lastRow="0" w:firstColumn="0" w:lastColumn="0" w:oddVBand="0" w:evenVBand="0" w:oddHBand="1" w:evenHBand="0" w:firstRowFirstColumn="0" w:firstRowLastColumn="0" w:lastRowFirstColumn="0" w:lastRowLastColumn="0"/>
              <w:rPr>
                <w:sz w:val="18"/>
                <w:szCs w:val="20"/>
                <w:lang w:val="en-US"/>
              </w:rPr>
            </w:pPr>
            <w:r w:rsidRPr="00193884">
              <w:rPr>
                <w:sz w:val="18"/>
                <w:szCs w:val="20"/>
                <w:lang w:val="en-US"/>
              </w:rPr>
              <w:t>3,342</w:t>
            </w:r>
          </w:p>
        </w:tc>
      </w:tr>
      <w:tr w:rsidR="001E5742" w:rsidRPr="00193884" w:rsidTr="001E5742">
        <w:trPr>
          <w:trHeight w:val="268"/>
        </w:trPr>
        <w:tc>
          <w:tcPr>
            <w:cnfStyle w:val="001000000000" w:firstRow="0" w:lastRow="0" w:firstColumn="1" w:lastColumn="0" w:oddVBand="0" w:evenVBand="0" w:oddHBand="0" w:evenHBand="0" w:firstRowFirstColumn="0" w:firstRowLastColumn="0" w:lastRowFirstColumn="0" w:lastRowLastColumn="0"/>
            <w:tcW w:w="2087" w:type="dxa"/>
            <w:shd w:val="clear" w:color="auto" w:fill="auto"/>
          </w:tcPr>
          <w:p w:rsidR="001E5742" w:rsidRPr="00193884" w:rsidRDefault="001E5742" w:rsidP="00CC2370">
            <w:pPr>
              <w:jc w:val="center"/>
              <w:rPr>
                <w:b w:val="0"/>
                <w:sz w:val="18"/>
                <w:szCs w:val="20"/>
                <w:lang w:val="en-US"/>
              </w:rPr>
            </w:pPr>
            <w:r w:rsidRPr="00193884">
              <w:rPr>
                <w:b w:val="0"/>
                <w:sz w:val="18"/>
                <w:szCs w:val="20"/>
                <w:lang w:val="en-US"/>
              </w:rPr>
              <w:t>SIZE</w:t>
            </w:r>
          </w:p>
        </w:tc>
        <w:tc>
          <w:tcPr>
            <w:tcW w:w="815" w:type="dxa"/>
            <w:shd w:val="clear" w:color="auto" w:fill="auto"/>
          </w:tcPr>
          <w:p w:rsidR="001E5742" w:rsidRPr="00193884" w:rsidRDefault="001E5742" w:rsidP="00CC2370">
            <w:pPr>
              <w:jc w:val="center"/>
              <w:cnfStyle w:val="000000000000" w:firstRow="0" w:lastRow="0" w:firstColumn="0" w:lastColumn="0" w:oddVBand="0" w:evenVBand="0" w:oddHBand="0" w:evenHBand="0" w:firstRowFirstColumn="0" w:firstRowLastColumn="0" w:lastRowFirstColumn="0" w:lastRowLastColumn="0"/>
              <w:rPr>
                <w:sz w:val="18"/>
                <w:szCs w:val="20"/>
                <w:lang w:val="en-US"/>
              </w:rPr>
            </w:pPr>
            <w:r w:rsidRPr="00193884">
              <w:rPr>
                <w:sz w:val="18"/>
                <w:szCs w:val="20"/>
                <w:lang w:val="en-US"/>
              </w:rPr>
              <w:t>,090</w:t>
            </w:r>
          </w:p>
        </w:tc>
        <w:tc>
          <w:tcPr>
            <w:tcW w:w="1069" w:type="dxa"/>
            <w:shd w:val="clear" w:color="auto" w:fill="auto"/>
          </w:tcPr>
          <w:p w:rsidR="001E5742" w:rsidRPr="00193884" w:rsidRDefault="001E5742" w:rsidP="00CC2370">
            <w:pPr>
              <w:jc w:val="center"/>
              <w:cnfStyle w:val="000000000000" w:firstRow="0" w:lastRow="0" w:firstColumn="0" w:lastColumn="0" w:oddVBand="0" w:evenVBand="0" w:oddHBand="0" w:evenHBand="0" w:firstRowFirstColumn="0" w:firstRowLastColumn="0" w:lastRowFirstColumn="0" w:lastRowLastColumn="0"/>
              <w:rPr>
                <w:sz w:val="18"/>
                <w:szCs w:val="20"/>
                <w:lang w:val="en-US"/>
              </w:rPr>
            </w:pPr>
            <w:r w:rsidRPr="00193884">
              <w:rPr>
                <w:sz w:val="18"/>
                <w:szCs w:val="20"/>
                <w:lang w:val="en-US"/>
              </w:rPr>
              <w:t>,029</w:t>
            </w:r>
          </w:p>
        </w:tc>
        <w:tc>
          <w:tcPr>
            <w:tcW w:w="1625" w:type="dxa"/>
            <w:shd w:val="clear" w:color="auto" w:fill="auto"/>
          </w:tcPr>
          <w:p w:rsidR="001E5742" w:rsidRPr="00193884" w:rsidRDefault="001E5742" w:rsidP="00CC2370">
            <w:pPr>
              <w:jc w:val="center"/>
              <w:cnfStyle w:val="000000000000" w:firstRow="0" w:lastRow="0" w:firstColumn="0" w:lastColumn="0" w:oddVBand="0" w:evenVBand="0" w:oddHBand="0" w:evenHBand="0" w:firstRowFirstColumn="0" w:firstRowLastColumn="0" w:lastRowFirstColumn="0" w:lastRowLastColumn="0"/>
              <w:rPr>
                <w:sz w:val="18"/>
                <w:szCs w:val="20"/>
                <w:lang w:val="en-US"/>
              </w:rPr>
            </w:pPr>
            <w:r w:rsidRPr="00193884">
              <w:rPr>
                <w:sz w:val="18"/>
                <w:szCs w:val="20"/>
                <w:lang w:val="en-US"/>
              </w:rPr>
              <w:t>,303</w:t>
            </w:r>
          </w:p>
        </w:tc>
        <w:tc>
          <w:tcPr>
            <w:tcW w:w="770" w:type="dxa"/>
            <w:shd w:val="clear" w:color="auto" w:fill="auto"/>
          </w:tcPr>
          <w:p w:rsidR="001E5742" w:rsidRPr="00193884" w:rsidRDefault="001E5742" w:rsidP="00CC2370">
            <w:pPr>
              <w:jc w:val="center"/>
              <w:cnfStyle w:val="000000000000" w:firstRow="0" w:lastRow="0" w:firstColumn="0" w:lastColumn="0" w:oddVBand="0" w:evenVBand="0" w:oddHBand="0" w:evenHBand="0" w:firstRowFirstColumn="0" w:firstRowLastColumn="0" w:lastRowFirstColumn="0" w:lastRowLastColumn="0"/>
              <w:rPr>
                <w:sz w:val="18"/>
                <w:szCs w:val="20"/>
                <w:lang w:val="en-US"/>
              </w:rPr>
            </w:pPr>
            <w:r w:rsidRPr="00193884">
              <w:rPr>
                <w:sz w:val="18"/>
                <w:szCs w:val="20"/>
                <w:lang w:val="en-US"/>
              </w:rPr>
              <w:t>3,087</w:t>
            </w:r>
          </w:p>
        </w:tc>
        <w:tc>
          <w:tcPr>
            <w:tcW w:w="976" w:type="dxa"/>
            <w:shd w:val="clear" w:color="auto" w:fill="auto"/>
          </w:tcPr>
          <w:p w:rsidR="001E5742" w:rsidRPr="00193884" w:rsidRDefault="001E5742" w:rsidP="00CC2370">
            <w:pPr>
              <w:jc w:val="center"/>
              <w:cnfStyle w:val="000000000000" w:firstRow="0" w:lastRow="0" w:firstColumn="0" w:lastColumn="0" w:oddVBand="0" w:evenVBand="0" w:oddHBand="0" w:evenHBand="0" w:firstRowFirstColumn="0" w:firstRowLastColumn="0" w:lastRowFirstColumn="0" w:lastRowLastColumn="0"/>
              <w:rPr>
                <w:sz w:val="18"/>
                <w:szCs w:val="20"/>
                <w:lang w:val="en-US"/>
              </w:rPr>
            </w:pPr>
            <w:r w:rsidRPr="00193884">
              <w:rPr>
                <w:sz w:val="18"/>
                <w:szCs w:val="20"/>
                <w:lang w:val="en-US"/>
              </w:rPr>
              <w:t>,002</w:t>
            </w:r>
          </w:p>
        </w:tc>
        <w:tc>
          <w:tcPr>
            <w:tcW w:w="1090" w:type="dxa"/>
            <w:shd w:val="clear" w:color="auto" w:fill="auto"/>
          </w:tcPr>
          <w:p w:rsidR="001E5742" w:rsidRPr="00193884" w:rsidRDefault="001E5742" w:rsidP="00CC2370">
            <w:pPr>
              <w:jc w:val="center"/>
              <w:cnfStyle w:val="000000000000" w:firstRow="0" w:lastRow="0" w:firstColumn="0" w:lastColumn="0" w:oddVBand="0" w:evenVBand="0" w:oddHBand="0" w:evenHBand="0" w:firstRowFirstColumn="0" w:firstRowLastColumn="0" w:lastRowFirstColumn="0" w:lastRowLastColumn="0"/>
              <w:rPr>
                <w:sz w:val="18"/>
                <w:szCs w:val="20"/>
                <w:lang w:val="en-US"/>
              </w:rPr>
            </w:pPr>
            <w:r w:rsidRPr="00193884">
              <w:rPr>
                <w:sz w:val="18"/>
                <w:szCs w:val="20"/>
                <w:lang w:val="en-US"/>
              </w:rPr>
              <w:t>,445</w:t>
            </w:r>
          </w:p>
        </w:tc>
        <w:tc>
          <w:tcPr>
            <w:tcW w:w="856" w:type="dxa"/>
            <w:shd w:val="clear" w:color="auto" w:fill="auto"/>
          </w:tcPr>
          <w:p w:rsidR="001E5742" w:rsidRPr="00193884" w:rsidRDefault="001E5742" w:rsidP="00CC2370">
            <w:pPr>
              <w:jc w:val="center"/>
              <w:cnfStyle w:val="000000000000" w:firstRow="0" w:lastRow="0" w:firstColumn="0" w:lastColumn="0" w:oddVBand="0" w:evenVBand="0" w:oddHBand="0" w:evenHBand="0" w:firstRowFirstColumn="0" w:firstRowLastColumn="0" w:lastRowFirstColumn="0" w:lastRowLastColumn="0"/>
              <w:rPr>
                <w:sz w:val="18"/>
                <w:szCs w:val="20"/>
                <w:lang w:val="en-US"/>
              </w:rPr>
            </w:pPr>
            <w:r w:rsidRPr="00193884">
              <w:rPr>
                <w:sz w:val="18"/>
                <w:szCs w:val="20"/>
                <w:lang w:val="en-US"/>
              </w:rPr>
              <w:t>2,246</w:t>
            </w:r>
          </w:p>
        </w:tc>
      </w:tr>
      <w:tr w:rsidR="001E5742" w:rsidRPr="00193884" w:rsidTr="001E57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87" w:type="dxa"/>
            <w:shd w:val="clear" w:color="auto" w:fill="auto"/>
            <w:hideMark/>
          </w:tcPr>
          <w:p w:rsidR="001E5742" w:rsidRPr="00193884" w:rsidRDefault="001E5742" w:rsidP="00CC2370">
            <w:pPr>
              <w:jc w:val="center"/>
              <w:rPr>
                <w:b w:val="0"/>
                <w:sz w:val="18"/>
                <w:szCs w:val="20"/>
                <w:lang w:val="en-US"/>
              </w:rPr>
            </w:pPr>
            <w:r w:rsidRPr="00193884">
              <w:rPr>
                <w:b w:val="0"/>
                <w:sz w:val="18"/>
                <w:szCs w:val="20"/>
                <w:lang w:val="en-US"/>
              </w:rPr>
              <w:t>F-Statistic</w:t>
            </w:r>
          </w:p>
        </w:tc>
        <w:tc>
          <w:tcPr>
            <w:tcW w:w="7201" w:type="dxa"/>
            <w:gridSpan w:val="7"/>
            <w:shd w:val="clear" w:color="auto" w:fill="auto"/>
            <w:hideMark/>
          </w:tcPr>
          <w:p w:rsidR="001E5742" w:rsidRPr="00193884" w:rsidRDefault="001E5742" w:rsidP="00CC2370">
            <w:pPr>
              <w:jc w:val="center"/>
              <w:cnfStyle w:val="000000100000" w:firstRow="0" w:lastRow="0" w:firstColumn="0" w:lastColumn="0" w:oddVBand="0" w:evenVBand="0" w:oddHBand="1" w:evenHBand="0" w:firstRowFirstColumn="0" w:firstRowLastColumn="0" w:lastRowFirstColumn="0" w:lastRowLastColumn="0"/>
              <w:rPr>
                <w:sz w:val="18"/>
                <w:szCs w:val="20"/>
                <w:lang w:val="en-US"/>
              </w:rPr>
            </w:pPr>
            <w:r w:rsidRPr="00193884">
              <w:rPr>
                <w:sz w:val="18"/>
                <w:szCs w:val="20"/>
                <w:lang w:val="en-US"/>
              </w:rPr>
              <w:t>7,285</w:t>
            </w:r>
          </w:p>
        </w:tc>
      </w:tr>
      <w:tr w:rsidR="001E5742" w:rsidRPr="00193884" w:rsidTr="001E5742">
        <w:trPr>
          <w:trHeight w:val="268"/>
        </w:trPr>
        <w:tc>
          <w:tcPr>
            <w:cnfStyle w:val="001000000000" w:firstRow="0" w:lastRow="0" w:firstColumn="1" w:lastColumn="0" w:oddVBand="0" w:evenVBand="0" w:oddHBand="0" w:evenHBand="0" w:firstRowFirstColumn="0" w:firstRowLastColumn="0" w:lastRowFirstColumn="0" w:lastRowLastColumn="0"/>
            <w:tcW w:w="2087" w:type="dxa"/>
            <w:shd w:val="clear" w:color="auto" w:fill="auto"/>
            <w:hideMark/>
          </w:tcPr>
          <w:p w:rsidR="001E5742" w:rsidRPr="00193884" w:rsidRDefault="001E5742" w:rsidP="00CC2370">
            <w:pPr>
              <w:jc w:val="center"/>
              <w:rPr>
                <w:b w:val="0"/>
                <w:sz w:val="18"/>
                <w:szCs w:val="20"/>
                <w:vertAlign w:val="superscript"/>
                <w:lang w:val="en-US"/>
              </w:rPr>
            </w:pPr>
            <w:r w:rsidRPr="00193884">
              <w:rPr>
                <w:b w:val="0"/>
                <w:sz w:val="18"/>
                <w:szCs w:val="20"/>
                <w:lang w:val="en-US"/>
              </w:rPr>
              <w:t>Adjusted R</w:t>
            </w:r>
            <w:r w:rsidRPr="00193884">
              <w:rPr>
                <w:b w:val="0"/>
                <w:sz w:val="18"/>
                <w:szCs w:val="20"/>
                <w:vertAlign w:val="superscript"/>
                <w:lang w:val="en-US"/>
              </w:rPr>
              <w:t>2</w:t>
            </w:r>
          </w:p>
        </w:tc>
        <w:tc>
          <w:tcPr>
            <w:tcW w:w="7201" w:type="dxa"/>
            <w:gridSpan w:val="7"/>
            <w:shd w:val="clear" w:color="auto" w:fill="auto"/>
            <w:hideMark/>
          </w:tcPr>
          <w:p w:rsidR="001E5742" w:rsidRPr="00193884" w:rsidRDefault="001E5742" w:rsidP="00CC2370">
            <w:pPr>
              <w:jc w:val="center"/>
              <w:cnfStyle w:val="000000000000" w:firstRow="0" w:lastRow="0" w:firstColumn="0" w:lastColumn="0" w:oddVBand="0" w:evenVBand="0" w:oddHBand="0" w:evenHBand="0" w:firstRowFirstColumn="0" w:firstRowLastColumn="0" w:lastRowFirstColumn="0" w:lastRowLastColumn="0"/>
              <w:rPr>
                <w:sz w:val="18"/>
                <w:szCs w:val="20"/>
                <w:lang w:val="en-US"/>
              </w:rPr>
            </w:pPr>
            <w:r w:rsidRPr="00193884">
              <w:rPr>
                <w:sz w:val="18"/>
                <w:szCs w:val="20"/>
                <w:lang w:val="en-US"/>
              </w:rPr>
              <w:t>0,162</w:t>
            </w:r>
          </w:p>
        </w:tc>
      </w:tr>
      <w:tr w:rsidR="001E5742" w:rsidRPr="00193884" w:rsidTr="001E574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87" w:type="dxa"/>
            <w:shd w:val="clear" w:color="auto" w:fill="auto"/>
            <w:hideMark/>
          </w:tcPr>
          <w:p w:rsidR="001E5742" w:rsidRPr="00193884" w:rsidRDefault="001E5742" w:rsidP="00CC2370">
            <w:pPr>
              <w:jc w:val="center"/>
              <w:rPr>
                <w:b w:val="0"/>
                <w:sz w:val="18"/>
                <w:szCs w:val="20"/>
                <w:lang w:val="en-US"/>
              </w:rPr>
            </w:pPr>
            <w:r w:rsidRPr="00193884">
              <w:rPr>
                <w:b w:val="0"/>
                <w:bCs w:val="0"/>
                <w:iCs/>
                <w:sz w:val="18"/>
                <w:szCs w:val="20"/>
                <w:lang w:val="en-US"/>
              </w:rPr>
              <w:t>DurbinWatson</w:t>
            </w:r>
          </w:p>
        </w:tc>
        <w:tc>
          <w:tcPr>
            <w:tcW w:w="7201" w:type="dxa"/>
            <w:gridSpan w:val="7"/>
            <w:shd w:val="clear" w:color="auto" w:fill="auto"/>
            <w:hideMark/>
          </w:tcPr>
          <w:p w:rsidR="001E5742" w:rsidRPr="00193884" w:rsidRDefault="001E5742" w:rsidP="00CC2370">
            <w:pPr>
              <w:jc w:val="center"/>
              <w:cnfStyle w:val="000000100000" w:firstRow="0" w:lastRow="0" w:firstColumn="0" w:lastColumn="0" w:oddVBand="0" w:evenVBand="0" w:oddHBand="1" w:evenHBand="0" w:firstRowFirstColumn="0" w:firstRowLastColumn="0" w:lastRowFirstColumn="0" w:lastRowLastColumn="0"/>
              <w:rPr>
                <w:sz w:val="18"/>
                <w:szCs w:val="20"/>
                <w:lang w:val="en-US"/>
              </w:rPr>
            </w:pPr>
            <w:r w:rsidRPr="00193884">
              <w:rPr>
                <w:sz w:val="18"/>
                <w:szCs w:val="20"/>
                <w:lang w:val="en-US"/>
              </w:rPr>
              <w:t>1,745</w:t>
            </w:r>
          </w:p>
        </w:tc>
      </w:tr>
    </w:tbl>
    <w:p w:rsidR="001E5742" w:rsidRPr="001E5742" w:rsidRDefault="001E5742" w:rsidP="001E5742">
      <w:pPr>
        <w:autoSpaceDE w:val="0"/>
        <w:autoSpaceDN w:val="0"/>
        <w:adjustRightInd w:val="0"/>
        <w:spacing w:line="360" w:lineRule="auto"/>
        <w:jc w:val="both"/>
        <w:rPr>
          <w:sz w:val="20"/>
          <w:szCs w:val="20"/>
          <w:lang w:val="en-US"/>
        </w:rPr>
      </w:pPr>
      <w:r w:rsidRPr="001E5742">
        <w:rPr>
          <w:sz w:val="20"/>
          <w:szCs w:val="20"/>
          <w:lang w:val="en-US"/>
        </w:rPr>
        <w:t>***, ** and * indicate significance at the level of 1%, 5% and 10% respectively</w:t>
      </w:r>
    </w:p>
    <w:p w:rsidR="001E5742" w:rsidRPr="001E5742" w:rsidRDefault="001E5742" w:rsidP="001E5742">
      <w:pPr>
        <w:autoSpaceDE w:val="0"/>
        <w:autoSpaceDN w:val="0"/>
        <w:adjustRightInd w:val="0"/>
        <w:spacing w:before="120" w:line="360" w:lineRule="auto"/>
        <w:jc w:val="both"/>
        <w:rPr>
          <w:lang w:val="en-US"/>
        </w:rPr>
      </w:pPr>
      <w:r w:rsidRPr="001E5742">
        <w:rPr>
          <w:lang w:val="en-US"/>
        </w:rPr>
        <w:lastRenderedPageBreak/>
        <w:t>According to Table 4, the results of regression model may be shown mathematically as below:</w:t>
      </w:r>
    </w:p>
    <w:p w:rsidR="001E5742" w:rsidRPr="001E5742" w:rsidRDefault="001E5742" w:rsidP="001E5742">
      <w:pPr>
        <w:autoSpaceDE w:val="0"/>
        <w:autoSpaceDN w:val="0"/>
        <w:adjustRightInd w:val="0"/>
        <w:spacing w:before="120"/>
        <w:jc w:val="both"/>
        <w:rPr>
          <w:rFonts w:eastAsia="TimesNewRomanPS-ItalicMT"/>
          <w:i/>
          <w:iCs/>
          <w:vertAlign w:val="subscript"/>
          <w:lang w:val="en-US"/>
        </w:rPr>
      </w:pPr>
      <w:r w:rsidRPr="001E5742">
        <w:rPr>
          <w:b/>
          <w:bCs/>
          <w:lang w:val="en-US"/>
        </w:rPr>
        <w:t xml:space="preserve">Model : </w:t>
      </w:r>
      <w:r w:rsidRPr="001E5742">
        <w:rPr>
          <w:rFonts w:eastAsia="TimesNewRomanPS-ItalicMT"/>
          <w:i/>
          <w:iCs/>
          <w:lang w:val="en-US"/>
        </w:rPr>
        <w:t>(ROE)</w:t>
      </w:r>
      <w:r w:rsidRPr="001E5742">
        <w:rPr>
          <w:rFonts w:eastAsia="TimesNewRomanPS-ItalicMT"/>
          <w:i/>
          <w:iCs/>
          <w:vertAlign w:val="subscript"/>
          <w:lang w:val="en-US"/>
        </w:rPr>
        <w:t>it</w:t>
      </w:r>
      <w:r w:rsidRPr="001E5742">
        <w:rPr>
          <w:rFonts w:eastAsia="TimesNewRomanPS-ItalicMT"/>
          <w:i/>
          <w:iCs/>
          <w:lang w:val="en-US"/>
        </w:rPr>
        <w:t>= β</w:t>
      </w:r>
      <w:r w:rsidRPr="001E5742">
        <w:rPr>
          <w:rFonts w:eastAsia="TimesNewRomanPS-ItalicMT"/>
          <w:i/>
          <w:iCs/>
          <w:vertAlign w:val="subscript"/>
          <w:lang w:val="en-US"/>
        </w:rPr>
        <w:t>it</w:t>
      </w:r>
      <w:r w:rsidRPr="001E5742">
        <w:rPr>
          <w:rFonts w:eastAsia="TimesNewRomanPS-ItalicMT"/>
          <w:i/>
          <w:iCs/>
          <w:lang w:val="en-US"/>
        </w:rPr>
        <w:t xml:space="preserve">+ </w:t>
      </w:r>
      <w:r w:rsidRPr="001E5742">
        <w:rPr>
          <w:rFonts w:eastAsia="TimesNewRomanPS-ItalicMT"/>
          <w:b/>
          <w:i/>
          <w:iCs/>
          <w:lang w:val="en-US"/>
        </w:rPr>
        <w:t>(,023)</w:t>
      </w:r>
      <w:r w:rsidRPr="001E5742">
        <w:rPr>
          <w:rFonts w:eastAsia="TimesNewRomanPSMT"/>
          <w:i/>
          <w:lang w:val="en-US"/>
        </w:rPr>
        <w:t>BOARDSIZE</w:t>
      </w:r>
      <w:r w:rsidRPr="001E5742">
        <w:rPr>
          <w:rFonts w:eastAsia="TimesNewRomanPS-ItalicMT"/>
          <w:i/>
          <w:iCs/>
          <w:vertAlign w:val="subscript"/>
          <w:lang w:val="en-US"/>
        </w:rPr>
        <w:t xml:space="preserve"> it</w:t>
      </w:r>
      <w:r w:rsidRPr="001E5742">
        <w:rPr>
          <w:rFonts w:eastAsia="TimesNewRomanPS-ItalicMT"/>
          <w:i/>
          <w:iCs/>
          <w:lang w:val="en-US"/>
        </w:rPr>
        <w:t xml:space="preserve"> + </w:t>
      </w:r>
      <w:r w:rsidRPr="001E5742">
        <w:rPr>
          <w:rFonts w:eastAsia="TimesNewRomanPS-ItalicMT"/>
          <w:b/>
          <w:i/>
          <w:iCs/>
          <w:lang w:val="en-US"/>
        </w:rPr>
        <w:t>(,445)</w:t>
      </w:r>
      <w:r w:rsidRPr="001E5742">
        <w:rPr>
          <w:rFonts w:eastAsia="TimesNewRoman,Italic"/>
          <w:i/>
          <w:iCs/>
          <w:lang w:val="en-US"/>
        </w:rPr>
        <w:t>FFRATE</w:t>
      </w:r>
      <w:r w:rsidRPr="001E5742">
        <w:rPr>
          <w:rFonts w:eastAsia="TimesNewRomanPS-ItalicMT"/>
          <w:i/>
          <w:iCs/>
          <w:vertAlign w:val="subscript"/>
          <w:lang w:val="en-US"/>
        </w:rPr>
        <w:t xml:space="preserve"> it</w:t>
      </w:r>
      <w:r w:rsidRPr="001E5742">
        <w:rPr>
          <w:rFonts w:eastAsia="TimesNewRomanPS-ItalicMT"/>
          <w:i/>
          <w:iCs/>
          <w:lang w:val="en-US"/>
        </w:rPr>
        <w:t xml:space="preserve"> + </w:t>
      </w:r>
      <w:r w:rsidRPr="001E5742">
        <w:rPr>
          <w:rFonts w:eastAsia="TimesNewRomanPS-ItalicMT"/>
          <w:b/>
          <w:i/>
          <w:iCs/>
          <w:lang w:val="en-US"/>
        </w:rPr>
        <w:t>(,315)</w:t>
      </w:r>
      <w:r w:rsidRPr="001E5742">
        <w:rPr>
          <w:rFonts w:eastAsia="TimesNewRomanPSMT"/>
          <w:i/>
          <w:lang w:val="en-US"/>
        </w:rPr>
        <w:t>DUALITY</w:t>
      </w:r>
      <w:r w:rsidRPr="001E5742">
        <w:rPr>
          <w:rFonts w:eastAsia="TimesNewRomanPS-ItalicMT"/>
          <w:i/>
          <w:iCs/>
          <w:vertAlign w:val="subscript"/>
          <w:lang w:val="en-US"/>
        </w:rPr>
        <w:t xml:space="preserve"> it</w:t>
      </w:r>
      <w:r w:rsidRPr="001E5742">
        <w:rPr>
          <w:rFonts w:eastAsia="TimesNewRomanPS-ItalicMT"/>
          <w:i/>
          <w:iCs/>
          <w:lang w:val="en-US"/>
        </w:rPr>
        <w:t xml:space="preserve">+ </w:t>
      </w:r>
      <w:r w:rsidRPr="001E5742">
        <w:rPr>
          <w:rFonts w:eastAsia="TimesNewRomanPS-ItalicMT"/>
          <w:b/>
          <w:i/>
          <w:iCs/>
          <w:lang w:val="en-US"/>
        </w:rPr>
        <w:t>(,247)</w:t>
      </w:r>
      <w:r w:rsidRPr="001E5742">
        <w:rPr>
          <w:rFonts w:eastAsia="TimesNewRomanPSMT"/>
          <w:i/>
          <w:lang w:val="en-US"/>
        </w:rPr>
        <w:t>BLOCKHOLDERS</w:t>
      </w:r>
      <w:r w:rsidRPr="001E5742">
        <w:rPr>
          <w:rFonts w:eastAsia="TimesNewRomanPS-ItalicMT"/>
          <w:i/>
          <w:iCs/>
          <w:vertAlign w:val="subscript"/>
          <w:lang w:val="en-US"/>
        </w:rPr>
        <w:t xml:space="preserve"> it</w:t>
      </w:r>
      <w:r w:rsidRPr="001E5742">
        <w:rPr>
          <w:rFonts w:eastAsia="TimesNewRomanPS-ItalicMT"/>
          <w:i/>
          <w:iCs/>
          <w:lang w:val="en-US"/>
        </w:rPr>
        <w:t xml:space="preserve"> + </w:t>
      </w:r>
      <w:r w:rsidRPr="001E5742">
        <w:rPr>
          <w:rFonts w:eastAsia="TimesNewRomanPS-ItalicMT"/>
          <w:b/>
          <w:i/>
          <w:iCs/>
          <w:lang w:val="en-US"/>
        </w:rPr>
        <w:t>(,140)</w:t>
      </w:r>
      <w:r w:rsidRPr="001E5742">
        <w:rPr>
          <w:bCs/>
          <w:i/>
          <w:lang w:val="en-US"/>
        </w:rPr>
        <w:t>OWNERSHIP</w:t>
      </w:r>
      <w:r w:rsidRPr="001E5742">
        <w:rPr>
          <w:rFonts w:eastAsia="TimesNewRomanPS-ItalicMT"/>
          <w:i/>
          <w:iCs/>
          <w:lang w:val="en-US"/>
        </w:rPr>
        <w:t xml:space="preserve">+ </w:t>
      </w:r>
      <w:r w:rsidRPr="001E5742">
        <w:rPr>
          <w:rFonts w:eastAsia="TimesNewRomanPS-ItalicMT"/>
          <w:b/>
          <w:i/>
          <w:iCs/>
          <w:lang w:val="en-US"/>
        </w:rPr>
        <w:t>(,303)</w:t>
      </w:r>
      <w:r w:rsidRPr="001E5742">
        <w:rPr>
          <w:rFonts w:eastAsia="TimesNewRomanPSMT"/>
          <w:i/>
          <w:lang w:val="en-US"/>
        </w:rPr>
        <w:t xml:space="preserve">SIZE </w:t>
      </w:r>
      <w:r w:rsidRPr="001E5742">
        <w:rPr>
          <w:rFonts w:eastAsia="TimesNewRomanPS-ItalicMT"/>
          <w:i/>
          <w:iCs/>
          <w:lang w:val="en-US"/>
        </w:rPr>
        <w:t>+e</w:t>
      </w:r>
      <w:r w:rsidRPr="001E5742">
        <w:rPr>
          <w:rFonts w:eastAsia="TimesNewRomanPS-ItalicMT"/>
          <w:i/>
          <w:iCs/>
          <w:vertAlign w:val="subscript"/>
          <w:lang w:val="en-US"/>
        </w:rPr>
        <w:t>it</w:t>
      </w:r>
    </w:p>
    <w:p w:rsidR="001E5742" w:rsidRPr="001E5742" w:rsidRDefault="001E5742" w:rsidP="001E5742">
      <w:pPr>
        <w:autoSpaceDE w:val="0"/>
        <w:autoSpaceDN w:val="0"/>
        <w:adjustRightInd w:val="0"/>
        <w:spacing w:before="120" w:line="360" w:lineRule="auto"/>
        <w:jc w:val="both"/>
        <w:rPr>
          <w:lang w:val="en-US"/>
        </w:rPr>
      </w:pPr>
    </w:p>
    <w:p w:rsidR="001E5742" w:rsidRPr="001E5742" w:rsidRDefault="001E5742" w:rsidP="001E5742">
      <w:pPr>
        <w:autoSpaceDE w:val="0"/>
        <w:autoSpaceDN w:val="0"/>
        <w:adjustRightInd w:val="0"/>
        <w:spacing w:before="120"/>
        <w:jc w:val="both"/>
        <w:rPr>
          <w:lang w:val="en-US"/>
        </w:rPr>
      </w:pPr>
      <w:r w:rsidRPr="001E5742">
        <w:rPr>
          <w:lang w:val="en-US"/>
        </w:rPr>
        <w:t>When Model 1 is analyzed, independent variables of FFRATE, DUALITY and SIZE are observed to influence insurance firms’ performance (ROA). A positive relation has been found between free float rate (</w:t>
      </w:r>
      <w:r w:rsidRPr="001E5742">
        <w:rPr>
          <w:rFonts w:eastAsia="TimesNewRoman,Italic"/>
          <w:i/>
          <w:iCs/>
          <w:lang w:val="en-US"/>
        </w:rPr>
        <w:t xml:space="preserve">FFRATE), </w:t>
      </w:r>
      <w:r w:rsidRPr="001E5742">
        <w:rPr>
          <w:rFonts w:eastAsia="TimesNewRoman,Italic"/>
          <w:iCs/>
          <w:lang w:val="en-US"/>
        </w:rPr>
        <w:t>Ceo duality</w:t>
      </w:r>
      <w:r w:rsidRPr="001E5742">
        <w:rPr>
          <w:rFonts w:eastAsia="TimesNewRoman,Italic"/>
          <w:i/>
          <w:iCs/>
          <w:lang w:val="en-US"/>
        </w:rPr>
        <w:t xml:space="preserve"> (DUALITY)</w:t>
      </w:r>
      <w:r w:rsidRPr="001E5742">
        <w:rPr>
          <w:rFonts w:eastAsia="TimesNewRoman,Italic"/>
          <w:iCs/>
          <w:lang w:val="en-US"/>
        </w:rPr>
        <w:t xml:space="preserve"> and</w:t>
      </w:r>
      <w:r w:rsidRPr="001E5742">
        <w:rPr>
          <w:lang w:val="en-US"/>
        </w:rPr>
        <w:t xml:space="preserve"> total assets </w:t>
      </w:r>
      <w:r w:rsidRPr="001E5742">
        <w:rPr>
          <w:i/>
          <w:lang w:val="en-US"/>
        </w:rPr>
        <w:t>(SIZE)</w:t>
      </w:r>
      <w:r w:rsidRPr="001E5742">
        <w:rPr>
          <w:lang w:val="en-US"/>
        </w:rPr>
        <w:t xml:space="preserve"> and performance (ROE) of the insurance firms. In other words performance increases as free float rate and total assets of the insurance firm increase. In addition to this, return on equity rate of insurance firms have been observed to increase in cases in which general manager is also chairman of the board of directors.  A positive and statistically insignificant relationship has been determined between insurance firms’ financial performances and other independent variables, namely the size of board of directors (</w:t>
      </w:r>
      <w:r w:rsidRPr="001E5742">
        <w:rPr>
          <w:i/>
          <w:lang w:val="en-US"/>
        </w:rPr>
        <w:t>BOARDSIZE</w:t>
      </w:r>
      <w:r w:rsidRPr="001E5742">
        <w:rPr>
          <w:lang w:val="en-US"/>
        </w:rPr>
        <w:t xml:space="preserve">), the ratio of </w:t>
      </w:r>
      <w:r w:rsidR="00193884" w:rsidRPr="001E5742">
        <w:rPr>
          <w:lang w:val="en-US"/>
        </w:rPr>
        <w:t>block holder’s</w:t>
      </w:r>
      <w:r w:rsidRPr="001E5742">
        <w:rPr>
          <w:lang w:val="en-US"/>
        </w:rPr>
        <w:t xml:space="preserve"> stocks to all stocks (</w:t>
      </w:r>
      <w:r w:rsidRPr="001E5742">
        <w:rPr>
          <w:i/>
          <w:lang w:val="en-US"/>
        </w:rPr>
        <w:t>BLOCKHOLDERS)</w:t>
      </w:r>
      <w:r w:rsidRPr="001E5742">
        <w:rPr>
          <w:lang w:val="en-US"/>
        </w:rPr>
        <w:t xml:space="preserve"> and number of owners (</w:t>
      </w:r>
      <w:r w:rsidRPr="001E5742">
        <w:rPr>
          <w:i/>
          <w:lang w:val="en-US"/>
        </w:rPr>
        <w:t>OWNERSHIP</w:t>
      </w:r>
      <w:r w:rsidRPr="001E5742">
        <w:rPr>
          <w:lang w:val="en-US"/>
        </w:rPr>
        <w:t xml:space="preserve">). Although </w:t>
      </w:r>
      <w:r w:rsidRPr="001E5742">
        <w:rPr>
          <w:i/>
          <w:lang w:val="en-US"/>
        </w:rPr>
        <w:t>BLOCKHOLDERS</w:t>
      </w:r>
      <w:r w:rsidRPr="001E5742">
        <w:rPr>
          <w:lang w:val="en-US"/>
        </w:rPr>
        <w:t xml:space="preserve"> and </w:t>
      </w:r>
      <w:r w:rsidRPr="001E5742">
        <w:rPr>
          <w:i/>
          <w:lang w:val="en-US"/>
        </w:rPr>
        <w:t>OWNERSHIP</w:t>
      </w:r>
      <w:r w:rsidRPr="001E5742">
        <w:rPr>
          <w:lang w:val="en-US"/>
        </w:rPr>
        <w:t xml:space="preserve"> did not have a significant relation with the performance of insurance firms, the positive quality of this relation (β= 0,247 and 0,140) may be considered as an important finding. In conclusion, </w:t>
      </w:r>
      <w:r w:rsidRPr="001E5742">
        <w:rPr>
          <w:i/>
          <w:lang w:val="en-US"/>
        </w:rPr>
        <w:t>H</w:t>
      </w:r>
      <w:r w:rsidRPr="001E5742">
        <w:rPr>
          <w:i/>
          <w:vertAlign w:val="subscript"/>
          <w:lang w:val="en-US"/>
        </w:rPr>
        <w:t>2</w:t>
      </w:r>
      <w:r w:rsidRPr="001E5742">
        <w:rPr>
          <w:i/>
          <w:lang w:val="en-US"/>
        </w:rPr>
        <w:t>, H</w:t>
      </w:r>
      <w:r w:rsidRPr="001E5742">
        <w:rPr>
          <w:i/>
          <w:vertAlign w:val="subscript"/>
          <w:lang w:val="en-US"/>
        </w:rPr>
        <w:t xml:space="preserve">3 </w:t>
      </w:r>
      <w:r w:rsidRPr="001E5742">
        <w:rPr>
          <w:i/>
          <w:lang w:val="en-US"/>
        </w:rPr>
        <w:t>and H</w:t>
      </w:r>
      <w:r w:rsidRPr="001E5742">
        <w:rPr>
          <w:i/>
          <w:vertAlign w:val="subscript"/>
          <w:lang w:val="en-US"/>
        </w:rPr>
        <w:t xml:space="preserve">6 </w:t>
      </w:r>
      <w:r w:rsidRPr="001E5742">
        <w:rPr>
          <w:lang w:val="en-US"/>
        </w:rPr>
        <w:t xml:space="preserve">hypotheses are accepted while </w:t>
      </w:r>
      <w:r w:rsidRPr="001E5742">
        <w:rPr>
          <w:i/>
          <w:lang w:val="en-US"/>
        </w:rPr>
        <w:t>H1, H4 and</w:t>
      </w:r>
      <w:r w:rsidRPr="001E5742">
        <w:rPr>
          <w:i/>
          <w:vertAlign w:val="subscript"/>
          <w:lang w:val="en-US"/>
        </w:rPr>
        <w:t xml:space="preserve"> </w:t>
      </w:r>
      <w:r w:rsidRPr="001E5742">
        <w:rPr>
          <w:i/>
          <w:lang w:val="en-US"/>
        </w:rPr>
        <w:t>H</w:t>
      </w:r>
      <w:r w:rsidRPr="001E5742">
        <w:rPr>
          <w:i/>
          <w:vertAlign w:val="subscript"/>
          <w:lang w:val="en-US"/>
        </w:rPr>
        <w:t xml:space="preserve">5 </w:t>
      </w:r>
      <w:r w:rsidRPr="001E5742">
        <w:rPr>
          <w:lang w:val="en-US"/>
        </w:rPr>
        <w:t>hypotheses are refuted.</w:t>
      </w:r>
    </w:p>
    <w:p w:rsidR="001E5742" w:rsidRPr="001E5742" w:rsidRDefault="001E5742" w:rsidP="001E5742">
      <w:pPr>
        <w:autoSpaceDE w:val="0"/>
        <w:autoSpaceDN w:val="0"/>
        <w:adjustRightInd w:val="0"/>
        <w:jc w:val="both"/>
        <w:rPr>
          <w:lang w:val="en-US"/>
        </w:rPr>
      </w:pPr>
      <w:r w:rsidRPr="001E5742">
        <w:rPr>
          <w:lang w:val="en-US"/>
        </w:rPr>
        <w:t>Durbin-Watson d statistics have been used in the model to test if there is autocorrelation of the first degree. Durbin-Watson d statistics usually show no autocorrelation around 1.5 and 2.5 (Kalaycı, 2009: 267). Variance Inflation Factor (VIF) has been used to test multicollinearity and to support regression model’s results. Other method used to determine multicollinearity problem is tolerance value of the variables. In cases where VIF value is under 10 and tolerance value is not very close to 0, model is considered to be free from multicollinearity problem (Gujarati, 1995). All three models have pretty good VIF and tolerance values. There are no multicollinearity problems and autocorrelation in the model and this shows soundness and reliability of the model.</w:t>
      </w:r>
    </w:p>
    <w:p w:rsidR="001E5742" w:rsidRPr="001E5742" w:rsidRDefault="001E5742" w:rsidP="001E5742">
      <w:pPr>
        <w:autoSpaceDE w:val="0"/>
        <w:autoSpaceDN w:val="0"/>
        <w:adjustRightInd w:val="0"/>
        <w:spacing w:before="120"/>
        <w:jc w:val="both"/>
        <w:rPr>
          <w:lang w:val="en-US"/>
        </w:rPr>
      </w:pPr>
    </w:p>
    <w:p w:rsidR="001E5742" w:rsidRPr="001E5742" w:rsidRDefault="00193884" w:rsidP="001E5742">
      <w:pPr>
        <w:autoSpaceDE w:val="0"/>
        <w:autoSpaceDN w:val="0"/>
        <w:adjustRightInd w:val="0"/>
        <w:spacing w:before="120"/>
        <w:jc w:val="both"/>
        <w:rPr>
          <w:b/>
          <w:lang w:val="en-US"/>
        </w:rPr>
      </w:pPr>
      <w:r w:rsidRPr="001E5742">
        <w:rPr>
          <w:b/>
          <w:lang w:val="en-US"/>
        </w:rPr>
        <w:t>Findings</w:t>
      </w:r>
    </w:p>
    <w:p w:rsidR="001E5742" w:rsidRPr="001E5742" w:rsidRDefault="001E5742" w:rsidP="001E5742">
      <w:pPr>
        <w:autoSpaceDE w:val="0"/>
        <w:autoSpaceDN w:val="0"/>
        <w:adjustRightInd w:val="0"/>
        <w:jc w:val="both"/>
        <w:rPr>
          <w:b/>
          <w:lang w:val="en-US"/>
        </w:rPr>
      </w:pPr>
    </w:p>
    <w:p w:rsidR="001E5742" w:rsidRPr="001E5742" w:rsidRDefault="001E5742" w:rsidP="001E5742">
      <w:pPr>
        <w:jc w:val="both"/>
        <w:rPr>
          <w:lang w:val="en-US"/>
        </w:rPr>
      </w:pPr>
      <w:r w:rsidRPr="001E5742">
        <w:rPr>
          <w:lang w:val="en-US"/>
        </w:rPr>
        <w:t xml:space="preserve">The present study aims to analyze the influence of corporate governance on insurance firms' performance.  With this purpose in mind, a sample has been constituted by using financial data of 7 insurance firms traded in Borsa İstanbul (BIST) in the years of 2005-2011. In the study, Return on Equity (ROE) is used as performance indicator of insurance firms, namely the dependent variable. And insurance firms’ sizes of board of directors, their free float rates, CEO duality, the </w:t>
      </w:r>
      <w:r w:rsidR="00193884" w:rsidRPr="001E5742">
        <w:rPr>
          <w:lang w:val="en-US"/>
        </w:rPr>
        <w:t>block holder</w:t>
      </w:r>
      <w:r w:rsidRPr="001E5742">
        <w:rPr>
          <w:lang w:val="en-US"/>
        </w:rPr>
        <w:t xml:space="preserve"> ratio, number of owners and total assets have been used as independent variables.   </w:t>
      </w:r>
    </w:p>
    <w:p w:rsidR="001E5742" w:rsidRPr="001E5742" w:rsidRDefault="001E5742" w:rsidP="001E5742">
      <w:pPr>
        <w:jc w:val="both"/>
        <w:rPr>
          <w:lang w:val="en-US"/>
        </w:rPr>
      </w:pPr>
    </w:p>
    <w:p w:rsidR="001E5742" w:rsidRPr="001E5742" w:rsidRDefault="001E5742" w:rsidP="001E5742">
      <w:pPr>
        <w:jc w:val="both"/>
        <w:rPr>
          <w:lang w:val="en-US"/>
        </w:rPr>
      </w:pPr>
      <w:r w:rsidRPr="001E5742">
        <w:rPr>
          <w:lang w:val="en-US"/>
        </w:rPr>
        <w:t xml:space="preserve">The results of the analysis have proven a positive relation between ROE and free float rate, CEO duality and total assets. </w:t>
      </w:r>
      <w:r w:rsidRPr="001E5742">
        <w:rPr>
          <w:rFonts w:eastAsia="TimesNewRomanPSMT"/>
          <w:lang w:val="en-US"/>
        </w:rPr>
        <w:t xml:space="preserve">. </w:t>
      </w:r>
      <w:r w:rsidRPr="001E5742">
        <w:rPr>
          <w:lang w:val="en-US"/>
        </w:rPr>
        <w:t>In other words performance increases as free float rate and total assets of the insurance firm increase. In addition to this, return on equity rate of insurance firms have been observed to increase in cases in which general manager is also chairman of the board of directors.  A positive and statistically insignificant relationship has been determined between insurance firms’ financial performances and other independent variables, namely the size of board of directors (</w:t>
      </w:r>
      <w:r w:rsidRPr="001E5742">
        <w:rPr>
          <w:i/>
          <w:lang w:val="en-US"/>
        </w:rPr>
        <w:t>BOARDSIZE</w:t>
      </w:r>
      <w:r w:rsidRPr="001E5742">
        <w:rPr>
          <w:lang w:val="en-US"/>
        </w:rPr>
        <w:t xml:space="preserve">), the ratio of </w:t>
      </w:r>
      <w:r w:rsidR="00193884" w:rsidRPr="001E5742">
        <w:rPr>
          <w:lang w:val="en-US"/>
        </w:rPr>
        <w:lastRenderedPageBreak/>
        <w:t>block holder’s</w:t>
      </w:r>
      <w:r w:rsidRPr="001E5742">
        <w:rPr>
          <w:lang w:val="en-US"/>
        </w:rPr>
        <w:t xml:space="preserve"> stocks to all stocks (</w:t>
      </w:r>
      <w:r w:rsidRPr="001E5742">
        <w:rPr>
          <w:i/>
          <w:lang w:val="en-US"/>
        </w:rPr>
        <w:t>BLOCKHOLDERS)</w:t>
      </w:r>
      <w:r w:rsidRPr="001E5742">
        <w:rPr>
          <w:lang w:val="en-US"/>
        </w:rPr>
        <w:t xml:space="preserve"> and number of owners (</w:t>
      </w:r>
      <w:r w:rsidRPr="001E5742">
        <w:rPr>
          <w:i/>
          <w:lang w:val="en-US"/>
        </w:rPr>
        <w:t>OWNERSHIP</w:t>
      </w:r>
      <w:r w:rsidRPr="001E5742">
        <w:rPr>
          <w:lang w:val="en-US"/>
        </w:rPr>
        <w:t xml:space="preserve">). Although </w:t>
      </w:r>
      <w:r w:rsidRPr="001E5742">
        <w:rPr>
          <w:i/>
          <w:lang w:val="en-US"/>
        </w:rPr>
        <w:t>BLOCKHOLDERS</w:t>
      </w:r>
      <w:r w:rsidRPr="001E5742">
        <w:rPr>
          <w:lang w:val="en-US"/>
        </w:rPr>
        <w:t xml:space="preserve"> and </w:t>
      </w:r>
      <w:r w:rsidRPr="001E5742">
        <w:rPr>
          <w:i/>
          <w:lang w:val="en-US"/>
        </w:rPr>
        <w:t>OWNERSHIP</w:t>
      </w:r>
      <w:r w:rsidRPr="001E5742">
        <w:rPr>
          <w:lang w:val="en-US"/>
        </w:rPr>
        <w:t xml:space="preserve"> did not have a significant relation with the performance of insurance firms, the positive quality of this relation (β= 0,247 and 0,140) may be considered as an important finding. In conclusion, </w:t>
      </w:r>
      <w:r w:rsidRPr="001E5742">
        <w:rPr>
          <w:i/>
          <w:lang w:val="en-US"/>
        </w:rPr>
        <w:t>H</w:t>
      </w:r>
      <w:r w:rsidRPr="001E5742">
        <w:rPr>
          <w:i/>
          <w:vertAlign w:val="subscript"/>
          <w:lang w:val="en-US"/>
        </w:rPr>
        <w:t>2</w:t>
      </w:r>
      <w:r w:rsidRPr="001E5742">
        <w:rPr>
          <w:i/>
          <w:lang w:val="en-US"/>
        </w:rPr>
        <w:t>, H</w:t>
      </w:r>
      <w:r w:rsidRPr="001E5742">
        <w:rPr>
          <w:i/>
          <w:vertAlign w:val="subscript"/>
          <w:lang w:val="en-US"/>
        </w:rPr>
        <w:t xml:space="preserve">3 </w:t>
      </w:r>
      <w:r w:rsidRPr="001E5742">
        <w:rPr>
          <w:i/>
          <w:lang w:val="en-US"/>
        </w:rPr>
        <w:t>and H</w:t>
      </w:r>
      <w:r w:rsidRPr="001E5742">
        <w:rPr>
          <w:i/>
          <w:vertAlign w:val="subscript"/>
          <w:lang w:val="en-US"/>
        </w:rPr>
        <w:t xml:space="preserve">6 </w:t>
      </w:r>
      <w:r w:rsidRPr="001E5742">
        <w:rPr>
          <w:lang w:val="en-US"/>
        </w:rPr>
        <w:t xml:space="preserve">hypotheses are accepted while </w:t>
      </w:r>
      <w:r w:rsidRPr="001E5742">
        <w:rPr>
          <w:i/>
          <w:lang w:val="en-US"/>
        </w:rPr>
        <w:t>H1, H4 and</w:t>
      </w:r>
      <w:r w:rsidRPr="001E5742">
        <w:rPr>
          <w:i/>
          <w:vertAlign w:val="subscript"/>
          <w:lang w:val="en-US"/>
        </w:rPr>
        <w:t xml:space="preserve"> </w:t>
      </w:r>
      <w:r w:rsidRPr="001E5742">
        <w:rPr>
          <w:i/>
          <w:lang w:val="en-US"/>
        </w:rPr>
        <w:t>H</w:t>
      </w:r>
      <w:r w:rsidRPr="001E5742">
        <w:rPr>
          <w:i/>
          <w:vertAlign w:val="subscript"/>
          <w:lang w:val="en-US"/>
        </w:rPr>
        <w:t xml:space="preserve">5 </w:t>
      </w:r>
      <w:r w:rsidRPr="001E5742">
        <w:rPr>
          <w:lang w:val="en-US"/>
        </w:rPr>
        <w:t>hypotheses are refuted.</w:t>
      </w:r>
    </w:p>
    <w:p w:rsidR="005C4FF0" w:rsidRPr="001E5742" w:rsidRDefault="005C4FF0" w:rsidP="000C0831">
      <w:pPr>
        <w:rPr>
          <w:noProof/>
          <w:lang w:val="en-US"/>
        </w:rPr>
      </w:pPr>
    </w:p>
    <w:p w:rsidR="005C4FF0" w:rsidRPr="001E5742" w:rsidRDefault="005C4FF0" w:rsidP="000C0831">
      <w:pPr>
        <w:jc w:val="both"/>
        <w:rPr>
          <w:b/>
          <w:bCs/>
          <w:kern w:val="32"/>
          <w:lang w:val="en-US"/>
        </w:rPr>
      </w:pPr>
      <w:r w:rsidRPr="001E5742">
        <w:rPr>
          <w:b/>
          <w:bCs/>
          <w:kern w:val="32"/>
          <w:lang w:val="en-US"/>
        </w:rPr>
        <w:t xml:space="preserve">References </w:t>
      </w:r>
    </w:p>
    <w:p w:rsidR="00193884" w:rsidRDefault="00193884" w:rsidP="00193884">
      <w:pPr>
        <w:ind w:left="851" w:hanging="851"/>
        <w:jc w:val="both"/>
        <w:rPr>
          <w:lang w:val="en-US"/>
        </w:rPr>
      </w:pPr>
    </w:p>
    <w:p w:rsidR="00193884" w:rsidRDefault="00193884" w:rsidP="00193884">
      <w:pPr>
        <w:ind w:left="851" w:hanging="851"/>
        <w:jc w:val="both"/>
        <w:rPr>
          <w:lang w:val="en-US"/>
        </w:rPr>
      </w:pPr>
      <w:r w:rsidRPr="00FF1D19">
        <w:rPr>
          <w:lang w:val="en-US"/>
        </w:rPr>
        <w:t xml:space="preserve">Aysan, Mustafa A. (2007) “Muhasebe ve Kurumsal Yönetim” Muhasebe ve Finansman </w:t>
      </w:r>
      <w:r w:rsidRPr="00FF1D19">
        <w:rPr>
          <w:lang w:val="en-US"/>
        </w:rPr>
        <w:tab/>
        <w:t>De</w:t>
      </w:r>
      <w:r>
        <w:rPr>
          <w:lang w:val="en-US"/>
        </w:rPr>
        <w:t>rgisi (MUFAD), Sayı: 35, 17-24.</w:t>
      </w:r>
    </w:p>
    <w:p w:rsidR="00193884" w:rsidRDefault="00193884" w:rsidP="00193884">
      <w:pPr>
        <w:ind w:left="851" w:hanging="851"/>
        <w:jc w:val="both"/>
        <w:rPr>
          <w:lang w:val="en-US"/>
        </w:rPr>
      </w:pPr>
    </w:p>
    <w:p w:rsidR="00193884" w:rsidRDefault="00193884" w:rsidP="00193884">
      <w:pPr>
        <w:ind w:left="1440" w:hanging="1440"/>
        <w:jc w:val="both"/>
        <w:rPr>
          <w:lang w:val="en-US"/>
        </w:rPr>
      </w:pPr>
      <w:r w:rsidRPr="00FF1D19">
        <w:rPr>
          <w:lang w:val="en-US"/>
        </w:rPr>
        <w:t>Beiner, Stefan; Drobetz, Wolfgang; Schmid, Markus M.</w:t>
      </w:r>
      <w:r>
        <w:rPr>
          <w:lang w:val="en-US"/>
        </w:rPr>
        <w:t xml:space="preserve">; Zimmermann, Heinz (2004) “An </w:t>
      </w:r>
      <w:r w:rsidRPr="00FF1D19">
        <w:rPr>
          <w:lang w:val="en-US"/>
        </w:rPr>
        <w:t xml:space="preserve"> Integrated Framework of Corporat</w:t>
      </w:r>
      <w:r>
        <w:rPr>
          <w:lang w:val="en-US"/>
        </w:rPr>
        <w:t xml:space="preserve">e Governance and Firm Valuation </w:t>
      </w:r>
      <w:r w:rsidRPr="00FF1D19">
        <w:rPr>
          <w:lang w:val="en-US"/>
        </w:rPr>
        <w:t xml:space="preserve">Evidence </w:t>
      </w:r>
      <w:r w:rsidRPr="00FF1D19">
        <w:rPr>
          <w:lang w:val="en-US"/>
        </w:rPr>
        <w:t>from</w:t>
      </w:r>
      <w:r>
        <w:rPr>
          <w:lang w:val="en-US"/>
        </w:rPr>
        <w:t xml:space="preserve"> </w:t>
      </w:r>
      <w:r w:rsidRPr="00FF1D19">
        <w:rPr>
          <w:lang w:val="en-US"/>
        </w:rPr>
        <w:t xml:space="preserve">Switzerland” European Corporate Governance Institute (ECGI) Working Paper Series </w:t>
      </w:r>
      <w:r w:rsidRPr="00FF1D19">
        <w:rPr>
          <w:lang w:val="en-US"/>
        </w:rPr>
        <w:tab/>
        <w:t>in Finance, Work</w:t>
      </w:r>
      <w:r>
        <w:rPr>
          <w:lang w:val="en-US"/>
        </w:rPr>
        <w:t>ing Paper No: 34/2004 January.</w:t>
      </w:r>
    </w:p>
    <w:p w:rsidR="00193884" w:rsidRDefault="00193884" w:rsidP="00193884">
      <w:pPr>
        <w:ind w:left="1440" w:hanging="1440"/>
        <w:jc w:val="both"/>
        <w:rPr>
          <w:lang w:val="en-US"/>
        </w:rPr>
      </w:pPr>
    </w:p>
    <w:p w:rsidR="00193884" w:rsidRDefault="00193884" w:rsidP="00193884">
      <w:pPr>
        <w:ind w:left="1440" w:hanging="1440"/>
        <w:jc w:val="both"/>
        <w:rPr>
          <w:lang w:val="en-US"/>
        </w:rPr>
      </w:pPr>
      <w:r w:rsidRPr="00FF1D19">
        <w:rPr>
          <w:lang w:val="en-US"/>
        </w:rPr>
        <w:t>Chhaochharia, Vidhi and Grinstein, Yaniv (2007) “Corpora</w:t>
      </w:r>
      <w:r>
        <w:rPr>
          <w:lang w:val="en-US"/>
        </w:rPr>
        <w:t xml:space="preserve">te Governance and Firm Value: </w:t>
      </w:r>
      <w:r w:rsidRPr="00FF1D19">
        <w:rPr>
          <w:lang w:val="en-US"/>
        </w:rPr>
        <w:t xml:space="preserve">The Impact of the 2002 Governance Rules” The Journal of Finance Vol. 62, No. 4 </w:t>
      </w:r>
      <w:r w:rsidRPr="00FF1D19">
        <w:rPr>
          <w:lang w:val="en-US"/>
        </w:rPr>
        <w:tab/>
        <w:t>(August 2007), pp 1789-1825.</w:t>
      </w:r>
    </w:p>
    <w:p w:rsidR="00193884" w:rsidRDefault="00193884" w:rsidP="00193884">
      <w:pPr>
        <w:ind w:left="1440" w:hanging="1440"/>
        <w:jc w:val="both"/>
        <w:rPr>
          <w:lang w:val="en-US"/>
        </w:rPr>
      </w:pPr>
    </w:p>
    <w:p w:rsidR="00193884" w:rsidRDefault="00193884" w:rsidP="00193884">
      <w:pPr>
        <w:ind w:left="1440" w:hanging="1440"/>
        <w:jc w:val="both"/>
        <w:rPr>
          <w:lang w:val="en-US"/>
        </w:rPr>
      </w:pPr>
      <w:r w:rsidRPr="00FF1D19">
        <w:rPr>
          <w:lang w:val="en-US"/>
        </w:rPr>
        <w:t>Dinç, Engin and Abdioğlu, Hasan (2009) “İşletmelerd</w:t>
      </w:r>
      <w:r>
        <w:rPr>
          <w:lang w:val="en-US"/>
        </w:rPr>
        <w:t xml:space="preserve">e Kurumsal Yönetim anlayışı ve </w:t>
      </w:r>
      <w:r w:rsidRPr="00FF1D19">
        <w:rPr>
          <w:lang w:val="en-US"/>
        </w:rPr>
        <w:t xml:space="preserve">Muhasebe Bilgi Sistemi İlişkisi: İMKB-100 Şirketleri </w:t>
      </w:r>
      <w:r>
        <w:rPr>
          <w:lang w:val="en-US"/>
        </w:rPr>
        <w:t xml:space="preserve">Üzerine Ampirik Bir Araştırma” </w:t>
      </w:r>
      <w:r w:rsidRPr="00FF1D19">
        <w:rPr>
          <w:lang w:val="en-US"/>
        </w:rPr>
        <w:t>Balıkesir Üniversitesi Sosyal Bilimler Enstitüsü Dergisi</w:t>
      </w:r>
      <w:r>
        <w:rPr>
          <w:lang w:val="en-US"/>
        </w:rPr>
        <w:t xml:space="preserve">, Cilt: 12, Sayı: 21: 157-184. </w:t>
      </w:r>
    </w:p>
    <w:p w:rsidR="00193884" w:rsidRDefault="00193884" w:rsidP="00193884">
      <w:pPr>
        <w:ind w:left="1440" w:hanging="1440"/>
        <w:jc w:val="both"/>
        <w:rPr>
          <w:lang w:val="en-US"/>
        </w:rPr>
      </w:pPr>
    </w:p>
    <w:p w:rsidR="00193884" w:rsidRDefault="00193884" w:rsidP="00193884">
      <w:pPr>
        <w:ind w:left="1440" w:hanging="1440"/>
        <w:jc w:val="both"/>
        <w:rPr>
          <w:lang w:val="en-US"/>
        </w:rPr>
      </w:pPr>
      <w:r w:rsidRPr="00FF1D19">
        <w:rPr>
          <w:bCs/>
          <w:lang w:val="en-US"/>
        </w:rPr>
        <w:t xml:space="preserve">Drobetz, Wolfgang; Schillhofer, Andreas; Zimmermann, Heinz (2003) “Corporate Governance and </w:t>
      </w:r>
      <w:r w:rsidRPr="00FF1D19">
        <w:rPr>
          <w:bCs/>
          <w:lang w:val="en-US"/>
        </w:rPr>
        <w:tab/>
        <w:t xml:space="preserve">Firm Performance: Evidence From Germany” </w:t>
      </w:r>
    </w:p>
    <w:p w:rsidR="00193884" w:rsidRDefault="00193884" w:rsidP="00193884">
      <w:pPr>
        <w:ind w:left="1440" w:hanging="1440"/>
        <w:jc w:val="both"/>
        <w:rPr>
          <w:lang w:val="en-US"/>
        </w:rPr>
      </w:pPr>
    </w:p>
    <w:p w:rsidR="00193884" w:rsidRDefault="00193884" w:rsidP="00193884">
      <w:pPr>
        <w:ind w:left="1440" w:hanging="1440"/>
        <w:jc w:val="both"/>
        <w:rPr>
          <w:lang w:val="en-US"/>
        </w:rPr>
      </w:pPr>
      <w:hyperlink w:history="1">
        <w:r w:rsidRPr="00FF1D19">
          <w:rPr>
            <w:rStyle w:val="Kpr"/>
            <w:lang w:val="en-US"/>
          </w:rPr>
          <w:t>http://www.cofar.uni</w:t>
        </w:r>
        <w:r w:rsidRPr="00FF1D19">
          <w:rPr>
            <w:rStyle w:val="Kpr"/>
            <w:lang w:val="en-US"/>
          </w:rPr>
          <w:tab/>
          <w:t>mainz.de/dgf2003/paper/paper146.pdf</w:t>
        </w:r>
      </w:hyperlink>
      <w:r w:rsidRPr="00FF1D19">
        <w:rPr>
          <w:lang w:val="en-US"/>
        </w:rPr>
        <w:t xml:space="preserve"> Erişim Tarihi: 28.04.2013.</w:t>
      </w:r>
    </w:p>
    <w:p w:rsidR="00193884" w:rsidRDefault="00193884" w:rsidP="00193884">
      <w:pPr>
        <w:ind w:left="1440" w:hanging="1440"/>
        <w:jc w:val="both"/>
        <w:rPr>
          <w:lang w:val="en-US"/>
        </w:rPr>
      </w:pPr>
    </w:p>
    <w:p w:rsidR="00193884" w:rsidRDefault="00193884" w:rsidP="00193884">
      <w:pPr>
        <w:ind w:left="1440" w:hanging="1440"/>
        <w:jc w:val="both"/>
        <w:rPr>
          <w:lang w:val="en-US"/>
        </w:rPr>
      </w:pPr>
      <w:r w:rsidRPr="00FF1D19">
        <w:rPr>
          <w:lang w:val="en-US"/>
        </w:rPr>
        <w:t xml:space="preserve">Gujarati, N. D. (1995), “Basic Econometrics. 3rd Edition”, </w:t>
      </w:r>
      <w:r w:rsidRPr="00FF1D19">
        <w:rPr>
          <w:i/>
          <w:iCs/>
          <w:lang w:val="en-US"/>
        </w:rPr>
        <w:t xml:space="preserve">New York McGraw-Hill, </w:t>
      </w:r>
      <w:r>
        <w:rPr>
          <w:lang w:val="en-US"/>
        </w:rPr>
        <w:t>ISBN 0-07-025214-9.</w:t>
      </w:r>
    </w:p>
    <w:p w:rsidR="00193884" w:rsidRDefault="00193884" w:rsidP="00193884">
      <w:pPr>
        <w:ind w:left="1440" w:hanging="1440"/>
        <w:jc w:val="both"/>
        <w:rPr>
          <w:lang w:val="en-US"/>
        </w:rPr>
      </w:pPr>
    </w:p>
    <w:p w:rsidR="00193884" w:rsidRDefault="00193884" w:rsidP="00193884">
      <w:pPr>
        <w:ind w:left="1440" w:hanging="1440"/>
        <w:jc w:val="both"/>
        <w:rPr>
          <w:lang w:val="en-US"/>
        </w:rPr>
      </w:pPr>
      <w:r w:rsidRPr="00FF1D19">
        <w:rPr>
          <w:lang w:val="en-US"/>
        </w:rPr>
        <w:t xml:space="preserve">Hatunoğlu, Zeynep and Güneş, Nazire (2012) “Kurumsal Yönetim Uygulamalarının Muhasebe Bilgi </w:t>
      </w:r>
      <w:r w:rsidRPr="00FF1D19">
        <w:rPr>
          <w:lang w:val="en-US"/>
        </w:rPr>
        <w:tab/>
        <w:t>Sistemine Etkileri” II. Bölgesel Sorunlar ve Türkiye Sempozyumu, 1-2 Ekim 2012, 238-2</w:t>
      </w:r>
      <w:r>
        <w:rPr>
          <w:lang w:val="en-US"/>
        </w:rPr>
        <w:t>44.</w:t>
      </w:r>
    </w:p>
    <w:p w:rsidR="00193884" w:rsidRDefault="00193884" w:rsidP="00193884">
      <w:pPr>
        <w:ind w:left="1440" w:hanging="1440"/>
        <w:jc w:val="both"/>
        <w:rPr>
          <w:lang w:val="en-US"/>
        </w:rPr>
      </w:pPr>
    </w:p>
    <w:p w:rsidR="00193884" w:rsidRDefault="00193884" w:rsidP="00193884">
      <w:pPr>
        <w:ind w:left="1440" w:hanging="1440"/>
        <w:jc w:val="both"/>
        <w:rPr>
          <w:lang w:val="en-US"/>
        </w:rPr>
      </w:pPr>
      <w:r w:rsidRPr="00FF1D19">
        <w:rPr>
          <w:lang w:val="en-US"/>
        </w:rPr>
        <w:t xml:space="preserve">Javed, Attiya Y. and Iqbal, Robina (2007) “Relationship Between Corporate Governance Indicators </w:t>
      </w:r>
      <w:r w:rsidRPr="00FF1D19">
        <w:rPr>
          <w:lang w:val="en-US"/>
        </w:rPr>
        <w:tab/>
        <w:t xml:space="preserve">and Firm Value: A Case Study of Karachi Stock Exchange” Munich Personal RePEc Archive </w:t>
      </w:r>
      <w:r w:rsidRPr="00FF1D19">
        <w:rPr>
          <w:lang w:val="en-US"/>
        </w:rPr>
        <w:tab/>
        <w:t xml:space="preserve">(MPRA), Paper No: 2225, </w:t>
      </w:r>
      <w:hyperlink r:id="rId9" w:history="1">
        <w:r w:rsidRPr="00FF1D19">
          <w:rPr>
            <w:rStyle w:val="Kpr"/>
            <w:lang w:val="en-US"/>
          </w:rPr>
          <w:t>http://mpra.ub.uni-muenchen.de/2225/</w:t>
        </w:r>
      </w:hyperlink>
      <w:r w:rsidRPr="00FF1D19">
        <w:rPr>
          <w:color w:val="003380"/>
          <w:lang w:val="en-US"/>
        </w:rPr>
        <w:t xml:space="preserve">  </w:t>
      </w:r>
      <w:r>
        <w:rPr>
          <w:lang w:val="en-US"/>
        </w:rPr>
        <w:t xml:space="preserve">Erişim Tarihi:  </w:t>
      </w:r>
      <w:r>
        <w:rPr>
          <w:lang w:val="en-US"/>
        </w:rPr>
        <w:tab/>
        <w:t>26.04.2013</w:t>
      </w:r>
    </w:p>
    <w:p w:rsidR="00193884" w:rsidRDefault="00193884" w:rsidP="00193884">
      <w:pPr>
        <w:ind w:left="1440" w:hanging="1440"/>
        <w:jc w:val="both"/>
        <w:rPr>
          <w:lang w:val="en-US"/>
        </w:rPr>
      </w:pPr>
    </w:p>
    <w:p w:rsidR="00193884" w:rsidRDefault="00193884" w:rsidP="00193884">
      <w:pPr>
        <w:ind w:left="1440" w:hanging="1440"/>
        <w:jc w:val="both"/>
        <w:rPr>
          <w:lang w:val="en-US"/>
        </w:rPr>
      </w:pPr>
      <w:r w:rsidRPr="00FF1D19">
        <w:rPr>
          <w:lang w:val="en-US"/>
        </w:rPr>
        <w:t xml:space="preserve">Kalaycı, Şeref (2010), “SPSS Uygulamalı Çok Değişkenli İstatistik Teknikleri”, 5. Baskı, </w:t>
      </w:r>
      <w:r w:rsidRPr="00FF1D19">
        <w:rPr>
          <w:rFonts w:eastAsia="TimesNewRoman,Italic"/>
          <w:i/>
          <w:iCs/>
          <w:lang w:val="en-US"/>
        </w:rPr>
        <w:t>Asil Yayınevi</w:t>
      </w:r>
      <w:r>
        <w:rPr>
          <w:lang w:val="en-US"/>
        </w:rPr>
        <w:t>, Ankara</w:t>
      </w:r>
    </w:p>
    <w:p w:rsidR="00193884" w:rsidRDefault="00193884" w:rsidP="00193884">
      <w:pPr>
        <w:ind w:left="1440" w:hanging="1440"/>
        <w:jc w:val="both"/>
        <w:rPr>
          <w:lang w:val="en-US"/>
        </w:rPr>
      </w:pPr>
    </w:p>
    <w:p w:rsidR="00193884" w:rsidRDefault="00193884" w:rsidP="00193884">
      <w:pPr>
        <w:ind w:left="1440" w:hanging="1440"/>
        <w:jc w:val="both"/>
        <w:rPr>
          <w:lang w:val="en-US"/>
        </w:rPr>
      </w:pPr>
      <w:r w:rsidRPr="00FF1D19">
        <w:rPr>
          <w:bCs/>
          <w:lang w:val="en-US"/>
        </w:rPr>
        <w:t>Karamustafa, Osman; Varıcı, İdris and Er, Bünyamin (20</w:t>
      </w:r>
      <w:r>
        <w:rPr>
          <w:bCs/>
          <w:lang w:val="en-US"/>
        </w:rPr>
        <w:t xml:space="preserve">09) “Kurumsal Yönetim ve Firma </w:t>
      </w:r>
      <w:r w:rsidRPr="00FF1D19">
        <w:rPr>
          <w:bCs/>
          <w:lang w:val="en-US"/>
        </w:rPr>
        <w:t>Performansı: İMKB Kurumsal Yönetim Endeksi Kaps</w:t>
      </w:r>
      <w:r>
        <w:rPr>
          <w:bCs/>
          <w:lang w:val="en-US"/>
        </w:rPr>
        <w:t xml:space="preserve">amındaki Üzerine Bir Uygulama” </w:t>
      </w:r>
      <w:r w:rsidRPr="00FF1D19">
        <w:rPr>
          <w:bCs/>
          <w:lang w:val="en-US"/>
        </w:rPr>
        <w:t>Kocaeli Sosyal bilimler Enstitüsü Dergisi (17) /1: 100-119.</w:t>
      </w:r>
    </w:p>
    <w:p w:rsidR="00193884" w:rsidRDefault="00193884" w:rsidP="00193884">
      <w:pPr>
        <w:ind w:left="1440" w:hanging="1440"/>
        <w:jc w:val="both"/>
        <w:rPr>
          <w:lang w:val="en-US"/>
        </w:rPr>
      </w:pPr>
    </w:p>
    <w:p w:rsidR="00193884" w:rsidRDefault="00193884" w:rsidP="00193884">
      <w:pPr>
        <w:ind w:left="1440" w:hanging="1440"/>
        <w:jc w:val="both"/>
        <w:rPr>
          <w:lang w:val="en-US"/>
        </w:rPr>
      </w:pPr>
      <w:r w:rsidRPr="00FF1D19">
        <w:rPr>
          <w:lang w:val="en-US"/>
        </w:rPr>
        <w:lastRenderedPageBreak/>
        <w:t xml:space="preserve">Kula, Veysel (2006) “Kurumsal Yönetim, Hissedarların Korunması Uygulamarı ve Türkiye Örneği” </w:t>
      </w:r>
      <w:r w:rsidRPr="00FF1D19">
        <w:rPr>
          <w:lang w:val="en-US"/>
        </w:rPr>
        <w:tab/>
        <w:t>Papatya Yayıncılık, İstanbul.</w:t>
      </w:r>
    </w:p>
    <w:p w:rsidR="00193884" w:rsidRDefault="00193884" w:rsidP="00193884">
      <w:pPr>
        <w:ind w:left="1440" w:hanging="1440"/>
        <w:jc w:val="both"/>
        <w:rPr>
          <w:lang w:val="en-US"/>
        </w:rPr>
      </w:pPr>
    </w:p>
    <w:p w:rsidR="00193884" w:rsidRDefault="00193884" w:rsidP="00193884">
      <w:pPr>
        <w:ind w:left="1440" w:hanging="1440"/>
        <w:jc w:val="both"/>
        <w:rPr>
          <w:lang w:val="en-US"/>
        </w:rPr>
      </w:pPr>
      <w:r w:rsidRPr="00FF1D19">
        <w:rPr>
          <w:lang w:val="en-US"/>
        </w:rPr>
        <w:t>Maher, Maria and Anderson, Thomas (1999) “Corpora</w:t>
      </w:r>
      <w:r>
        <w:rPr>
          <w:lang w:val="en-US"/>
        </w:rPr>
        <w:t xml:space="preserve">te Governance: Effects on Firm </w:t>
      </w:r>
      <w:r w:rsidRPr="00FF1D19">
        <w:rPr>
          <w:lang w:val="en-US"/>
        </w:rPr>
        <w:t>Performance and Economic Growth”</w:t>
      </w:r>
      <w:r w:rsidRPr="00FF1D19">
        <w:rPr>
          <w:bCs/>
          <w:lang w:val="en-US"/>
        </w:rPr>
        <w:t xml:space="preserve"> Organisation for Economic Co-Operation and </w:t>
      </w:r>
      <w:r w:rsidRPr="00FF1D19">
        <w:rPr>
          <w:bCs/>
          <w:lang w:val="en-US"/>
        </w:rPr>
        <w:tab/>
        <w:t>Development (OECD).</w:t>
      </w:r>
    </w:p>
    <w:p w:rsidR="00193884" w:rsidRDefault="00193884" w:rsidP="00193884">
      <w:pPr>
        <w:ind w:left="1440" w:hanging="1440"/>
        <w:jc w:val="both"/>
        <w:rPr>
          <w:lang w:val="en-US"/>
        </w:rPr>
      </w:pPr>
    </w:p>
    <w:p w:rsidR="00193884" w:rsidRDefault="00193884" w:rsidP="00193884">
      <w:pPr>
        <w:ind w:left="1440" w:hanging="1440"/>
        <w:jc w:val="both"/>
        <w:rPr>
          <w:lang w:val="en-US"/>
        </w:rPr>
      </w:pPr>
      <w:r w:rsidRPr="00FF1D19">
        <w:rPr>
          <w:bCs/>
          <w:lang w:val="en-US"/>
        </w:rPr>
        <w:t xml:space="preserve">Najjar, Naser (2012) “The Impact of Corporate Governance on the Insurance Firm’s Performance in </w:t>
      </w:r>
      <w:r w:rsidRPr="00FF1D19">
        <w:rPr>
          <w:bCs/>
          <w:lang w:val="en-US"/>
        </w:rPr>
        <w:tab/>
        <w:t xml:space="preserve">Bahrain” International Journal of Learning &amp; Development, Vol. 2, No. 2, 1-17. </w:t>
      </w:r>
    </w:p>
    <w:p w:rsidR="00193884" w:rsidRDefault="00193884" w:rsidP="00193884">
      <w:pPr>
        <w:ind w:left="1440" w:hanging="1440"/>
        <w:jc w:val="both"/>
        <w:rPr>
          <w:lang w:val="en-US"/>
        </w:rPr>
      </w:pPr>
    </w:p>
    <w:p w:rsidR="00193884" w:rsidRDefault="00193884" w:rsidP="00193884">
      <w:pPr>
        <w:ind w:left="1440" w:hanging="1440"/>
        <w:jc w:val="both"/>
        <w:rPr>
          <w:lang w:val="en-US"/>
        </w:rPr>
      </w:pPr>
      <w:r w:rsidRPr="00FF1D19">
        <w:rPr>
          <w:lang w:val="en-US"/>
        </w:rPr>
        <w:t xml:space="preserve">Pamukçu, Fatma (2011) “Finansal Raporlama ile Kamuyu Aydınlatma </w:t>
      </w:r>
      <w:r>
        <w:rPr>
          <w:lang w:val="en-US"/>
        </w:rPr>
        <w:t xml:space="preserve">ve Şeffaflıkta </w:t>
      </w:r>
      <w:r w:rsidRPr="00FF1D19">
        <w:rPr>
          <w:lang w:val="en-US"/>
        </w:rPr>
        <w:t xml:space="preserve">Kurumsal Yönetimin Önemi” </w:t>
      </w:r>
      <w:r w:rsidRPr="00FF1D19">
        <w:rPr>
          <w:i/>
          <w:lang w:val="en-US"/>
        </w:rPr>
        <w:t xml:space="preserve">Muhasebe ve Finansman Dergisi, </w:t>
      </w:r>
      <w:r w:rsidRPr="00FF1D19">
        <w:rPr>
          <w:lang w:val="en-US"/>
        </w:rPr>
        <w:t>Nisan 2011: 133-148.</w:t>
      </w:r>
    </w:p>
    <w:p w:rsidR="00193884" w:rsidRDefault="00193884" w:rsidP="00193884">
      <w:pPr>
        <w:ind w:left="1440" w:hanging="1440"/>
        <w:jc w:val="both"/>
        <w:rPr>
          <w:lang w:val="en-US"/>
        </w:rPr>
      </w:pPr>
    </w:p>
    <w:p w:rsidR="00193884" w:rsidRDefault="00193884" w:rsidP="00193884">
      <w:pPr>
        <w:ind w:left="1440" w:hanging="1440"/>
        <w:jc w:val="both"/>
        <w:rPr>
          <w:lang w:val="en-US"/>
        </w:rPr>
      </w:pPr>
      <w:r w:rsidRPr="00FF1D19">
        <w:rPr>
          <w:lang w:val="en-US"/>
        </w:rPr>
        <w:t>Shleifer, Andrei and Vishny, Robert W. (1997) “A Surve</w:t>
      </w:r>
      <w:r>
        <w:rPr>
          <w:lang w:val="en-US"/>
        </w:rPr>
        <w:t xml:space="preserve">y of Corporate Governance” The </w:t>
      </w:r>
      <w:r w:rsidRPr="00FF1D19">
        <w:rPr>
          <w:lang w:val="en-US"/>
        </w:rPr>
        <w:t>Journa</w:t>
      </w:r>
      <w:r>
        <w:rPr>
          <w:lang w:val="en-US"/>
        </w:rPr>
        <w:t>l of Finance, Vol. 52, 737-783.</w:t>
      </w:r>
    </w:p>
    <w:p w:rsidR="00193884" w:rsidRDefault="00193884" w:rsidP="00193884">
      <w:pPr>
        <w:ind w:left="1440" w:hanging="1440"/>
        <w:jc w:val="both"/>
        <w:rPr>
          <w:lang w:val="en-US"/>
        </w:rPr>
      </w:pPr>
    </w:p>
    <w:p w:rsidR="00193884" w:rsidRDefault="00193884" w:rsidP="00193884">
      <w:pPr>
        <w:ind w:left="1440" w:hanging="1440"/>
        <w:jc w:val="both"/>
        <w:rPr>
          <w:lang w:val="en-US"/>
        </w:rPr>
      </w:pPr>
      <w:r w:rsidRPr="00FF1D19">
        <w:rPr>
          <w:lang w:val="en-US"/>
        </w:rPr>
        <w:t xml:space="preserve">Toraman, Cengiz; Abdioğlu, Hasan (2008) “İMKB Kurumsal Yönetim Endeksinde Yer Alan </w:t>
      </w:r>
      <w:r w:rsidRPr="00FF1D19">
        <w:rPr>
          <w:lang w:val="en-US"/>
        </w:rPr>
        <w:tab/>
        <w:t xml:space="preserve">Şirketlerin Kurumsal Yönetim Uygulamalarında Zayıf ve Güçlü Yanları: </w:t>
      </w:r>
      <w:r w:rsidRPr="00FF1D19">
        <w:rPr>
          <w:lang w:val="en-US"/>
        </w:rPr>
        <w:tab/>
        <w:t>Derecelendirme Raporlarının İncelenmesi” Muhasebe ve Finansman Derg</w:t>
      </w:r>
      <w:r>
        <w:rPr>
          <w:lang w:val="en-US"/>
        </w:rPr>
        <w:t xml:space="preserve">isi </w:t>
      </w:r>
      <w:r>
        <w:rPr>
          <w:lang w:val="en-US"/>
        </w:rPr>
        <w:tab/>
        <w:t>(MUFAD), Sayı: 40, 96-109.</w:t>
      </w:r>
    </w:p>
    <w:p w:rsidR="00193884" w:rsidRDefault="00193884" w:rsidP="00193884">
      <w:pPr>
        <w:ind w:left="1440" w:hanging="1440"/>
        <w:jc w:val="both"/>
        <w:rPr>
          <w:lang w:val="en-US"/>
        </w:rPr>
      </w:pPr>
    </w:p>
    <w:p w:rsidR="00193884" w:rsidRPr="00FF1D19" w:rsidRDefault="00193884" w:rsidP="00193884">
      <w:pPr>
        <w:ind w:left="1440" w:hanging="1440"/>
        <w:jc w:val="both"/>
        <w:rPr>
          <w:lang w:val="en-US"/>
        </w:rPr>
      </w:pPr>
      <w:r w:rsidRPr="00FF1D19">
        <w:rPr>
          <w:lang w:val="en-US"/>
        </w:rPr>
        <w:t>Wu, Xueping and Xu, Lily Li (2005) “The Value Informat</w:t>
      </w:r>
      <w:r>
        <w:rPr>
          <w:lang w:val="en-US"/>
        </w:rPr>
        <w:t xml:space="preserve">ion of Financing Decisions and </w:t>
      </w:r>
      <w:r w:rsidRPr="00FF1D19">
        <w:rPr>
          <w:lang w:val="en-US"/>
        </w:rPr>
        <w:t xml:space="preserve">Corporate Governance During and After The Japanese Deregulation” The Journal of </w:t>
      </w:r>
      <w:r w:rsidRPr="00FF1D19">
        <w:rPr>
          <w:lang w:val="en-US"/>
        </w:rPr>
        <w:tab/>
        <w:t xml:space="preserve">Business, Vol. 78, No. 1 (January 2005), pp. 243-280. </w:t>
      </w:r>
    </w:p>
    <w:p w:rsidR="005C4FF0" w:rsidRPr="001E5742" w:rsidRDefault="005C4FF0" w:rsidP="00193884">
      <w:pPr>
        <w:autoSpaceDE w:val="0"/>
        <w:autoSpaceDN w:val="0"/>
        <w:adjustRightInd w:val="0"/>
        <w:ind w:left="851" w:hanging="851"/>
        <w:jc w:val="both"/>
        <w:rPr>
          <w:noProof/>
          <w:lang w:val="en-US"/>
        </w:rPr>
      </w:pPr>
    </w:p>
    <w:sectPr w:rsidR="005C4FF0" w:rsidRPr="001E5742" w:rsidSect="00AA63F6">
      <w:headerReference w:type="default" r:id="rId10"/>
      <w:footerReference w:type="default" r:id="rId11"/>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E08" w:rsidRDefault="008C6E08" w:rsidP="00446838">
      <w:r>
        <w:separator/>
      </w:r>
    </w:p>
  </w:endnote>
  <w:endnote w:type="continuationSeparator" w:id="0">
    <w:p w:rsidR="008C6E08" w:rsidRDefault="008C6E08"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7" w:usb1="080E0000" w:usb2="00000010" w:usb3="00000000" w:csb0="00040013"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ItalicMT">
    <w:altName w:val="Arial Unicode MS"/>
    <w:panose1 w:val="00000000000000000000"/>
    <w:charset w:val="80"/>
    <w:family w:val="auto"/>
    <w:notTrueType/>
    <w:pitch w:val="default"/>
    <w:sig w:usb0="00000003" w:usb1="08070000" w:usb2="00000010" w:usb3="00000000" w:csb0="00020001" w:csb1="00000000"/>
  </w:font>
  <w:font w:name="TimesNewRoman,Bold">
    <w:altName w:val="Times New Roman"/>
    <w:panose1 w:val="00000000000000000000"/>
    <w:charset w:val="A2"/>
    <w:family w:val="auto"/>
    <w:notTrueType/>
    <w:pitch w:val="default"/>
    <w:sig w:usb0="00000005" w:usb1="00000000" w:usb2="00000000" w:usb3="00000000" w:csb0="00000010" w:csb1="00000000"/>
  </w:font>
  <w:font w:name="Times-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193884">
        <w:pPr>
          <w:pStyle w:val="Altbilgi"/>
          <w:jc w:val="center"/>
        </w:pPr>
        <w:r>
          <w:rPr>
            <w:noProof/>
            <w:lang w:val="en-US" w:eastAsia="en-US"/>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193884">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E08" w:rsidRDefault="008C6E08" w:rsidP="00446838">
      <w:r>
        <w:separator/>
      </w:r>
    </w:p>
  </w:footnote>
  <w:footnote w:type="continuationSeparator" w:id="0">
    <w:p w:rsidR="008C6E08" w:rsidRDefault="008C6E08" w:rsidP="00446838">
      <w:r>
        <w:continuationSeparator/>
      </w:r>
    </w:p>
  </w:footnote>
  <w:footnote w:id="1">
    <w:p w:rsidR="001E5742" w:rsidRDefault="001E5742" w:rsidP="001E5742">
      <w:pPr>
        <w:pStyle w:val="DipnotMetni"/>
      </w:pPr>
      <w:r>
        <w:rPr>
          <w:rStyle w:val="DipnotBavurusu"/>
        </w:rPr>
        <w:footnoteRef/>
      </w:r>
      <w:r>
        <w:t>www.borsaistanbul.com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93884"/>
    <w:rsid w:val="001C55BF"/>
    <w:rsid w:val="001C6116"/>
    <w:rsid w:val="001D3EBF"/>
    <w:rsid w:val="001E5742"/>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8C6E08"/>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styleId="Vurgu">
    <w:name w:val="Emphasis"/>
    <w:basedOn w:val="VarsaylanParagrafYazTipi"/>
    <w:qFormat/>
    <w:rsid w:val="001E5742"/>
    <w:rPr>
      <w:i/>
      <w:iCs/>
    </w:rPr>
  </w:style>
  <w:style w:type="paragraph" w:styleId="DipnotMetni">
    <w:name w:val="footnote text"/>
    <w:basedOn w:val="Normal"/>
    <w:link w:val="DipnotMetniChar"/>
    <w:uiPriority w:val="99"/>
    <w:semiHidden/>
    <w:rsid w:val="001E5742"/>
    <w:rPr>
      <w:rFonts w:ascii="Calibri" w:hAnsi="Calibri"/>
      <w:snapToGrid w:val="0"/>
      <w:sz w:val="20"/>
      <w:szCs w:val="20"/>
      <w:lang w:val="en-US" w:eastAsia="en-GB"/>
    </w:rPr>
  </w:style>
  <w:style w:type="character" w:customStyle="1" w:styleId="DipnotMetniChar">
    <w:name w:val="Dipnot Metni Char"/>
    <w:basedOn w:val="VarsaylanParagrafYazTipi"/>
    <w:link w:val="DipnotMetni"/>
    <w:uiPriority w:val="99"/>
    <w:semiHidden/>
    <w:rsid w:val="001E5742"/>
    <w:rPr>
      <w:rFonts w:ascii="Calibri" w:eastAsia="Times New Roman" w:hAnsi="Calibri" w:cs="Times New Roman"/>
      <w:snapToGrid w:val="0"/>
      <w:sz w:val="20"/>
      <w:szCs w:val="20"/>
      <w:lang w:val="en-US" w:eastAsia="en-GB"/>
    </w:rPr>
  </w:style>
  <w:style w:type="character" w:styleId="DipnotBavurusu">
    <w:name w:val="footnote reference"/>
    <w:uiPriority w:val="99"/>
    <w:semiHidden/>
    <w:rsid w:val="001E5742"/>
    <w:rPr>
      <w:rFonts w:cs="Times New Roman"/>
      <w:vertAlign w:val="superscript"/>
    </w:rPr>
  </w:style>
  <w:style w:type="table" w:styleId="AkGlgeleme">
    <w:name w:val="Light Shading"/>
    <w:basedOn w:val="NormalTablo"/>
    <w:uiPriority w:val="60"/>
    <w:rsid w:val="001E574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styleId="Vurgu">
    <w:name w:val="Emphasis"/>
    <w:basedOn w:val="VarsaylanParagrafYazTipi"/>
    <w:qFormat/>
    <w:rsid w:val="001E5742"/>
    <w:rPr>
      <w:i/>
      <w:iCs/>
    </w:rPr>
  </w:style>
  <w:style w:type="paragraph" w:styleId="DipnotMetni">
    <w:name w:val="footnote text"/>
    <w:basedOn w:val="Normal"/>
    <w:link w:val="DipnotMetniChar"/>
    <w:uiPriority w:val="99"/>
    <w:semiHidden/>
    <w:rsid w:val="001E5742"/>
    <w:rPr>
      <w:rFonts w:ascii="Calibri" w:hAnsi="Calibri"/>
      <w:snapToGrid w:val="0"/>
      <w:sz w:val="20"/>
      <w:szCs w:val="20"/>
      <w:lang w:val="en-US" w:eastAsia="en-GB"/>
    </w:rPr>
  </w:style>
  <w:style w:type="character" w:customStyle="1" w:styleId="DipnotMetniChar">
    <w:name w:val="Dipnot Metni Char"/>
    <w:basedOn w:val="VarsaylanParagrafYazTipi"/>
    <w:link w:val="DipnotMetni"/>
    <w:uiPriority w:val="99"/>
    <w:semiHidden/>
    <w:rsid w:val="001E5742"/>
    <w:rPr>
      <w:rFonts w:ascii="Calibri" w:eastAsia="Times New Roman" w:hAnsi="Calibri" w:cs="Times New Roman"/>
      <w:snapToGrid w:val="0"/>
      <w:sz w:val="20"/>
      <w:szCs w:val="20"/>
      <w:lang w:val="en-US" w:eastAsia="en-GB"/>
    </w:rPr>
  </w:style>
  <w:style w:type="character" w:styleId="DipnotBavurusu">
    <w:name w:val="footnote reference"/>
    <w:uiPriority w:val="99"/>
    <w:semiHidden/>
    <w:rsid w:val="001E5742"/>
    <w:rPr>
      <w:rFonts w:cs="Times New Roman"/>
      <w:vertAlign w:val="superscript"/>
    </w:rPr>
  </w:style>
  <w:style w:type="table" w:styleId="AkGlgeleme">
    <w:name w:val="Light Shading"/>
    <w:basedOn w:val="NormalTablo"/>
    <w:uiPriority w:val="60"/>
    <w:rsid w:val="001E574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geleyli@yalova.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sutdogan@aku.edu.t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pra.ub.uni-muenchen.de/222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3040</Words>
  <Characters>17330</Characters>
  <Application>Microsoft Office Word</Application>
  <DocSecurity>0</DocSecurity>
  <Lines>144</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20330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2</cp:revision>
  <dcterms:created xsi:type="dcterms:W3CDTF">2013-07-09T13:36:00Z</dcterms:created>
  <dcterms:modified xsi:type="dcterms:W3CDTF">2013-07-09T13:36:00Z</dcterms:modified>
</cp:coreProperties>
</file>