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68636F" w:rsidRDefault="00391C9A" w:rsidP="00415616">
      <w:pPr>
        <w:spacing w:after="0" w:line="240" w:lineRule="auto"/>
        <w:jc w:val="center"/>
        <w:rPr>
          <w:rFonts w:ascii="Adobe Garamond Pro" w:hAnsi="Adobe Garamond Pro" w:cs="Times New Roman"/>
          <w:b/>
          <w:sz w:val="28"/>
          <w:szCs w:val="28"/>
        </w:rPr>
      </w:pPr>
    </w:p>
    <w:p w:rsidR="004F0F91" w:rsidRPr="004F0F91" w:rsidRDefault="004F0F91" w:rsidP="004F0F91">
      <w:pPr>
        <w:spacing w:after="0" w:line="240" w:lineRule="auto"/>
        <w:jc w:val="center"/>
        <w:rPr>
          <w:rFonts w:ascii="Adobe Garamond Pro" w:hAnsi="Adobe Garamond Pro" w:cs="Times New Roman"/>
          <w:b/>
          <w:sz w:val="28"/>
          <w:szCs w:val="28"/>
        </w:rPr>
      </w:pPr>
      <w:r w:rsidRPr="004F0F91">
        <w:rPr>
          <w:rFonts w:ascii="Adobe Garamond Pro" w:hAnsi="Adobe Garamond Pro" w:cs="Times New Roman"/>
          <w:b/>
          <w:sz w:val="28"/>
          <w:szCs w:val="28"/>
        </w:rPr>
        <w:t>Modernizacija i usklađivanje prava društava u Republici Hrvatskoj sa pravnom stečevinom Europske unije i načelo transparentnosti podataka</w:t>
      </w:r>
    </w:p>
    <w:p w:rsidR="0068636F" w:rsidRPr="0068636F" w:rsidRDefault="0068636F" w:rsidP="004F0F91">
      <w:pPr>
        <w:autoSpaceDE w:val="0"/>
        <w:autoSpaceDN w:val="0"/>
        <w:adjustRightInd w:val="0"/>
        <w:spacing w:after="0" w:line="240" w:lineRule="auto"/>
        <w:jc w:val="center"/>
        <w:rPr>
          <w:rFonts w:ascii="Adobe Garamond Pro" w:hAnsi="Adobe Garamond Pro"/>
          <w:b/>
        </w:rPr>
      </w:pPr>
    </w:p>
    <w:p w:rsidR="00BD0D1C" w:rsidRPr="0068636F" w:rsidRDefault="004F0F91" w:rsidP="002D2430">
      <w:pPr>
        <w:autoSpaceDE w:val="0"/>
        <w:autoSpaceDN w:val="0"/>
        <w:adjustRightInd w:val="0"/>
        <w:spacing w:after="0" w:line="240" w:lineRule="auto"/>
        <w:jc w:val="center"/>
        <w:rPr>
          <w:rFonts w:ascii="Adobe Garamond Pro" w:eastAsia="Times New Roman" w:hAnsi="Adobe Garamond Pro" w:cs="Garamond"/>
          <w:b/>
          <w:lang w:val="bs-Latn-BA"/>
        </w:rPr>
      </w:pPr>
      <w:r>
        <w:rPr>
          <w:rFonts w:ascii="Adobe Garamond Pro" w:hAnsi="Adobe Garamond Pro"/>
          <w:b/>
        </w:rPr>
        <w:t>Prof</w:t>
      </w:r>
      <w:r w:rsidR="0068636F" w:rsidRPr="0068636F">
        <w:rPr>
          <w:rFonts w:ascii="Adobe Garamond Pro" w:hAnsi="Adobe Garamond Pro"/>
          <w:b/>
        </w:rPr>
        <w:t xml:space="preserve">. dr. sc. </w:t>
      </w:r>
      <w:r>
        <w:rPr>
          <w:rFonts w:ascii="Adobe Garamond Pro" w:hAnsi="Adobe Garamond Pro"/>
          <w:b/>
        </w:rPr>
        <w:t>Hana Horak</w:t>
      </w:r>
    </w:p>
    <w:p w:rsidR="00DA7331" w:rsidRDefault="004F0F91" w:rsidP="00DA7331">
      <w:pPr>
        <w:spacing w:after="0" w:line="240" w:lineRule="auto"/>
        <w:jc w:val="center"/>
        <w:rPr>
          <w:rFonts w:ascii="Adobe Garamond Pro" w:hAnsi="Adobe Garamond Pro"/>
        </w:rPr>
      </w:pPr>
      <w:r>
        <w:rPr>
          <w:rFonts w:ascii="Adobe Garamond Pro" w:hAnsi="Adobe Garamond Pro"/>
        </w:rPr>
        <w:t>Ekonomski fakultet Sveučilišta u Zagrebu</w:t>
      </w:r>
    </w:p>
    <w:p w:rsidR="004F0F91" w:rsidRDefault="004F0F91" w:rsidP="00DA7331">
      <w:pPr>
        <w:spacing w:after="0" w:line="240" w:lineRule="auto"/>
        <w:jc w:val="center"/>
        <w:rPr>
          <w:rFonts w:ascii="Adobe Garamond Pro" w:hAnsi="Adobe Garamond Pro"/>
          <w:i/>
        </w:rPr>
      </w:pPr>
      <w:r w:rsidRPr="004F0F91">
        <w:rPr>
          <w:rFonts w:ascii="Adobe Garamond Pro" w:hAnsi="Adobe Garamond Pro"/>
          <w:i/>
        </w:rPr>
        <w:t>E-mail: hhorak@efzg.hr</w:t>
      </w:r>
    </w:p>
    <w:p w:rsidR="004F0F91" w:rsidRDefault="004F0F91" w:rsidP="00DA7331">
      <w:pPr>
        <w:spacing w:after="0" w:line="240" w:lineRule="auto"/>
        <w:jc w:val="center"/>
        <w:rPr>
          <w:rFonts w:ascii="Adobe Garamond Pro" w:hAnsi="Adobe Garamond Pro"/>
          <w:i/>
        </w:rPr>
      </w:pPr>
    </w:p>
    <w:p w:rsidR="004F0F91" w:rsidRPr="0068636F" w:rsidRDefault="004F0F91" w:rsidP="004F0F91">
      <w:pPr>
        <w:autoSpaceDE w:val="0"/>
        <w:autoSpaceDN w:val="0"/>
        <w:adjustRightInd w:val="0"/>
        <w:spacing w:after="0" w:line="240" w:lineRule="auto"/>
        <w:jc w:val="center"/>
        <w:rPr>
          <w:rFonts w:ascii="Adobe Garamond Pro" w:eastAsia="Times New Roman" w:hAnsi="Adobe Garamond Pro" w:cs="Garamond"/>
          <w:b/>
          <w:lang w:val="bs-Latn-BA"/>
        </w:rPr>
      </w:pPr>
      <w:r>
        <w:rPr>
          <w:rFonts w:ascii="Adobe Garamond Pro" w:hAnsi="Adobe Garamond Pro"/>
          <w:b/>
        </w:rPr>
        <w:t>D</w:t>
      </w:r>
      <w:r w:rsidRPr="0068636F">
        <w:rPr>
          <w:rFonts w:ascii="Adobe Garamond Pro" w:hAnsi="Adobe Garamond Pro"/>
          <w:b/>
        </w:rPr>
        <w:t xml:space="preserve">r. sc. </w:t>
      </w:r>
      <w:r>
        <w:rPr>
          <w:rFonts w:ascii="Adobe Garamond Pro" w:hAnsi="Adobe Garamond Pro"/>
          <w:b/>
        </w:rPr>
        <w:t>Kosjenka Dumančić</w:t>
      </w:r>
    </w:p>
    <w:p w:rsidR="004F0F91" w:rsidRDefault="004F0F91" w:rsidP="004F0F91">
      <w:pPr>
        <w:spacing w:after="0" w:line="240" w:lineRule="auto"/>
        <w:jc w:val="center"/>
        <w:rPr>
          <w:rFonts w:ascii="Adobe Garamond Pro" w:hAnsi="Adobe Garamond Pro"/>
        </w:rPr>
      </w:pPr>
      <w:r>
        <w:rPr>
          <w:rFonts w:ascii="Adobe Garamond Pro" w:hAnsi="Adobe Garamond Pro"/>
        </w:rPr>
        <w:t>Ekonomski fakultet Sveučilišta u Zagrebu</w:t>
      </w:r>
    </w:p>
    <w:p w:rsidR="004F0F91" w:rsidRPr="004F0F91" w:rsidRDefault="004F0F91" w:rsidP="004F0F91">
      <w:pPr>
        <w:spacing w:after="0" w:line="240" w:lineRule="auto"/>
        <w:jc w:val="center"/>
        <w:rPr>
          <w:rFonts w:ascii="Adobe Garamond Pro" w:hAnsi="Adobe Garamond Pro"/>
          <w:i/>
        </w:rPr>
      </w:pPr>
      <w:r w:rsidRPr="004F0F91">
        <w:rPr>
          <w:rFonts w:ascii="Adobe Garamond Pro" w:hAnsi="Adobe Garamond Pro"/>
          <w:i/>
        </w:rPr>
        <w:t xml:space="preserve">E-mail: </w:t>
      </w:r>
      <w:r>
        <w:rPr>
          <w:rFonts w:ascii="Adobe Garamond Pro" w:hAnsi="Adobe Garamond Pro"/>
          <w:i/>
        </w:rPr>
        <w:t>kdumancic</w:t>
      </w:r>
      <w:r w:rsidRPr="004F0F91">
        <w:rPr>
          <w:rFonts w:ascii="Adobe Garamond Pro" w:hAnsi="Adobe Garamond Pro"/>
          <w:i/>
        </w:rPr>
        <w:t>@efzg.hr</w:t>
      </w:r>
    </w:p>
    <w:p w:rsidR="004F0F91" w:rsidRDefault="004F0F91" w:rsidP="00DA7331">
      <w:pPr>
        <w:spacing w:after="0" w:line="240" w:lineRule="auto"/>
        <w:jc w:val="center"/>
        <w:rPr>
          <w:rFonts w:ascii="Adobe Garamond Pro" w:hAnsi="Adobe Garamond Pro"/>
          <w:i/>
        </w:rPr>
      </w:pPr>
    </w:p>
    <w:p w:rsidR="004F0F91" w:rsidRPr="0068636F" w:rsidRDefault="004F0F91" w:rsidP="004F0F91">
      <w:pPr>
        <w:autoSpaceDE w:val="0"/>
        <w:autoSpaceDN w:val="0"/>
        <w:adjustRightInd w:val="0"/>
        <w:spacing w:after="0" w:line="240" w:lineRule="auto"/>
        <w:jc w:val="center"/>
        <w:rPr>
          <w:rFonts w:ascii="Adobe Garamond Pro" w:eastAsia="Times New Roman" w:hAnsi="Adobe Garamond Pro" w:cs="Garamond"/>
          <w:b/>
          <w:lang w:val="bs-Latn-BA"/>
        </w:rPr>
      </w:pPr>
      <w:r>
        <w:rPr>
          <w:rFonts w:ascii="Adobe Garamond Pro" w:hAnsi="Adobe Garamond Pro"/>
          <w:b/>
        </w:rPr>
        <w:t>Krist</w:t>
      </w:r>
      <w:r w:rsidR="00193ADC">
        <w:rPr>
          <w:rFonts w:ascii="Adobe Garamond Pro" w:hAnsi="Adobe Garamond Pro"/>
          <w:b/>
        </w:rPr>
        <w:t>jan</w:t>
      </w:r>
      <w:r>
        <w:rPr>
          <w:rFonts w:ascii="Adobe Garamond Pro" w:hAnsi="Adobe Garamond Pro"/>
          <w:b/>
        </w:rPr>
        <w:t xml:space="preserve"> Poljanec, mag. iur.</w:t>
      </w:r>
    </w:p>
    <w:p w:rsidR="004F0F91" w:rsidRDefault="004F0F91" w:rsidP="004F0F91">
      <w:pPr>
        <w:spacing w:after="0" w:line="240" w:lineRule="auto"/>
        <w:jc w:val="center"/>
        <w:rPr>
          <w:rFonts w:ascii="Adobe Garamond Pro" w:hAnsi="Adobe Garamond Pro"/>
        </w:rPr>
      </w:pPr>
      <w:r>
        <w:rPr>
          <w:rFonts w:ascii="Adobe Garamond Pro" w:hAnsi="Adobe Garamond Pro"/>
        </w:rPr>
        <w:t>Ekonomski fakultet Sveučilišta u Zagrebu</w:t>
      </w:r>
    </w:p>
    <w:p w:rsidR="004F0F91" w:rsidRPr="004F0F91" w:rsidRDefault="004F0F91" w:rsidP="004F0F91">
      <w:pPr>
        <w:spacing w:after="0" w:line="240" w:lineRule="auto"/>
        <w:jc w:val="center"/>
        <w:rPr>
          <w:rFonts w:ascii="Adobe Garamond Pro" w:hAnsi="Adobe Garamond Pro"/>
          <w:i/>
        </w:rPr>
      </w:pPr>
      <w:r w:rsidRPr="004F0F91">
        <w:rPr>
          <w:rFonts w:ascii="Adobe Garamond Pro" w:hAnsi="Adobe Garamond Pro"/>
          <w:i/>
        </w:rPr>
        <w:t xml:space="preserve">E-mail: </w:t>
      </w:r>
      <w:r>
        <w:rPr>
          <w:rFonts w:ascii="Adobe Garamond Pro" w:hAnsi="Adobe Garamond Pro"/>
          <w:i/>
        </w:rPr>
        <w:t>kpoljanec</w:t>
      </w:r>
      <w:r w:rsidRPr="004F0F91">
        <w:rPr>
          <w:rFonts w:ascii="Adobe Garamond Pro" w:hAnsi="Adobe Garamond Pro"/>
          <w:i/>
        </w:rPr>
        <w:t>@efzg.hr</w:t>
      </w:r>
    </w:p>
    <w:p w:rsidR="00DA7331" w:rsidRPr="0068636F" w:rsidRDefault="00DA7331" w:rsidP="002D2430">
      <w:pPr>
        <w:pStyle w:val="NoSpacing"/>
        <w:jc w:val="center"/>
        <w:rPr>
          <w:rFonts w:ascii="Adobe Garamond Pro" w:hAnsi="Adobe Garamond Pro"/>
          <w:i/>
        </w:rPr>
      </w:pPr>
    </w:p>
    <w:p w:rsidR="002D2430" w:rsidRPr="0068636F" w:rsidRDefault="007C20AB" w:rsidP="002D2430">
      <w:pPr>
        <w:pStyle w:val="NoSpacing"/>
        <w:jc w:val="both"/>
        <w:rPr>
          <w:rFonts w:ascii="Adobe Garamond Pro" w:eastAsia="Times New Roman" w:hAnsi="Adobe Garamond Pro" w:cs="Garamond"/>
          <w:b/>
          <w:lang w:val="bs-Latn-BA"/>
        </w:rPr>
      </w:pPr>
      <w:r w:rsidRPr="007C20AB">
        <w:rPr>
          <w:rFonts w:ascii="Adobe Garamond Pro" w:hAnsi="Adobe Garamond Pro"/>
          <w:i/>
          <w:noProof/>
          <w:lang w:val="bs-Latn-BA" w:eastAsia="bs-Latn-BA"/>
        </w:rPr>
        <w:pict>
          <v:rect id="_x0000_s1035" style="position:absolute;left:0;text-align:left;margin-left:-107.2pt;margin-top:4.2pt;width:340.6pt;height:286.05pt;z-index:-251658240" fillcolor="#f2f2f2 [3052]" stroked="f"/>
        </w:pict>
      </w:r>
      <w:r w:rsidRPr="007C20AB">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06.8pt;z-index:251657216;mso-width-relative:margin;mso-height-relative:margin" filled="f" stroked="f">
            <v:textbox style="mso-next-textbox:#_x0000_s1030">
              <w:txbxContent>
                <w:p w:rsidR="004F0F91" w:rsidRPr="004F0F91" w:rsidRDefault="00BD0D1C" w:rsidP="004F0F91">
                  <w:pPr>
                    <w:pStyle w:val="t-9-8"/>
                    <w:spacing w:before="0" w:beforeAutospacing="0" w:after="0" w:afterAutospacing="0"/>
                    <w:jc w:val="both"/>
                    <w:rPr>
                      <w:rFonts w:ascii="Adobe Garamond Pro" w:hAnsi="Adobe Garamond Pro"/>
                      <w:i/>
                      <w:color w:val="000000"/>
                      <w:sz w:val="20"/>
                      <w:szCs w:val="20"/>
                    </w:rPr>
                  </w:pPr>
                  <w:r w:rsidRPr="004F0F91">
                    <w:rPr>
                      <w:rFonts w:ascii="Adobe Garamond Pro" w:hAnsi="Adobe Garamond Pro"/>
                      <w:b/>
                      <w:i/>
                      <w:sz w:val="20"/>
                      <w:szCs w:val="20"/>
                      <w:lang w:val="hr-BA"/>
                    </w:rPr>
                    <w:t>Sažetak</w:t>
                  </w:r>
                  <w:r w:rsidR="00FF280B" w:rsidRPr="004F0F91">
                    <w:rPr>
                      <w:rFonts w:ascii="Adobe Garamond Pro" w:hAnsi="Adobe Garamond Pro"/>
                      <w:b/>
                      <w:i/>
                      <w:sz w:val="20"/>
                      <w:szCs w:val="20"/>
                      <w:lang w:val="hr-BA"/>
                    </w:rPr>
                    <w:t xml:space="preserve">: </w:t>
                  </w:r>
                  <w:r w:rsidR="004F0F91" w:rsidRPr="004F0F91">
                    <w:rPr>
                      <w:rFonts w:ascii="Adobe Garamond Pro" w:hAnsi="Adobe Garamond Pro"/>
                      <w:i/>
                      <w:color w:val="000000"/>
                      <w:sz w:val="20"/>
                      <w:szCs w:val="20"/>
                    </w:rPr>
                    <w:t>Transparentnost podataka o trgovačkom društvu doprinosi zaštiti samih članova društva, vjerovnika, trećih zainteresiranih osoba te svih dionika na tržištu. Dostupnost, pravovremenost, istinitost i potpunost podataka o trgovačkom društvu doprinosi izgradnji učinkovitog tržišta kapitala. Važnost ostvarenja načela transparentnosti posebice dolazi do izražaja u uvjetima prekogranične aktivnosti društava na unutarnjem tržištu. U radu prikazana iskustva RH u usklađivanju prava društava u ovom području mogu poslužiti kao koristan model za države koje se trenutačno nalaze u eurointegracijskom procesu.</w:t>
                  </w:r>
                  <w:r w:rsidR="004F0F91" w:rsidRPr="004F0F91">
                    <w:rPr>
                      <w:rFonts w:ascii="Adobe Garamond Pro" w:hAnsi="Adobe Garamond Pro"/>
                      <w:i/>
                      <w:sz w:val="20"/>
                      <w:szCs w:val="20"/>
                    </w:rPr>
                    <w:t xml:space="preserve"> U radu autori daju sumarni prikaz recentne sudske prakse Europskog suda u pogledu transparentnosti financijskih podataka trgovačkih društava u skladu s načelom „istinitog i poštenog uvida.“ U nastavku se također prikazuju izmjena i dopuna hrvatskog Zakona o sudskom registru kojima se provela daljnja modernizacija i harmonizacija hrvatskog registarskog prava. Navedeno je učinjeno implementacijom</w:t>
                  </w:r>
                  <w:r w:rsidR="004F0F91" w:rsidRPr="004F0F91">
                    <w:rPr>
                      <w:rFonts w:ascii="Adobe Garamond Pro" w:hAnsi="Adobe Garamond Pro"/>
                      <w:i/>
                      <w:color w:val="000000"/>
                      <w:sz w:val="20"/>
                      <w:szCs w:val="20"/>
                    </w:rPr>
                    <w:t xml:space="preserve"> nekih direktiva u području objave podataka, usklađivanja zaštitnih mjera i prilagodbe određenih direktiva u području trgovačkog prava radi pristupanja RH u punopravno članstvo EU.</w:t>
                  </w:r>
                </w:p>
                <w:p w:rsidR="00FF280B" w:rsidRPr="004F0F91" w:rsidRDefault="00FF280B" w:rsidP="004F0F91">
                  <w:pPr>
                    <w:spacing w:after="0" w:line="240" w:lineRule="auto"/>
                    <w:jc w:val="both"/>
                    <w:rPr>
                      <w:rFonts w:ascii="Adobe Garamond Pro" w:hAnsi="Adobe Garamond Pro"/>
                      <w:i/>
                      <w:sz w:val="20"/>
                      <w:szCs w:val="20"/>
                    </w:rPr>
                  </w:pPr>
                </w:p>
              </w:txbxContent>
            </v:textbox>
          </v:shape>
        </w:pict>
      </w:r>
      <w:r w:rsidRPr="007C20AB">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E4538" w:rsidRPr="004F0F91" w:rsidRDefault="007E4538" w:rsidP="00960254">
                  <w:pPr>
                    <w:spacing w:after="0" w:line="240" w:lineRule="auto"/>
                    <w:rPr>
                      <w:rFonts w:ascii="Adobe Garamond Pro" w:hAnsi="Adobe Garamond Pro"/>
                      <w:b/>
                      <w:i/>
                      <w:sz w:val="20"/>
                      <w:szCs w:val="20"/>
                    </w:rPr>
                  </w:pPr>
                  <w:r w:rsidRPr="004F0F91">
                    <w:rPr>
                      <w:rFonts w:ascii="Adobe Garamond Pro" w:hAnsi="Adobe Garamond Pro"/>
                      <w:b/>
                      <w:i/>
                      <w:sz w:val="20"/>
                      <w:szCs w:val="20"/>
                    </w:rPr>
                    <w:t xml:space="preserve">Ključne riječi: </w:t>
                  </w:r>
                  <w:r w:rsidR="004F0F91" w:rsidRPr="004F0F91">
                    <w:rPr>
                      <w:rFonts w:ascii="Adobe Garamond Pro" w:hAnsi="Adobe Garamond Pro" w:cs="Times New Roman"/>
                      <w:i/>
                      <w:sz w:val="20"/>
                      <w:szCs w:val="20"/>
                    </w:rPr>
                    <w:t>EU, transparentnost, Zakon o sudskom registru, integritet tržišta kapitala, usklađivanje nacionalnog prava društava</w:t>
                  </w:r>
                </w:p>
                <w:p w:rsidR="00FF280B" w:rsidRPr="004F0F91" w:rsidRDefault="00FF280B" w:rsidP="00960254">
                  <w:pPr>
                    <w:spacing w:after="0" w:line="240" w:lineRule="auto"/>
                    <w:rPr>
                      <w:rFonts w:ascii="Adobe Garamond Pro" w:hAnsi="Adobe Garamond Pro"/>
                      <w:i/>
                      <w:sz w:val="20"/>
                      <w:szCs w:val="20"/>
                    </w:rPr>
                  </w:pPr>
                </w:p>
              </w:txbxContent>
            </v:textbox>
          </v:shape>
        </w:pict>
      </w:r>
    </w:p>
    <w:p w:rsidR="002D2430" w:rsidRPr="0068636F" w:rsidRDefault="002D2430" w:rsidP="002D2430">
      <w:pPr>
        <w:pStyle w:val="NoSpacing"/>
        <w:jc w:val="both"/>
        <w:rPr>
          <w:rFonts w:ascii="Adobe Garamond Pro" w:hAnsi="Adobe Garamond Pro"/>
          <w:lang w:val="bs-Latn-BA"/>
        </w:rPr>
      </w:pPr>
      <w:bookmarkStart w:id="0" w:name="_GoBack"/>
      <w:bookmarkEnd w:id="0"/>
    </w:p>
    <w:p w:rsidR="008627D2" w:rsidRPr="0068636F" w:rsidRDefault="008627D2" w:rsidP="004B6972">
      <w:pPr>
        <w:spacing w:after="0" w:line="240" w:lineRule="auto"/>
        <w:jc w:val="both"/>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68636F" w:rsidRPr="0068636F" w:rsidRDefault="007C20AB" w:rsidP="0068636F">
      <w:pPr>
        <w:rPr>
          <w:rFonts w:ascii="Adobe Garamond Pro" w:hAnsi="Adobe Garamond Pro"/>
          <w:sz w:val="20"/>
          <w:szCs w:val="20"/>
          <w:lang w:val="bs-Latn-BA"/>
        </w:rPr>
      </w:pPr>
      <w:r>
        <w:rPr>
          <w:rFonts w:ascii="Adobe Garamond Pro" w:hAnsi="Adobe Garamond Pro"/>
          <w:noProof/>
          <w:sz w:val="20"/>
          <w:szCs w:val="20"/>
          <w:lang w:val="bs-Latn-BA" w:eastAsia="bs-Latn-BA"/>
        </w:rPr>
        <w:lastRenderedPageBreak/>
        <w:pict>
          <v:rect id="_x0000_s1039" style="position:absolute;margin-left:-100.8pt;margin-top:5.75pt;width:340.6pt;height:293.95pt;z-index:-251655168" fillcolor="#f2f2f2 [3052]" stroked="f"/>
        </w:pict>
      </w:r>
      <w:r>
        <w:rPr>
          <w:rFonts w:ascii="Adobe Garamond Pro" w:hAnsi="Adobe Garamond Pro"/>
          <w:noProof/>
          <w:sz w:val="20"/>
          <w:szCs w:val="20"/>
          <w:lang w:val="bs-Latn-BA" w:eastAsia="bs-Latn-BA"/>
        </w:rPr>
        <w:pict>
          <v:shape id="_x0000_s1037" type="#_x0000_t202" style="position:absolute;margin-left:239.8pt;margin-top:8pt;width:133.8pt;height:249.2pt;z-index:251659264;mso-width-relative:margin;mso-height-relative:margin" stroked="f" strokecolor="white [3212]">
            <v:textbox style="mso-next-textbox:#_x0000_s1037">
              <w:txbxContent>
                <w:p w:rsidR="0068636F" w:rsidRPr="004F0F91" w:rsidRDefault="0068636F" w:rsidP="0068636F">
                  <w:pPr>
                    <w:spacing w:after="0" w:line="240" w:lineRule="auto"/>
                    <w:rPr>
                      <w:rFonts w:ascii="Adobe Garamond Pro" w:hAnsi="Adobe Garamond Pro"/>
                      <w:b/>
                      <w:i/>
                      <w:sz w:val="20"/>
                      <w:szCs w:val="20"/>
                    </w:rPr>
                  </w:pPr>
                  <w:r w:rsidRPr="004F0F91">
                    <w:rPr>
                      <w:rFonts w:ascii="Adobe Garamond Pro" w:hAnsi="Adobe Garamond Pro"/>
                      <w:b/>
                      <w:i/>
                      <w:sz w:val="20"/>
                      <w:szCs w:val="20"/>
                    </w:rPr>
                    <w:t xml:space="preserve">Keywords: </w:t>
                  </w:r>
                  <w:r w:rsidR="004F0F91" w:rsidRPr="004F0F91">
                    <w:rPr>
                      <w:rFonts w:ascii="Adobe Garamond Pro" w:hAnsi="Adobe Garamond Pro" w:cs="Times New Roman"/>
                      <w:i/>
                      <w:sz w:val="20"/>
                      <w:szCs w:val="20"/>
                    </w:rPr>
                    <w:t>EU, transparency requirements, Law on Court Registry, capital market integrity, harmonisation of Company Law</w:t>
                  </w:r>
                </w:p>
                <w:p w:rsidR="0068636F" w:rsidRPr="004F0F91" w:rsidRDefault="0068636F" w:rsidP="0068636F">
                  <w:pPr>
                    <w:spacing w:after="0" w:line="240" w:lineRule="auto"/>
                    <w:rPr>
                      <w:rFonts w:ascii="Adobe Garamond Pro" w:hAnsi="Adobe Garamond Pro"/>
                      <w:i/>
                      <w:sz w:val="20"/>
                      <w:szCs w:val="20"/>
                    </w:rPr>
                  </w:pPr>
                </w:p>
              </w:txbxContent>
            </v:textbox>
          </v:shape>
        </w:pict>
      </w:r>
      <w:r>
        <w:rPr>
          <w:rFonts w:ascii="Adobe Garamond Pro" w:hAnsi="Adobe Garamond Pro"/>
          <w:noProof/>
          <w:sz w:val="20"/>
          <w:szCs w:val="20"/>
          <w:lang w:val="bs-Latn-BA" w:eastAsia="bs-Latn-BA"/>
        </w:rPr>
        <w:pict>
          <v:shape id="_x0000_s1038" type="#_x0000_t202" style="position:absolute;margin-left:-6.35pt;margin-top:7.85pt;width:239.95pt;height:306.8pt;z-index:251660288;mso-width-relative:margin;mso-height-relative:margin" filled="f" stroked="f">
            <v:textbox style="mso-next-textbox:#_x0000_s1038">
              <w:txbxContent>
                <w:p w:rsidR="004F0F91" w:rsidRPr="004F0F91" w:rsidRDefault="0068636F" w:rsidP="004F0F91">
                  <w:pPr>
                    <w:spacing w:after="0" w:line="240" w:lineRule="auto"/>
                    <w:jc w:val="both"/>
                    <w:rPr>
                      <w:rFonts w:ascii="Adobe Garamond Pro" w:hAnsi="Adobe Garamond Pro" w:cs="Times New Roman"/>
                      <w:i/>
                      <w:sz w:val="20"/>
                      <w:szCs w:val="20"/>
                    </w:rPr>
                  </w:pPr>
                  <w:r w:rsidRPr="004F0F91">
                    <w:rPr>
                      <w:rFonts w:ascii="Adobe Garamond Pro" w:hAnsi="Adobe Garamond Pro" w:cs="Times New Roman"/>
                      <w:b/>
                      <w:i/>
                      <w:sz w:val="20"/>
                      <w:szCs w:val="20"/>
                      <w:lang w:val="hr-BA"/>
                    </w:rPr>
                    <w:t xml:space="preserve">Abstract: </w:t>
                  </w:r>
                  <w:r w:rsidR="004F0F91" w:rsidRPr="004F0F91">
                    <w:rPr>
                      <w:rFonts w:ascii="Adobe Garamond Pro" w:hAnsi="Adobe Garamond Pro" w:cs="Times New Roman"/>
                      <w:i/>
                      <w:sz w:val="20"/>
                      <w:szCs w:val="20"/>
                    </w:rPr>
                    <w:t xml:space="preserve">Transparency of information on companies contributes to the protection of shareholders, creditors, third parties and all stakeholders in the market. Attainability, promptness, authenticity and integrity of information on company contributes to establishment of efficient capital market. The importance of transparency especially arises in cases including cross-border activity of companies in the Internal Market. Croatian experiences given in this paper regarding harmonisation of company law in field of transparency requirements can serve as a useful role-model for countries which are currently part of Eurointegration process. In this paper authors give a brief overview of recent ECJ's case law on transparency of financial accounts of companies in accordance with principle of true and fair view. Hereinafter an overview of recently adopted amendments to Croatian Law on Court Registry is given, by which further modernisation and harmonisation of Croatian registry law was enforced. That was accomplished by measures of implementation of certain directives in field of disclosure requirements, coordination of safeguards and adjusting of certain directives in field of commercial law, due to reasons of entering of Republic of Croatia to the EU.  </w:t>
                  </w:r>
                </w:p>
                <w:p w:rsidR="0068636F" w:rsidRPr="004F0F91" w:rsidRDefault="0068636F" w:rsidP="004F0F91">
                  <w:pPr>
                    <w:spacing w:after="0" w:line="240" w:lineRule="auto"/>
                    <w:jc w:val="both"/>
                    <w:rPr>
                      <w:rFonts w:ascii="Adobe Garamond Pro" w:hAnsi="Adobe Garamond Pro"/>
                      <w:i/>
                      <w:sz w:val="20"/>
                      <w:szCs w:val="20"/>
                    </w:rPr>
                  </w:pPr>
                </w:p>
              </w:txbxContent>
            </v:textbox>
          </v:shape>
        </w:pict>
      </w: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pPr>
        <w:rPr>
          <w:rFonts w:ascii="Adobe Garamond Pro" w:hAnsi="Adobe Garamond Pro"/>
          <w:sz w:val="20"/>
          <w:szCs w:val="20"/>
          <w:lang w:val="bs-Latn-BA"/>
        </w:rPr>
      </w:pPr>
      <w:r w:rsidRPr="0068636F">
        <w:rPr>
          <w:rFonts w:ascii="Adobe Garamond Pro" w:hAnsi="Adobe Garamond Pro"/>
          <w:sz w:val="20"/>
          <w:szCs w:val="20"/>
          <w:lang w:val="bs-Latn-BA"/>
        </w:rPr>
        <w:br w:type="page"/>
      </w:r>
    </w:p>
    <w:p w:rsidR="00CC0298" w:rsidRDefault="00CC0298" w:rsidP="00CC0298">
      <w:pPr>
        <w:pStyle w:val="ListParagraph"/>
        <w:spacing w:after="0" w:line="240" w:lineRule="auto"/>
        <w:ind w:left="0"/>
        <w:jc w:val="both"/>
        <w:rPr>
          <w:rFonts w:ascii="Adobe Garamond Pro" w:hAnsi="Adobe Garamond Pro" w:cs="Times New Roman"/>
          <w:b/>
        </w:rPr>
      </w:pPr>
      <w:r w:rsidRPr="00CC0298">
        <w:rPr>
          <w:rFonts w:ascii="Adobe Garamond Pro" w:hAnsi="Adobe Garamond Pro" w:cs="Times New Roman"/>
          <w:b/>
        </w:rPr>
        <w:lastRenderedPageBreak/>
        <w:t>UVOD</w:t>
      </w:r>
    </w:p>
    <w:p w:rsidR="00CC0298" w:rsidRPr="00CC0298" w:rsidRDefault="00CC0298" w:rsidP="00CC0298">
      <w:pPr>
        <w:pStyle w:val="ListParagraph"/>
        <w:spacing w:after="0" w:line="240" w:lineRule="auto"/>
        <w:ind w:left="0"/>
        <w:jc w:val="both"/>
        <w:rPr>
          <w:rFonts w:ascii="Adobe Garamond Pro" w:hAnsi="Adobe Garamond Pro" w:cs="Times New Roman"/>
          <w:b/>
        </w:rPr>
      </w:pPr>
    </w:p>
    <w:p w:rsidR="00CC0298" w:rsidRDefault="00CC0298" w:rsidP="00CC0298">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t>Transparentnost podataka o društvu, kako onih financijske tako i onih nefinancijske prirode, važna je radi izgradnje povjerenja članova društva, vjerovnika i trećih osoba u samo društvo,</w:t>
      </w:r>
      <w:r w:rsidRPr="00CC0298">
        <w:rPr>
          <w:rStyle w:val="FootnoteReference"/>
          <w:rFonts w:ascii="Adobe Garamond Pro" w:hAnsi="Adobe Garamond Pro" w:cs="Times New Roman"/>
          <w:sz w:val="20"/>
          <w:szCs w:val="20"/>
        </w:rPr>
        <w:footnoteReference w:id="2"/>
      </w:r>
      <w:r w:rsidRPr="00CC0298">
        <w:rPr>
          <w:rFonts w:ascii="Adobe Garamond Pro" w:hAnsi="Adobe Garamond Pro" w:cs="Times New Roman"/>
          <w:sz w:val="20"/>
          <w:szCs w:val="20"/>
        </w:rPr>
        <w:t xml:space="preserve"> te radi učinkovite izgradnje i očuvanja integriteta tržišta kapitala.</w:t>
      </w:r>
      <w:r w:rsidRPr="00CC0298">
        <w:rPr>
          <w:rStyle w:val="FootnoteReference"/>
          <w:rFonts w:ascii="Adobe Garamond Pro" w:hAnsi="Adobe Garamond Pro" w:cs="Times New Roman"/>
          <w:sz w:val="20"/>
          <w:szCs w:val="20"/>
        </w:rPr>
        <w:footnoteReference w:id="3"/>
      </w:r>
      <w:r w:rsidRPr="00CC0298">
        <w:rPr>
          <w:rFonts w:ascii="Adobe Garamond Pro" w:hAnsi="Adobe Garamond Pro" w:cs="Times New Roman"/>
          <w:sz w:val="20"/>
          <w:szCs w:val="20"/>
        </w:rPr>
        <w:t xml:space="preserve"> Potreba za pravovremenim i istinitim uvidom u podatke o trgovačkom društvu posebice dolazi do izražaja na unutarnjem tržištu Europske unije</w:t>
      </w:r>
      <w:r w:rsidRPr="00CC0298">
        <w:rPr>
          <w:rStyle w:val="FootnoteReference"/>
          <w:rFonts w:ascii="Adobe Garamond Pro" w:hAnsi="Adobe Garamond Pro" w:cs="Times New Roman"/>
          <w:sz w:val="20"/>
          <w:szCs w:val="20"/>
        </w:rPr>
        <w:footnoteReference w:id="4"/>
      </w:r>
      <w:r w:rsidRPr="00CC0298">
        <w:rPr>
          <w:rFonts w:ascii="Adobe Garamond Pro" w:hAnsi="Adobe Garamond Pro" w:cs="Times New Roman"/>
          <w:sz w:val="20"/>
          <w:szCs w:val="20"/>
        </w:rPr>
        <w:t xml:space="preserve"> na kojem se odvijaju poslovne aktivnosti s prekograničnim obilježjem čije se pravne i gospodarske posljedice protežu na veći broj država članica.</w:t>
      </w:r>
      <w:r w:rsidRPr="00CC0298">
        <w:rPr>
          <w:rStyle w:val="FootnoteReference"/>
          <w:rFonts w:ascii="Adobe Garamond Pro" w:hAnsi="Adobe Garamond Pro" w:cs="Times New Roman"/>
          <w:sz w:val="20"/>
          <w:szCs w:val="20"/>
        </w:rPr>
        <w:footnoteReference w:id="5"/>
      </w:r>
      <w:r w:rsidRPr="00CC0298">
        <w:rPr>
          <w:rFonts w:ascii="Adobe Garamond Pro" w:hAnsi="Adobe Garamond Pro" w:cs="Times New Roman"/>
          <w:sz w:val="20"/>
          <w:szCs w:val="20"/>
        </w:rPr>
        <w:t xml:space="preserve"> Zbog svoje važnosti za uredno funkcioniranje tržišnih odnosa, ovo interdisciplinarno područje već je neko vrijeme u fokusu domaće</w:t>
      </w:r>
      <w:r w:rsidRPr="00CC0298">
        <w:rPr>
          <w:rStyle w:val="FootnoteReference"/>
          <w:rFonts w:ascii="Adobe Garamond Pro" w:hAnsi="Adobe Garamond Pro" w:cs="Times New Roman"/>
          <w:sz w:val="20"/>
          <w:szCs w:val="20"/>
        </w:rPr>
        <w:footnoteReference w:id="6"/>
      </w:r>
      <w:r w:rsidRPr="00CC0298">
        <w:rPr>
          <w:rFonts w:ascii="Adobe Garamond Pro" w:hAnsi="Adobe Garamond Pro" w:cs="Times New Roman"/>
          <w:sz w:val="20"/>
          <w:szCs w:val="20"/>
        </w:rPr>
        <w:t xml:space="preserve"> i europske pravne znanosti.</w:t>
      </w:r>
      <w:r w:rsidRPr="00CC0298">
        <w:rPr>
          <w:rStyle w:val="FootnoteReference"/>
          <w:rFonts w:ascii="Adobe Garamond Pro" w:hAnsi="Adobe Garamond Pro" w:cs="Times New Roman"/>
          <w:sz w:val="20"/>
          <w:szCs w:val="20"/>
        </w:rPr>
        <w:footnoteReference w:id="7"/>
      </w:r>
      <w:r w:rsidRPr="00CC0298">
        <w:rPr>
          <w:rFonts w:ascii="Adobe Garamond Pro" w:hAnsi="Adobe Garamond Pro" w:cs="Times New Roman"/>
          <w:sz w:val="20"/>
          <w:szCs w:val="20"/>
        </w:rPr>
        <w:t xml:space="preserve"> Ovaj rad bavi se </w:t>
      </w:r>
      <w:r w:rsidRPr="00CC0298">
        <w:rPr>
          <w:rFonts w:ascii="Adobe Garamond Pro" w:hAnsi="Adobe Garamond Pro" w:cs="Times New Roman"/>
          <w:sz w:val="20"/>
          <w:szCs w:val="20"/>
        </w:rPr>
        <w:lastRenderedPageBreak/>
        <w:t>određenim aspektima transparentnosti podataka koji su se pojavili u odabranoj praksi Europskog suda,</w:t>
      </w:r>
      <w:r w:rsidRPr="00CC0298">
        <w:rPr>
          <w:rStyle w:val="FootnoteReference"/>
          <w:rFonts w:ascii="Adobe Garamond Pro" w:hAnsi="Adobe Garamond Pro" w:cs="Times New Roman"/>
          <w:sz w:val="20"/>
          <w:szCs w:val="20"/>
        </w:rPr>
        <w:footnoteReference w:id="8"/>
      </w:r>
      <w:r w:rsidRPr="00CC0298">
        <w:rPr>
          <w:rFonts w:ascii="Adobe Garamond Pro" w:hAnsi="Adobe Garamond Pro" w:cs="Times New Roman"/>
          <w:sz w:val="20"/>
          <w:szCs w:val="20"/>
        </w:rPr>
        <w:t xml:space="preserve"> a koje je Sud razmatrao u svjetlu direktiva iz područja prava društava i prava tržišta kapitala. Rad se bavi aktualnom revizijom Direktive o transparentnosti</w:t>
      </w:r>
      <w:r w:rsidRPr="00CC0298">
        <w:rPr>
          <w:rStyle w:val="FootnoteReference"/>
          <w:rFonts w:ascii="Adobe Garamond Pro" w:hAnsi="Adobe Garamond Pro" w:cs="Times New Roman"/>
          <w:sz w:val="20"/>
          <w:szCs w:val="20"/>
        </w:rPr>
        <w:footnoteReference w:id="9"/>
      </w:r>
      <w:r w:rsidRPr="00CC0298">
        <w:rPr>
          <w:rFonts w:ascii="Adobe Garamond Pro" w:hAnsi="Adobe Garamond Pro" w:cs="Times New Roman"/>
          <w:sz w:val="20"/>
          <w:szCs w:val="20"/>
        </w:rPr>
        <w:t xml:space="preserve"> kao i prijedlogom Europske komisije</w:t>
      </w:r>
      <w:r w:rsidRPr="00CC0298">
        <w:rPr>
          <w:rStyle w:val="FootnoteReference"/>
          <w:rFonts w:ascii="Adobe Garamond Pro" w:hAnsi="Adobe Garamond Pro" w:cs="Times New Roman"/>
          <w:sz w:val="20"/>
          <w:szCs w:val="20"/>
        </w:rPr>
        <w:footnoteReference w:id="10"/>
      </w:r>
      <w:r w:rsidRPr="00CC0298">
        <w:rPr>
          <w:rFonts w:ascii="Adobe Garamond Pro" w:hAnsi="Adobe Garamond Pro" w:cs="Times New Roman"/>
          <w:sz w:val="20"/>
          <w:szCs w:val="20"/>
        </w:rPr>
        <w:t xml:space="preserve"> u pogledu koraka koje bi trebalo poduzeti na polju daljnjeg razvoja transparentnosti tzv. nefinancijskih podataka kao što su podaci o politici zaštite okoliša, politici korporativnog upravljanja trgovačkim društvom i dr. Prikazom recentnih tendencija u zakonodavstvu i sudskoj praksi EU autori nastoje prikazati pravno-gospodarski kontekst u kojem bi se trebala odvijati daljnja modernizacija i kontinuirano usklađivanje hrvatskog prava s pravom EU. U radu su prikazane pojedine izmjene hrvatskog registarskog prava iz prosinca 2013. g., koje su posljedica implementacije direktiva u području transparentnosti europskog prava društava. Po ulasku u punopravno članstvo nacionalno pravo se nastavlja usklađivati sa pravom EU, te je ovaj rad prilika da se javnost upozna sa promjenama koje bi trebale uslijediti u Republici Hrvatskoj</w:t>
      </w:r>
      <w:r w:rsidRPr="00CC0298">
        <w:rPr>
          <w:rStyle w:val="FootnoteReference"/>
          <w:rFonts w:ascii="Adobe Garamond Pro" w:hAnsi="Adobe Garamond Pro" w:cs="Times New Roman"/>
          <w:sz w:val="20"/>
          <w:szCs w:val="20"/>
        </w:rPr>
        <w:footnoteReference w:id="11"/>
      </w:r>
      <w:r w:rsidRPr="00CC0298">
        <w:rPr>
          <w:rFonts w:ascii="Adobe Garamond Pro" w:hAnsi="Adobe Garamond Pro" w:cs="Times New Roman"/>
          <w:sz w:val="20"/>
          <w:szCs w:val="20"/>
        </w:rPr>
        <w:t xml:space="preserve"> u vremenu koje slijedi. Prikazom izabrane prakse Suda, autori razmatraju koja su se to pitanja u pogledu transparentnosti podataka relativno nedavno pojavila kao sporna i kakav je stav Sud pritom zauzeo. Cilj rada je ponuditi moguće odgovore na neka od tih pitanja. Prikazom promjena u zakonodavstvu EU i RH, cilj je autora doprinijeti aktualnim raspravama glede afirmacije načela transparentnosti kao integrativnog čimbenika tržišta kapitala. Autori zaključuju kako iskustva RH na putu stjecanja punopravnog članstva u EU, zbog sličnosti pravno-povijesnog konteksta, mogu koristiti i zemljama u neposrednom susjedstvu na putu u punopravno članstvo EU.</w:t>
      </w:r>
    </w:p>
    <w:p w:rsidR="00CC0298" w:rsidRDefault="00CC0298" w:rsidP="00CC0298">
      <w:pPr>
        <w:spacing w:after="0" w:line="240" w:lineRule="auto"/>
        <w:ind w:firstLine="567"/>
        <w:jc w:val="both"/>
        <w:rPr>
          <w:rFonts w:ascii="Adobe Garamond Pro" w:hAnsi="Adobe Garamond Pro" w:cs="Times New Roman"/>
          <w:sz w:val="20"/>
          <w:szCs w:val="20"/>
        </w:rPr>
      </w:pPr>
    </w:p>
    <w:p w:rsidR="00CC0298" w:rsidRDefault="00CC0298" w:rsidP="00CC0298">
      <w:pPr>
        <w:spacing w:after="0" w:line="240" w:lineRule="auto"/>
        <w:ind w:firstLine="567"/>
        <w:jc w:val="both"/>
        <w:rPr>
          <w:rFonts w:ascii="Adobe Garamond Pro" w:hAnsi="Adobe Garamond Pro" w:cs="Times New Roman"/>
          <w:sz w:val="20"/>
          <w:szCs w:val="20"/>
        </w:rPr>
      </w:pPr>
    </w:p>
    <w:p w:rsidR="00CC0298" w:rsidRDefault="00CC0298" w:rsidP="00CC0298">
      <w:pPr>
        <w:spacing w:after="0" w:line="240" w:lineRule="auto"/>
        <w:ind w:firstLine="567"/>
        <w:jc w:val="both"/>
        <w:rPr>
          <w:rFonts w:ascii="Adobe Garamond Pro" w:hAnsi="Adobe Garamond Pro" w:cs="Times New Roman"/>
          <w:sz w:val="20"/>
          <w:szCs w:val="20"/>
        </w:rPr>
      </w:pPr>
    </w:p>
    <w:p w:rsidR="00CC0298" w:rsidRDefault="00CC0298" w:rsidP="00CC0298">
      <w:pPr>
        <w:spacing w:after="0" w:line="240" w:lineRule="auto"/>
        <w:ind w:firstLine="567"/>
        <w:jc w:val="both"/>
        <w:rPr>
          <w:rFonts w:ascii="Adobe Garamond Pro" w:hAnsi="Adobe Garamond Pro" w:cs="Times New Roman"/>
          <w:sz w:val="20"/>
          <w:szCs w:val="20"/>
        </w:rPr>
      </w:pPr>
    </w:p>
    <w:p w:rsidR="00CC0298" w:rsidRDefault="00CC0298" w:rsidP="00CC0298">
      <w:pPr>
        <w:spacing w:after="0" w:line="240" w:lineRule="auto"/>
        <w:ind w:firstLine="567"/>
        <w:jc w:val="both"/>
        <w:rPr>
          <w:rFonts w:ascii="Adobe Garamond Pro" w:hAnsi="Adobe Garamond Pro" w:cs="Times New Roman"/>
          <w:sz w:val="20"/>
          <w:szCs w:val="20"/>
        </w:rPr>
      </w:pPr>
    </w:p>
    <w:p w:rsidR="00CC0298" w:rsidRDefault="00CC0298" w:rsidP="00CC0298">
      <w:pPr>
        <w:spacing w:after="0" w:line="240" w:lineRule="auto"/>
        <w:ind w:firstLine="567"/>
        <w:jc w:val="both"/>
        <w:rPr>
          <w:rFonts w:ascii="Adobe Garamond Pro" w:hAnsi="Adobe Garamond Pro" w:cs="Times New Roman"/>
          <w:sz w:val="20"/>
          <w:szCs w:val="20"/>
        </w:rPr>
      </w:pPr>
    </w:p>
    <w:p w:rsidR="00CC0298" w:rsidRPr="00CC0298" w:rsidRDefault="00CC0298" w:rsidP="00CC0298">
      <w:pPr>
        <w:spacing w:after="0" w:line="240" w:lineRule="auto"/>
        <w:ind w:firstLine="567"/>
        <w:jc w:val="both"/>
        <w:rPr>
          <w:rFonts w:ascii="Adobe Garamond Pro" w:hAnsi="Adobe Garamond Pro" w:cs="Times New Roman"/>
          <w:sz w:val="20"/>
          <w:szCs w:val="20"/>
        </w:rPr>
      </w:pPr>
    </w:p>
    <w:p w:rsidR="00CC0298" w:rsidRPr="00CC0298" w:rsidRDefault="00CC0298" w:rsidP="00CC0298">
      <w:pPr>
        <w:pStyle w:val="ListParagraph"/>
        <w:spacing w:after="0" w:line="240" w:lineRule="auto"/>
        <w:ind w:left="0"/>
        <w:jc w:val="both"/>
        <w:rPr>
          <w:rFonts w:ascii="Adobe Garamond Pro" w:hAnsi="Adobe Garamond Pro" w:cs="Times New Roman"/>
          <w:b/>
        </w:rPr>
      </w:pPr>
      <w:r w:rsidRPr="00CC0298">
        <w:rPr>
          <w:rFonts w:ascii="Adobe Garamond Pro" w:hAnsi="Adobe Garamond Pro" w:cs="Times New Roman"/>
          <w:b/>
        </w:rPr>
        <w:lastRenderedPageBreak/>
        <w:t xml:space="preserve">Načelo transparentnosti u odnosima društvo – član društva u izabranim presudama Europskog suda </w:t>
      </w:r>
    </w:p>
    <w:p w:rsidR="00CC0298" w:rsidRDefault="00CC0298" w:rsidP="00CC0298">
      <w:pPr>
        <w:pStyle w:val="ListParagraph"/>
        <w:spacing w:after="0" w:line="240" w:lineRule="auto"/>
        <w:ind w:left="0"/>
        <w:jc w:val="both"/>
        <w:rPr>
          <w:rFonts w:ascii="Adobe Garamond Pro" w:hAnsi="Adobe Garamond Pro" w:cs="Times New Roman"/>
          <w:b/>
          <w:sz w:val="20"/>
          <w:szCs w:val="20"/>
        </w:rPr>
      </w:pPr>
    </w:p>
    <w:p w:rsidR="00CC0298" w:rsidRDefault="00CC0298" w:rsidP="00CC0298">
      <w:pPr>
        <w:pStyle w:val="ListParagraph"/>
        <w:spacing w:after="0" w:line="240" w:lineRule="auto"/>
        <w:ind w:left="0"/>
        <w:jc w:val="both"/>
        <w:rPr>
          <w:rFonts w:ascii="Adobe Garamond Pro" w:hAnsi="Adobe Garamond Pro" w:cs="Times New Roman"/>
          <w:b/>
        </w:rPr>
      </w:pPr>
      <w:r w:rsidRPr="00CC0298">
        <w:rPr>
          <w:rFonts w:ascii="Adobe Garamond Pro" w:hAnsi="Adobe Garamond Pro" w:cs="Times New Roman"/>
          <w:b/>
        </w:rPr>
        <w:t xml:space="preserve">Zakašnjenje s objavom podatka o očekivanoj promjeni predsjednika upravnog odbora društva </w:t>
      </w:r>
      <w:r>
        <w:rPr>
          <w:rFonts w:ascii="Adobe Garamond Pro" w:hAnsi="Adobe Garamond Pro" w:cs="Times New Roman"/>
          <w:b/>
        </w:rPr>
        <w:t>-</w:t>
      </w:r>
      <w:r w:rsidRPr="00CC0298">
        <w:rPr>
          <w:rFonts w:ascii="Adobe Garamond Pro" w:hAnsi="Adobe Garamond Pro" w:cs="Times New Roman"/>
          <w:b/>
        </w:rPr>
        <w:t xml:space="preserve"> povreda prava člana na obaviještenost ili zaštita legitimnih interesa društva?</w:t>
      </w:r>
    </w:p>
    <w:p w:rsidR="00CC0298" w:rsidRPr="00CC0298" w:rsidRDefault="00CC0298" w:rsidP="00CC0298">
      <w:pPr>
        <w:pStyle w:val="ListParagraph"/>
        <w:spacing w:after="0" w:line="240" w:lineRule="auto"/>
        <w:ind w:left="0"/>
        <w:jc w:val="both"/>
        <w:rPr>
          <w:rFonts w:ascii="Adobe Garamond Pro" w:hAnsi="Adobe Garamond Pro" w:cs="Times New Roman"/>
          <w:b/>
        </w:rPr>
      </w:pPr>
    </w:p>
    <w:p w:rsidR="00CC0298" w:rsidRDefault="00CC0298" w:rsidP="00CC0298">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t xml:space="preserve">U predmetu </w:t>
      </w:r>
      <w:r w:rsidRPr="00CC0298">
        <w:rPr>
          <w:rFonts w:ascii="Adobe Garamond Pro" w:hAnsi="Adobe Garamond Pro" w:cs="Times New Roman"/>
          <w:i/>
          <w:sz w:val="20"/>
          <w:szCs w:val="20"/>
        </w:rPr>
        <w:t>Markus Geltl v Daimler AG</w:t>
      </w:r>
      <w:r w:rsidRPr="00CC0298">
        <w:rPr>
          <w:rStyle w:val="FootnoteReference"/>
          <w:rFonts w:ascii="Adobe Garamond Pro" w:hAnsi="Adobe Garamond Pro" w:cs="Times New Roman"/>
          <w:sz w:val="20"/>
          <w:szCs w:val="20"/>
        </w:rPr>
        <w:footnoteReference w:id="12"/>
      </w:r>
      <w:r w:rsidRPr="00CC0298">
        <w:rPr>
          <w:rFonts w:ascii="Adobe Garamond Pro" w:hAnsi="Adobe Garamond Pro" w:cs="Times New Roman"/>
          <w:i/>
          <w:sz w:val="20"/>
          <w:szCs w:val="20"/>
        </w:rPr>
        <w:t xml:space="preserve"> </w:t>
      </w:r>
      <w:r w:rsidRPr="00CC0298">
        <w:rPr>
          <w:rFonts w:ascii="Adobe Garamond Pro" w:hAnsi="Adobe Garamond Pro" w:cs="Times New Roman"/>
          <w:sz w:val="20"/>
          <w:szCs w:val="20"/>
        </w:rPr>
        <w:t>pokrenut je prethodni postupak povodom zahtjeva njemačkog Saveznog suda radi tumačenja pojedinih odredbi Direktive o zlouporabi tržišta</w:t>
      </w:r>
      <w:r w:rsidRPr="00CC0298">
        <w:rPr>
          <w:rStyle w:val="FootnoteReference"/>
          <w:rFonts w:ascii="Adobe Garamond Pro" w:hAnsi="Adobe Garamond Pro" w:cs="Times New Roman"/>
          <w:sz w:val="20"/>
          <w:szCs w:val="20"/>
        </w:rPr>
        <w:footnoteReference w:id="13"/>
      </w:r>
      <w:r w:rsidRPr="00CC0298">
        <w:rPr>
          <w:rFonts w:ascii="Adobe Garamond Pro" w:hAnsi="Adobe Garamond Pro" w:cs="Times New Roman"/>
          <w:sz w:val="20"/>
          <w:szCs w:val="20"/>
        </w:rPr>
        <w:t xml:space="preserve"> i Direktive o definiciji i javnoj objavi insajderskih podataka i definiciji manipulacije tržištem.</w:t>
      </w:r>
      <w:r w:rsidRPr="00CC0298">
        <w:rPr>
          <w:rStyle w:val="FootnoteReference"/>
          <w:rFonts w:ascii="Adobe Garamond Pro" w:hAnsi="Adobe Garamond Pro" w:cs="Times New Roman"/>
          <w:sz w:val="20"/>
          <w:szCs w:val="20"/>
        </w:rPr>
        <w:footnoteReference w:id="14"/>
      </w:r>
      <w:r w:rsidRPr="00CC0298">
        <w:rPr>
          <w:rFonts w:ascii="Adobe Garamond Pro" w:hAnsi="Adobe Garamond Pro" w:cs="Times New Roman"/>
          <w:sz w:val="20"/>
          <w:szCs w:val="20"/>
        </w:rPr>
        <w:t xml:space="preserve"> Markus Geltl, dioničar društva Daimler AG, tvrdio je da je pretrpio štetu uslijed zakašnjele objave podatka od strane Daimler AG da će predsjednik upravnog odbora društva prijevremeno otići s dužnosti. Dotadašnji predsjednik upravnog odbora  pripremao je svoj odlazak u razdoblju od nekoliko mjeseci, postepeno obavještavajući organe društva o svojoj namjeri.</w:t>
      </w:r>
      <w:r w:rsidRPr="00CC0298">
        <w:rPr>
          <w:rStyle w:val="FootnoteReference"/>
          <w:rFonts w:ascii="Adobe Garamond Pro" w:hAnsi="Adobe Garamond Pro" w:cs="Times New Roman"/>
          <w:sz w:val="20"/>
          <w:szCs w:val="20"/>
        </w:rPr>
        <w:footnoteReference w:id="15"/>
      </w:r>
      <w:r w:rsidRPr="00CC0298">
        <w:rPr>
          <w:rFonts w:ascii="Adobe Garamond Pro" w:hAnsi="Adobe Garamond Pro" w:cs="Times New Roman"/>
          <w:sz w:val="20"/>
          <w:szCs w:val="20"/>
        </w:rPr>
        <w:t xml:space="preserve"> Na dan objave podatka o promjenama na čelu upravnog odbora, ali prije negoli je taj podatak javno priopćen upravama burzi i njemačkom Saveznom uredu za nadzor financijskih usluga,</w:t>
      </w:r>
      <w:r w:rsidRPr="00CC0298">
        <w:rPr>
          <w:rStyle w:val="FootnoteReference"/>
          <w:rFonts w:ascii="Adobe Garamond Pro" w:hAnsi="Adobe Garamond Pro" w:cs="Times New Roman"/>
          <w:sz w:val="20"/>
          <w:szCs w:val="20"/>
        </w:rPr>
        <w:footnoteReference w:id="16"/>
      </w:r>
      <w:r w:rsidRPr="00CC0298">
        <w:rPr>
          <w:rFonts w:ascii="Adobe Garamond Pro" w:hAnsi="Adobe Garamond Pro" w:cs="Times New Roman"/>
          <w:sz w:val="20"/>
          <w:szCs w:val="20"/>
        </w:rPr>
        <w:t xml:space="preserve"> cijena Daimlerovih dionica narasla je zahvaljujući izvješću o uspješnom poslovanju društva u drugom kvartalu 2005. g.</w:t>
      </w:r>
      <w:r w:rsidRPr="00CC0298">
        <w:rPr>
          <w:rStyle w:val="FootnoteReference"/>
          <w:rFonts w:ascii="Adobe Garamond Pro" w:hAnsi="Adobe Garamond Pro" w:cs="Times New Roman"/>
          <w:sz w:val="20"/>
          <w:szCs w:val="20"/>
        </w:rPr>
        <w:footnoteReference w:id="17"/>
      </w:r>
      <w:r w:rsidRPr="00CC0298">
        <w:rPr>
          <w:rFonts w:ascii="Adobe Garamond Pro" w:hAnsi="Adobe Garamond Pro" w:cs="Times New Roman"/>
          <w:sz w:val="20"/>
          <w:szCs w:val="20"/>
        </w:rPr>
        <w:t xml:space="preserve"> Nakon objave podatka o promjenama na čelu društva, cijene Daimlerovih dionica ponovno su naglo skočile.</w:t>
      </w:r>
      <w:r w:rsidRPr="00CC0298">
        <w:rPr>
          <w:rStyle w:val="FootnoteReference"/>
          <w:rFonts w:ascii="Adobe Garamond Pro" w:hAnsi="Adobe Garamond Pro" w:cs="Times New Roman"/>
          <w:sz w:val="20"/>
          <w:szCs w:val="20"/>
        </w:rPr>
        <w:footnoteReference w:id="18"/>
      </w:r>
      <w:r w:rsidRPr="00CC0298">
        <w:rPr>
          <w:rFonts w:ascii="Adobe Garamond Pro" w:hAnsi="Adobe Garamond Pro" w:cs="Times New Roman"/>
          <w:sz w:val="20"/>
          <w:szCs w:val="20"/>
        </w:rPr>
        <w:t xml:space="preserve"> Markus Geltl i niz ostalih investitora, koji su svoje dionice prodali ranije tog dana, tj. prije javne objave podatka o promjenama na čelu društva, podnijeli su tužbu protiv Daimler AG s naslova odgovornosti za štetu zbog nepravovremene </w:t>
      </w:r>
      <w:r w:rsidRPr="00CC0298">
        <w:rPr>
          <w:rFonts w:ascii="Adobe Garamond Pro" w:hAnsi="Adobe Garamond Pro" w:cs="Times New Roman"/>
          <w:i/>
          <w:sz w:val="20"/>
          <w:szCs w:val="20"/>
        </w:rPr>
        <w:t>ad hoc</w:t>
      </w:r>
      <w:r w:rsidRPr="00CC0298">
        <w:rPr>
          <w:rFonts w:ascii="Adobe Garamond Pro" w:hAnsi="Adobe Garamond Pro" w:cs="Times New Roman"/>
          <w:sz w:val="20"/>
          <w:szCs w:val="20"/>
        </w:rPr>
        <w:t xml:space="preserve"> objave.</w:t>
      </w:r>
      <w:r w:rsidRPr="00CC0298">
        <w:rPr>
          <w:rStyle w:val="FootnoteReference"/>
          <w:rFonts w:ascii="Adobe Garamond Pro" w:hAnsi="Adobe Garamond Pro" w:cs="Times New Roman"/>
          <w:sz w:val="20"/>
          <w:szCs w:val="20"/>
        </w:rPr>
        <w:footnoteReference w:id="19"/>
      </w:r>
      <w:r w:rsidRPr="00CC0298">
        <w:rPr>
          <w:rFonts w:ascii="Adobe Garamond Pro" w:hAnsi="Adobe Garamond Pro" w:cs="Times New Roman"/>
          <w:sz w:val="20"/>
          <w:szCs w:val="20"/>
        </w:rPr>
        <w:t xml:space="preserve"> Ključno pitanje o kojem je Sud odlučivao je </w:t>
      </w:r>
      <w:r w:rsidRPr="00CC0298">
        <w:rPr>
          <w:rFonts w:ascii="Adobe Garamond Pro" w:hAnsi="Adobe Garamond Pro" w:cs="Times New Roman"/>
          <w:sz w:val="20"/>
          <w:szCs w:val="20"/>
        </w:rPr>
        <w:lastRenderedPageBreak/>
        <w:t xml:space="preserve">pitanje trenutka u kojem je podatak relevantan za cijenu dionice na tržištu kapitala trebao biti javno objavljen odnosno u kojem je trenutku on postao tzv. insajderski podatak presudan za određivanje cijene dionice, a kojeg je trebalo učiniti dostupnim javnosti. Pitanja postavljena Sudu u osnovi su se odnosila na pitanje da li se, u slučaju kada se duže vrijeme poduzimaju međukoraci u cilju da dovedu do određenog događaja tj. </w:t>
      </w:r>
      <w:r w:rsidRPr="00CC0298">
        <w:rPr>
          <w:rFonts w:ascii="Adobe Garamond Pro" w:hAnsi="Adobe Garamond Pro" w:cs="Times New Roman"/>
          <w:i/>
          <w:sz w:val="20"/>
          <w:szCs w:val="20"/>
        </w:rPr>
        <w:t>in concreto</w:t>
      </w:r>
      <w:r w:rsidRPr="00CC0298">
        <w:rPr>
          <w:rFonts w:ascii="Adobe Garamond Pro" w:hAnsi="Adobe Garamond Pro" w:cs="Times New Roman"/>
          <w:sz w:val="20"/>
          <w:szCs w:val="20"/>
        </w:rPr>
        <w:t xml:space="preserve"> do promjene predsjednika upravnog odbora, treba uzeti da samo taj budući događaj ima svojstva „preciznog“ podatka, kao sastojak „insajderskog“ podatka koji treba biti objavljen ili se već i međukoraci koji dovode do budućeg događaja i sami mogu smatrati „preciznim“ podatkom pa bi time trebali biti objavljeni.</w:t>
      </w:r>
      <w:r w:rsidRPr="00CC0298">
        <w:rPr>
          <w:rStyle w:val="FootnoteReference"/>
          <w:rFonts w:ascii="Adobe Garamond Pro" w:hAnsi="Adobe Garamond Pro" w:cs="Times New Roman"/>
          <w:sz w:val="20"/>
          <w:szCs w:val="20"/>
        </w:rPr>
        <w:footnoteReference w:id="20"/>
      </w:r>
      <w:r w:rsidRPr="00CC0298">
        <w:rPr>
          <w:rFonts w:ascii="Adobe Garamond Pro" w:hAnsi="Adobe Garamond Pro" w:cs="Times New Roman"/>
          <w:sz w:val="20"/>
          <w:szCs w:val="20"/>
        </w:rPr>
        <w:t xml:space="preserve"> S obzirom da se podatak smatra preciznim, </w:t>
      </w:r>
      <w:r w:rsidRPr="00CC0298">
        <w:rPr>
          <w:rFonts w:ascii="Adobe Garamond Pro" w:hAnsi="Adobe Garamond Pro" w:cs="Times New Roman"/>
          <w:i/>
          <w:sz w:val="20"/>
          <w:szCs w:val="20"/>
        </w:rPr>
        <w:t>inter alia</w:t>
      </w:r>
      <w:r w:rsidRPr="00CC0298">
        <w:rPr>
          <w:rFonts w:ascii="Adobe Garamond Pro" w:hAnsi="Adobe Garamond Pro" w:cs="Times New Roman"/>
          <w:sz w:val="20"/>
          <w:szCs w:val="20"/>
        </w:rPr>
        <w:t>, ako upućuje na okolnosti koje postoje ili se razumno može očekivati da će nastati,</w:t>
      </w:r>
      <w:r w:rsidRPr="00CC0298">
        <w:rPr>
          <w:rStyle w:val="FootnoteReference"/>
          <w:rFonts w:ascii="Adobe Garamond Pro" w:hAnsi="Adobe Garamond Pro" w:cs="Times New Roman"/>
          <w:sz w:val="20"/>
          <w:szCs w:val="20"/>
        </w:rPr>
        <w:footnoteReference w:id="21"/>
      </w:r>
      <w:r w:rsidRPr="00CC0298">
        <w:rPr>
          <w:rFonts w:ascii="Adobe Garamond Pro" w:hAnsi="Adobe Garamond Pro" w:cs="Times New Roman"/>
          <w:sz w:val="20"/>
          <w:szCs w:val="20"/>
        </w:rPr>
        <w:t xml:space="preserve"> Sudu je postavljeno pitanje stupnja vjerojatnosti koji se traži da bi se moglo očekivati da će okolnost nastati.</w:t>
      </w:r>
      <w:r w:rsidRPr="00CC0298">
        <w:rPr>
          <w:rStyle w:val="FootnoteReference"/>
          <w:rFonts w:ascii="Adobe Garamond Pro" w:hAnsi="Adobe Garamond Pro" w:cs="Times New Roman"/>
          <w:sz w:val="20"/>
          <w:szCs w:val="20"/>
        </w:rPr>
        <w:footnoteReference w:id="22"/>
      </w:r>
    </w:p>
    <w:p w:rsidR="00CC0298" w:rsidRPr="00CC0298" w:rsidRDefault="00CC0298" w:rsidP="00CC0298">
      <w:pPr>
        <w:spacing w:after="0" w:line="240" w:lineRule="auto"/>
        <w:ind w:firstLine="567"/>
        <w:jc w:val="both"/>
        <w:rPr>
          <w:rFonts w:ascii="Adobe Garamond Pro" w:hAnsi="Adobe Garamond Pro" w:cs="Times New Roman"/>
          <w:sz w:val="20"/>
          <w:szCs w:val="20"/>
        </w:rPr>
      </w:pPr>
    </w:p>
    <w:p w:rsidR="00CC0298" w:rsidRDefault="00CC0298" w:rsidP="00CC0298">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Pr="00CC0298">
        <w:rPr>
          <w:rFonts w:ascii="Adobe Garamond Pro" w:hAnsi="Adobe Garamond Pro" w:cs="Times New Roman"/>
          <w:sz w:val="20"/>
          <w:szCs w:val="20"/>
        </w:rPr>
        <w:t>Sud je u osnovi zaključio da se u konkretnom slučaju radi o potrebi određivanja što se smatra „preciznim“ podatkom kao pretpostavkom postojanja „insajderskog“ podatka,</w:t>
      </w:r>
      <w:r w:rsidRPr="00CC0298">
        <w:rPr>
          <w:rStyle w:val="FootnoteReference"/>
          <w:rFonts w:ascii="Adobe Garamond Pro" w:hAnsi="Adobe Garamond Pro" w:cs="Times New Roman"/>
          <w:sz w:val="20"/>
          <w:szCs w:val="20"/>
        </w:rPr>
        <w:footnoteReference w:id="23"/>
      </w:r>
      <w:r w:rsidRPr="00CC0298">
        <w:rPr>
          <w:rFonts w:ascii="Adobe Garamond Pro" w:hAnsi="Adobe Garamond Pro" w:cs="Times New Roman"/>
          <w:sz w:val="20"/>
          <w:szCs w:val="20"/>
        </w:rPr>
        <w:t xml:space="preserve"> a koji bi se morao javno objaviti, odnosno kada je podatak o promjeni predsjednika upravnog odbora postao „precizan“ i time podoban za objavu kao financijski relevantan.</w:t>
      </w:r>
    </w:p>
    <w:p w:rsidR="00E7679D" w:rsidRPr="00CC0298" w:rsidRDefault="00E7679D" w:rsidP="00CC0298">
      <w:pPr>
        <w:spacing w:after="0" w:line="240" w:lineRule="auto"/>
        <w:jc w:val="both"/>
        <w:rPr>
          <w:rFonts w:ascii="Adobe Garamond Pro" w:hAnsi="Adobe Garamond Pro" w:cs="Times New Roman"/>
          <w:sz w:val="20"/>
          <w:szCs w:val="20"/>
        </w:rPr>
      </w:pPr>
    </w:p>
    <w:p w:rsidR="00CC0298" w:rsidRP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Sud je u presudi rekao kako bi neuzimanje kao preciznih postojećih i očekivanih međukoraka u postupku, koji bi trebao dovesti do nekog budućeg događaja dovelo do otklanjanja obveze na javnu objavu tog podatka, iako može biti riječ o vrlo preciznom podatku uz kojega mogu biti ispunjene i druge pretpostavke „insajderskog“ podatka.</w:t>
      </w:r>
      <w:r w:rsidRPr="00CC0298">
        <w:rPr>
          <w:rStyle w:val="FootnoteReference"/>
          <w:rFonts w:ascii="Adobe Garamond Pro" w:hAnsi="Adobe Garamond Pro" w:cs="Times New Roman"/>
          <w:sz w:val="20"/>
          <w:szCs w:val="20"/>
        </w:rPr>
        <w:footnoteReference w:id="24"/>
      </w:r>
      <w:r w:rsidRPr="00CC0298">
        <w:rPr>
          <w:rFonts w:ascii="Adobe Garamond Pro" w:hAnsi="Adobe Garamond Pro" w:cs="Times New Roman"/>
          <w:sz w:val="20"/>
          <w:szCs w:val="20"/>
        </w:rPr>
        <w:t xml:space="preserve"> U takvoj situaciji postoji opasnost da se ugroze ciljevi Direktive o zlouporabi tržišta i da se da prednost jednoj skupini ulagača u odnosu na drugu.</w:t>
      </w:r>
      <w:r w:rsidRPr="00CC0298">
        <w:rPr>
          <w:rStyle w:val="FootnoteReference"/>
          <w:rFonts w:ascii="Adobe Garamond Pro" w:hAnsi="Adobe Garamond Pro" w:cs="Times New Roman"/>
          <w:sz w:val="20"/>
          <w:szCs w:val="20"/>
        </w:rPr>
        <w:footnoteReference w:id="25"/>
      </w:r>
      <w:r w:rsidRPr="00CC0298">
        <w:rPr>
          <w:rFonts w:ascii="Adobe Garamond Pro" w:hAnsi="Adobe Garamond Pro" w:cs="Times New Roman"/>
          <w:sz w:val="20"/>
          <w:szCs w:val="20"/>
        </w:rPr>
        <w:t xml:space="preserve"> Time je sud jasno potvrdio da međukoraci u nekom postupku unutar društva mogu imati značenje precizne obveze,</w:t>
      </w:r>
      <w:r w:rsidRPr="00CC0298">
        <w:rPr>
          <w:rStyle w:val="FootnoteReference"/>
          <w:rFonts w:ascii="Adobe Garamond Pro" w:hAnsi="Adobe Garamond Pro" w:cs="Times New Roman"/>
          <w:sz w:val="20"/>
          <w:szCs w:val="20"/>
        </w:rPr>
        <w:footnoteReference w:id="26"/>
      </w:r>
      <w:r w:rsidRPr="00CC0298">
        <w:rPr>
          <w:rFonts w:ascii="Adobe Garamond Pro" w:hAnsi="Adobe Garamond Pro" w:cs="Times New Roman"/>
          <w:sz w:val="20"/>
          <w:szCs w:val="20"/>
        </w:rPr>
        <w:t xml:space="preserve"> što dalje znači i obvezu njihove objave na tržištu radi ravnopravnosti svih dionika tržišta kapitala.</w:t>
      </w:r>
      <w:r w:rsidRPr="00CC0298">
        <w:rPr>
          <w:rStyle w:val="FootnoteReference"/>
          <w:rFonts w:ascii="Adobe Garamond Pro" w:hAnsi="Adobe Garamond Pro" w:cs="Times New Roman"/>
          <w:sz w:val="20"/>
          <w:szCs w:val="20"/>
        </w:rPr>
        <w:footnoteReference w:id="27"/>
      </w: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lastRenderedPageBreak/>
        <w:t>Glede stupnja vjerojatnosti nastanka okolnosti na koje mora upućivati podatak da bi se smatrao preciznim, Sud je ustvrdio da je dovoljno da se radi o budućim okolnostima iz kojih, temeljem okolnosti cijelog slučaja, proizlazi da je realno očekivati da će se dogoditi te  ista ne ovisi o tome u kojoj će mjeri te okolnosti utjecati na cijene financijskih instrumenata na tržištu kapitala.</w:t>
      </w:r>
      <w:r w:rsidRPr="00CC0298">
        <w:rPr>
          <w:rStyle w:val="FootnoteReference"/>
          <w:rFonts w:ascii="Adobe Garamond Pro" w:hAnsi="Adobe Garamond Pro" w:cs="Times New Roman"/>
          <w:sz w:val="20"/>
          <w:szCs w:val="20"/>
        </w:rPr>
        <w:footnoteReference w:id="28"/>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Pr="00CC0298" w:rsidRDefault="003C23CF" w:rsidP="00CC0298">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tab/>
      </w:r>
      <w:r w:rsidR="00CC0298" w:rsidRPr="00CC0298">
        <w:rPr>
          <w:rFonts w:ascii="Adobe Garamond Pro" w:hAnsi="Adobe Garamond Pro" w:cs="Times New Roman"/>
          <w:sz w:val="20"/>
          <w:szCs w:val="20"/>
        </w:rPr>
        <w:t>Iz navedene presude, može se zaključiti da obveza društva da učini javno dostupnim podatke o promjenama u upravljanju društvom ne nastaje tek po okončanju postupka koji je do promjene doveo, već radi zaštite članova društva i sudionika tržišta kapitala, nastaje čim se pojavi neki precizni podatak koji može značajno utjecati na cijene financijskih instrumenata, koje je društvo izdalo. Ekstenzivnim tumačenjem navedenih odredbi Direktive o zlouporabi tržišta Sud je imao za cilj proširiti krug slučajeva u kojima se štite investitori, čime se doprinosi očuvanju integriteta financijskog tržišta i očuvanju povjerenja u ista.</w:t>
      </w:r>
      <w:r w:rsidR="00CC0298" w:rsidRPr="00CC0298">
        <w:rPr>
          <w:rStyle w:val="FootnoteReference"/>
          <w:rFonts w:ascii="Adobe Garamond Pro" w:hAnsi="Adobe Garamond Pro" w:cs="Times New Roman"/>
          <w:sz w:val="20"/>
          <w:szCs w:val="20"/>
        </w:rPr>
        <w:footnoteReference w:id="29"/>
      </w:r>
      <w:r w:rsidR="00CC0298" w:rsidRPr="00CC0298">
        <w:rPr>
          <w:rFonts w:ascii="Adobe Garamond Pro" w:hAnsi="Adobe Garamond Pro" w:cs="Times New Roman"/>
          <w:sz w:val="20"/>
          <w:szCs w:val="20"/>
        </w:rPr>
        <w:t xml:space="preserve"> Pored toga, veća transparentnost poslovanja znači i viši stupanj povjerenja u društvo, što u konačnici snižava cijenu pozajmljenog kapitala</w:t>
      </w:r>
      <w:r w:rsidR="00CC0298" w:rsidRPr="00CC0298">
        <w:rPr>
          <w:rStyle w:val="FootnoteReference"/>
          <w:rFonts w:ascii="Adobe Garamond Pro" w:hAnsi="Adobe Garamond Pro" w:cs="Times New Roman"/>
          <w:sz w:val="20"/>
          <w:szCs w:val="20"/>
        </w:rPr>
        <w:footnoteReference w:id="30"/>
      </w:r>
      <w:r w:rsidR="00CC0298" w:rsidRPr="00CC0298">
        <w:rPr>
          <w:rFonts w:ascii="Adobe Garamond Pro" w:hAnsi="Adobe Garamond Pro" w:cs="Times New Roman"/>
          <w:sz w:val="20"/>
          <w:szCs w:val="20"/>
        </w:rPr>
        <w:t xml:space="preserve"> i povećava opću likvidnost,</w:t>
      </w:r>
      <w:r w:rsidR="00CC0298" w:rsidRPr="00CC0298">
        <w:rPr>
          <w:rStyle w:val="FootnoteReference"/>
          <w:rFonts w:ascii="Adobe Garamond Pro" w:hAnsi="Adobe Garamond Pro" w:cs="Times New Roman"/>
          <w:sz w:val="20"/>
          <w:szCs w:val="20"/>
        </w:rPr>
        <w:footnoteReference w:id="31"/>
      </w:r>
      <w:r w:rsidR="00CC0298" w:rsidRPr="00CC0298">
        <w:rPr>
          <w:rFonts w:ascii="Adobe Garamond Pro" w:hAnsi="Adobe Garamond Pro" w:cs="Times New Roman"/>
          <w:sz w:val="20"/>
          <w:szCs w:val="20"/>
        </w:rPr>
        <w:t xml:space="preserve"> a time i bolju alokaciju kapitala.</w:t>
      </w:r>
      <w:r w:rsidR="00CC0298" w:rsidRPr="00CC0298">
        <w:rPr>
          <w:rStyle w:val="FootnoteReference"/>
          <w:rFonts w:ascii="Adobe Garamond Pro" w:hAnsi="Adobe Garamond Pro" w:cs="Times New Roman"/>
          <w:sz w:val="20"/>
          <w:szCs w:val="20"/>
        </w:rPr>
        <w:footnoteReference w:id="32"/>
      </w:r>
    </w:p>
    <w:p w:rsidR="00CC0298" w:rsidRDefault="00CC0298" w:rsidP="003C23CF">
      <w:pPr>
        <w:pStyle w:val="ListParagraph"/>
        <w:spacing w:after="0" w:line="240" w:lineRule="auto"/>
        <w:ind w:left="0"/>
        <w:jc w:val="both"/>
        <w:rPr>
          <w:rFonts w:ascii="Adobe Garamond Pro" w:hAnsi="Adobe Garamond Pro" w:cs="Times New Roman"/>
          <w:b/>
        </w:rPr>
      </w:pPr>
      <w:r w:rsidRPr="003C23CF">
        <w:rPr>
          <w:rFonts w:ascii="Adobe Garamond Pro" w:hAnsi="Adobe Garamond Pro" w:cs="Times New Roman"/>
          <w:b/>
        </w:rPr>
        <w:lastRenderedPageBreak/>
        <w:t>Raskid ugovora o kupoprodaji dionica u slučaju netočnih podataka objavljenih u prospektu društva – moguće posljedice po načelo održanja kapitala društva i jednak tretman članova društva</w:t>
      </w:r>
    </w:p>
    <w:p w:rsidR="003C23CF" w:rsidRPr="003C23CF" w:rsidRDefault="003C23CF" w:rsidP="003C23CF">
      <w:pPr>
        <w:pStyle w:val="ListParagraph"/>
        <w:spacing w:after="0" w:line="240" w:lineRule="auto"/>
        <w:ind w:left="0"/>
        <w:jc w:val="both"/>
        <w:rPr>
          <w:rFonts w:ascii="Adobe Garamond Pro" w:hAnsi="Adobe Garamond Pro" w:cs="Times New Roman"/>
          <w:b/>
        </w:rPr>
      </w:pPr>
    </w:p>
    <w:p w:rsidR="00CC0298" w:rsidRDefault="00CC0298" w:rsidP="003C23CF">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t xml:space="preserve">U predmetu </w:t>
      </w:r>
      <w:r w:rsidRPr="00CC0298">
        <w:rPr>
          <w:rFonts w:ascii="Adobe Garamond Pro" w:hAnsi="Adobe Garamond Pro" w:cs="Times New Roman"/>
          <w:i/>
          <w:sz w:val="20"/>
          <w:szCs w:val="20"/>
        </w:rPr>
        <w:t>Alfred Hirmann v Immofinanz AG</w:t>
      </w:r>
      <w:r w:rsidRPr="00CC0298">
        <w:rPr>
          <w:rStyle w:val="FootnoteReference"/>
          <w:rFonts w:ascii="Adobe Garamond Pro" w:hAnsi="Adobe Garamond Pro" w:cs="Times New Roman"/>
          <w:i/>
          <w:sz w:val="20"/>
          <w:szCs w:val="20"/>
        </w:rPr>
        <w:footnoteReference w:id="33"/>
      </w:r>
      <w:r w:rsidRPr="00CC0298">
        <w:rPr>
          <w:rFonts w:ascii="Adobe Garamond Pro" w:hAnsi="Adobe Garamond Pro" w:cs="Times New Roman"/>
          <w:sz w:val="20"/>
          <w:szCs w:val="20"/>
        </w:rPr>
        <w:t xml:space="preserve"> riječ je o prethodnom postupku pokrenutom od strane bečkog Trgovačkog suda povodom spora između dioničara i dioničkog društva, a koji se ticao građanskopravne zaštite ulagatelja u slučaju kupnje dionica temeljem netočnih podataka objavljenih u prospektu. Naime, u konkretnom slučaju Alfred Hirmann kupio je dionice društva Immofinanz u vrijednosti 10.013,75 EUR posredstvom društva Aviso Zeta AG na sekundarnom tržištu kapitala.</w:t>
      </w:r>
      <w:r w:rsidRPr="00CC0298">
        <w:rPr>
          <w:rStyle w:val="FootnoteReference"/>
          <w:rFonts w:ascii="Adobe Garamond Pro" w:hAnsi="Adobe Garamond Pro" w:cs="Times New Roman"/>
          <w:sz w:val="20"/>
          <w:szCs w:val="20"/>
        </w:rPr>
        <w:footnoteReference w:id="34"/>
      </w:r>
      <w:r w:rsidRPr="00CC0298">
        <w:rPr>
          <w:rFonts w:ascii="Adobe Garamond Pro" w:hAnsi="Adobe Garamond Pro" w:cs="Times New Roman"/>
          <w:sz w:val="20"/>
          <w:szCs w:val="20"/>
        </w:rPr>
        <w:t xml:space="preserve"> Aviso Zeta AG je ujedno postala skrbnik dionica Alfreda Hirmanna. Alfred Hirmann podiže tužbu protiv Immofinanza tvrdeći da su njegove dionice kupljene preko društava kćeri Aviso Zeta, koje je ujedno vladajuće društvo u odnosu na Immofinanz, u cilju manipulacije tržištem.</w:t>
      </w:r>
      <w:r w:rsidRPr="00CC0298">
        <w:rPr>
          <w:rStyle w:val="FootnoteReference"/>
          <w:rFonts w:ascii="Adobe Garamond Pro" w:hAnsi="Adobe Garamond Pro" w:cs="Times New Roman"/>
          <w:sz w:val="20"/>
          <w:szCs w:val="20"/>
        </w:rPr>
        <w:footnoteReference w:id="35"/>
      </w:r>
      <w:r w:rsidRPr="00CC0298">
        <w:rPr>
          <w:rFonts w:ascii="Adobe Garamond Pro" w:hAnsi="Adobe Garamond Pro" w:cs="Times New Roman"/>
          <w:sz w:val="20"/>
          <w:szCs w:val="20"/>
        </w:rPr>
        <w:t xml:space="preserve"> Hirmann je tvrdio kako se u prospektu navodilo da kupnja predstavlja sigurno i nerizično ulaganje, no ispostavilo se da su tamo sadržani podaci bili nepotpuni, pogrešni i zavaravajući, zbog čega je protiv bivših članova upravnog odbora Immofinanza pokrenut kazneni progon.</w:t>
      </w:r>
      <w:r w:rsidRPr="00CC0298">
        <w:rPr>
          <w:rStyle w:val="FootnoteReference"/>
          <w:rFonts w:ascii="Adobe Garamond Pro" w:hAnsi="Adobe Garamond Pro" w:cs="Times New Roman"/>
          <w:sz w:val="20"/>
          <w:szCs w:val="20"/>
        </w:rPr>
        <w:footnoteReference w:id="36"/>
      </w:r>
      <w:r w:rsidRPr="00CC0298">
        <w:rPr>
          <w:rFonts w:ascii="Adobe Garamond Pro" w:hAnsi="Adobe Garamond Pro" w:cs="Times New Roman"/>
          <w:sz w:val="20"/>
          <w:szCs w:val="20"/>
        </w:rPr>
        <w:t xml:space="preserve"> U tim okolnostima Alfred Hirmann podiže tužbu radi raskida ugovora o kupoprodaju dionica i naknade štete. Pritom je tražio naknadu u iznosu jednakom početnoj cijeni dionice, s pripadajućim kamatama, s tim da će vratiti dobivene dionice Immofinanzu.</w:t>
      </w:r>
      <w:r w:rsidRPr="00CC0298">
        <w:rPr>
          <w:rStyle w:val="FootnoteReference"/>
          <w:rFonts w:ascii="Adobe Garamond Pro" w:hAnsi="Adobe Garamond Pro" w:cs="Times New Roman"/>
          <w:sz w:val="20"/>
          <w:szCs w:val="20"/>
        </w:rPr>
        <w:footnoteReference w:id="37"/>
      </w:r>
      <w:r w:rsidRPr="00CC0298">
        <w:rPr>
          <w:rFonts w:ascii="Adobe Garamond Pro" w:hAnsi="Adobe Garamond Pro" w:cs="Times New Roman"/>
          <w:sz w:val="20"/>
          <w:szCs w:val="20"/>
        </w:rPr>
        <w:t xml:space="preserve"> Prema mišljenju Immofinanza, takav zahtjev predstavljao bi kršenje načela prava EU i nacionalnog prava o održanju temeljnog kapitala društva i ravnopravnosti dioničara.</w:t>
      </w:r>
      <w:r w:rsidRPr="00CC0298">
        <w:rPr>
          <w:rStyle w:val="FootnoteReference"/>
          <w:rFonts w:ascii="Adobe Garamond Pro" w:hAnsi="Adobe Garamond Pro" w:cs="Times New Roman"/>
          <w:sz w:val="20"/>
          <w:szCs w:val="20"/>
        </w:rPr>
        <w:footnoteReference w:id="38"/>
      </w:r>
      <w:r w:rsidRPr="00CC0298">
        <w:rPr>
          <w:rFonts w:ascii="Adobe Garamond Pro" w:hAnsi="Adobe Garamond Pro" w:cs="Times New Roman"/>
          <w:sz w:val="20"/>
          <w:szCs w:val="20"/>
        </w:rPr>
        <w:t xml:space="preserve"> Sudu je postavljeno nekoliko pitanja tumačenja odredbi nacionalnog prava, koje su rezultat implementacije Direktive o transparentnosti,</w:t>
      </w:r>
      <w:r w:rsidRPr="00CC0298">
        <w:rPr>
          <w:rStyle w:val="FootnoteReference"/>
          <w:rFonts w:ascii="Adobe Garamond Pro" w:hAnsi="Adobe Garamond Pro" w:cs="Times New Roman"/>
          <w:sz w:val="20"/>
          <w:szCs w:val="20"/>
        </w:rPr>
        <w:footnoteReference w:id="39"/>
      </w:r>
      <w:r w:rsidRPr="00CC0298">
        <w:rPr>
          <w:rFonts w:ascii="Adobe Garamond Pro" w:hAnsi="Adobe Garamond Pro" w:cs="Times New Roman"/>
          <w:sz w:val="20"/>
          <w:szCs w:val="20"/>
        </w:rPr>
        <w:t xml:space="preserve"> o prospektu</w:t>
      </w:r>
      <w:r w:rsidRPr="00CC0298">
        <w:rPr>
          <w:rStyle w:val="FootnoteReference"/>
          <w:rFonts w:ascii="Adobe Garamond Pro" w:hAnsi="Adobe Garamond Pro" w:cs="Times New Roman"/>
          <w:sz w:val="20"/>
          <w:szCs w:val="20"/>
        </w:rPr>
        <w:footnoteReference w:id="40"/>
      </w:r>
      <w:r w:rsidRPr="00CC0298">
        <w:rPr>
          <w:rFonts w:ascii="Adobe Garamond Pro" w:hAnsi="Adobe Garamond Pro" w:cs="Times New Roman"/>
          <w:sz w:val="20"/>
          <w:szCs w:val="20"/>
        </w:rPr>
        <w:t xml:space="preserve"> i o zlouporabi tržišta</w:t>
      </w:r>
      <w:r w:rsidRPr="00CC0298">
        <w:rPr>
          <w:rStyle w:val="FootnoteReference"/>
          <w:rFonts w:ascii="Adobe Garamond Pro" w:hAnsi="Adobe Garamond Pro" w:cs="Times New Roman"/>
          <w:sz w:val="20"/>
          <w:szCs w:val="20"/>
        </w:rPr>
        <w:footnoteReference w:id="41"/>
      </w:r>
      <w:r w:rsidRPr="00CC0298">
        <w:rPr>
          <w:rFonts w:ascii="Adobe Garamond Pro" w:hAnsi="Adobe Garamond Pro" w:cs="Times New Roman"/>
          <w:sz w:val="20"/>
          <w:szCs w:val="20"/>
        </w:rPr>
        <w:t xml:space="preserve"> u odnosu na pravila o </w:t>
      </w:r>
      <w:r w:rsidRPr="00CC0298">
        <w:rPr>
          <w:rFonts w:ascii="Adobe Garamond Pro" w:hAnsi="Adobe Garamond Pro" w:cs="Times New Roman"/>
          <w:sz w:val="20"/>
          <w:szCs w:val="20"/>
        </w:rPr>
        <w:lastRenderedPageBreak/>
        <w:t>održanju temeljnog kapitala i zabrani stjecanja vlastitih dionica iz tzv. Druge direktive.</w:t>
      </w:r>
      <w:r w:rsidRPr="00CC0298">
        <w:rPr>
          <w:rStyle w:val="FootnoteReference"/>
          <w:rFonts w:ascii="Adobe Garamond Pro" w:hAnsi="Adobe Garamond Pro" w:cs="Times New Roman"/>
          <w:sz w:val="20"/>
          <w:szCs w:val="20"/>
        </w:rPr>
        <w:footnoteReference w:id="42"/>
      </w:r>
      <w:r w:rsidRPr="00CC0298">
        <w:rPr>
          <w:rFonts w:ascii="Adobe Garamond Pro" w:hAnsi="Adobe Garamond Pro" w:cs="Times New Roman"/>
          <w:sz w:val="20"/>
          <w:szCs w:val="20"/>
        </w:rPr>
        <w:t xml:space="preserve"> Naime, tri direktive i temeljem njih harmonizirano nacionalno pravo predviđaju odgovornost društva za povredu pravila o pružanju podataka ulagateljima, no pitanje je da li je to kompatibilno s jednim drugim izvorom europskog prava društava, Drugom direktivom. U ovom se predmetu zapravo raspravlja (i) o kompatibilnosti izvora europskog prava društava i prava tržišta kapitala koji u  istoj pravnoj situaciji nude </w:t>
      </w:r>
      <w:r w:rsidRPr="00CC0298">
        <w:rPr>
          <w:rFonts w:ascii="Adobe Garamond Pro" w:hAnsi="Adobe Garamond Pro" w:cs="Times New Roman"/>
          <w:i/>
          <w:sz w:val="20"/>
          <w:szCs w:val="20"/>
        </w:rPr>
        <w:t>prima facie</w:t>
      </w:r>
      <w:r w:rsidRPr="00CC0298">
        <w:rPr>
          <w:rFonts w:ascii="Adobe Garamond Pro" w:hAnsi="Adobe Garamond Pro" w:cs="Times New Roman"/>
          <w:sz w:val="20"/>
          <w:szCs w:val="20"/>
        </w:rPr>
        <w:t xml:space="preserve"> suprotna rješenja. U tom se smislu postavilo  pitanje da li pojedine odredbe Druge direktive trebaju biti tumačene na način da isključuju pravila nacionalnog prava koje u slučaju odgovornosti društva predviđaju mogućnost povrata cijene uz istovremeni otkup vlastitih dionica.</w:t>
      </w:r>
      <w:r w:rsidRPr="00CC0298">
        <w:rPr>
          <w:rStyle w:val="FootnoteReference"/>
          <w:rFonts w:ascii="Adobe Garamond Pro" w:hAnsi="Adobe Garamond Pro" w:cs="Times New Roman"/>
          <w:sz w:val="20"/>
          <w:szCs w:val="20"/>
        </w:rPr>
        <w:footnoteReference w:id="43"/>
      </w:r>
      <w:r w:rsidRPr="00CC0298">
        <w:rPr>
          <w:rFonts w:ascii="Adobe Garamond Pro" w:hAnsi="Adobe Garamond Pro" w:cs="Times New Roman"/>
          <w:sz w:val="20"/>
          <w:szCs w:val="20"/>
        </w:rPr>
        <w:t xml:space="preserve"> Pred Sudom se postavilo pitanje da li društvo u smislu Druge direktive može odgovarati i neto imovinom te da li ono odgovara čak i pod prijetnjom da postane insolventno.</w:t>
      </w:r>
      <w:r w:rsidRPr="00CC0298">
        <w:rPr>
          <w:rStyle w:val="FootnoteReference"/>
          <w:rFonts w:ascii="Adobe Garamond Pro" w:hAnsi="Adobe Garamond Pro" w:cs="Times New Roman"/>
          <w:sz w:val="20"/>
          <w:szCs w:val="20"/>
        </w:rPr>
        <w:footnoteReference w:id="44"/>
      </w:r>
      <w:r w:rsidRPr="00CC0298">
        <w:rPr>
          <w:rFonts w:ascii="Adobe Garamond Pro" w:hAnsi="Adobe Garamond Pro" w:cs="Times New Roman"/>
          <w:sz w:val="20"/>
          <w:szCs w:val="20"/>
        </w:rPr>
        <w:t xml:space="preserve"> Postavilo se pitanje tumačenja Direktive o zaštitnim mjerama, u smislu da li ista isključuju pravila nacionalnog prava koja dozvoljavaju retroaktivni raskid kupoprodaje dionica, na način da je moguć samo </w:t>
      </w:r>
      <w:r w:rsidRPr="00CC0298">
        <w:rPr>
          <w:rFonts w:ascii="Adobe Garamond Pro" w:hAnsi="Adobe Garamond Pro" w:cs="Times New Roman"/>
          <w:i/>
          <w:sz w:val="20"/>
          <w:szCs w:val="20"/>
        </w:rPr>
        <w:t>ex</w:t>
      </w:r>
      <w:r w:rsidRPr="00CC0298">
        <w:rPr>
          <w:rFonts w:ascii="Adobe Garamond Pro" w:hAnsi="Adobe Garamond Pro" w:cs="Times New Roman"/>
          <w:sz w:val="20"/>
          <w:szCs w:val="20"/>
        </w:rPr>
        <w:t xml:space="preserve"> </w:t>
      </w:r>
      <w:r w:rsidRPr="00CC0298">
        <w:rPr>
          <w:rFonts w:ascii="Adobe Garamond Pro" w:hAnsi="Adobe Garamond Pro" w:cs="Times New Roman"/>
          <w:i/>
          <w:sz w:val="20"/>
          <w:szCs w:val="20"/>
        </w:rPr>
        <w:t>nunc</w:t>
      </w:r>
      <w:r w:rsidRPr="00CC0298">
        <w:rPr>
          <w:rFonts w:ascii="Adobe Garamond Pro" w:hAnsi="Adobe Garamond Pro" w:cs="Times New Roman"/>
          <w:sz w:val="20"/>
          <w:szCs w:val="20"/>
        </w:rPr>
        <w:t xml:space="preserve"> raskid.</w:t>
      </w:r>
      <w:r w:rsidRPr="00CC0298">
        <w:rPr>
          <w:rStyle w:val="FootnoteReference"/>
          <w:rFonts w:ascii="Adobe Garamond Pro" w:hAnsi="Adobe Garamond Pro" w:cs="Times New Roman"/>
          <w:sz w:val="20"/>
          <w:szCs w:val="20"/>
        </w:rPr>
        <w:footnoteReference w:id="45"/>
      </w:r>
      <w:r w:rsidRPr="00CC0298">
        <w:rPr>
          <w:rFonts w:ascii="Adobe Garamond Pro" w:hAnsi="Adobe Garamond Pro" w:cs="Times New Roman"/>
          <w:sz w:val="20"/>
          <w:szCs w:val="20"/>
        </w:rPr>
        <w:t xml:space="preserve"> Naposljetku, da li pravila Druge direktive i Direktive o zaštitnim mjerama</w:t>
      </w:r>
      <w:r w:rsidRPr="00CC0298">
        <w:rPr>
          <w:rStyle w:val="FootnoteReference"/>
          <w:rFonts w:ascii="Adobe Garamond Pro" w:hAnsi="Adobe Garamond Pro" w:cs="Times New Roman"/>
          <w:sz w:val="20"/>
          <w:szCs w:val="20"/>
        </w:rPr>
        <w:footnoteReference w:id="46"/>
      </w:r>
      <w:r w:rsidRPr="00CC0298">
        <w:rPr>
          <w:rFonts w:ascii="Adobe Garamond Pro" w:hAnsi="Adobe Garamond Pro" w:cs="Times New Roman"/>
          <w:sz w:val="20"/>
          <w:szCs w:val="20"/>
        </w:rPr>
        <w:t xml:space="preserve"> treba tumačiti na način da se odgovornost društva ograniči na vrijednost dionica tj. tržišnu vrijednost dionica u vrijeme podizanja tužbe, a ne u vrijeme kupnje dionica, što možete dovesti do toga da se dioničaru vrati manji iznos nego iznos koji je platio.</w:t>
      </w:r>
      <w:r w:rsidRPr="00CC0298">
        <w:rPr>
          <w:rStyle w:val="FootnoteReference"/>
          <w:rFonts w:ascii="Adobe Garamond Pro" w:hAnsi="Adobe Garamond Pro" w:cs="Times New Roman"/>
          <w:sz w:val="20"/>
          <w:szCs w:val="20"/>
        </w:rPr>
        <w:footnoteReference w:id="47"/>
      </w:r>
    </w:p>
    <w:p w:rsidR="003C23CF" w:rsidRPr="00CC0298" w:rsidRDefault="003C23CF" w:rsidP="003C23CF">
      <w:pPr>
        <w:spacing w:after="0" w:line="240" w:lineRule="auto"/>
        <w:ind w:firstLine="567"/>
        <w:jc w:val="both"/>
        <w:rPr>
          <w:rFonts w:ascii="Adobe Garamond Pro" w:hAnsi="Adobe Garamond Pro" w:cs="Times New Roman"/>
          <w:sz w:val="20"/>
          <w:szCs w:val="20"/>
        </w:rPr>
      </w:pPr>
    </w:p>
    <w:p w:rsidR="00CC0298" w:rsidRPr="00CC0298" w:rsidRDefault="00CC0298" w:rsidP="003C23CF">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t>Sud je potvrdio da je cilj Druge direktive očuvanje temeljnog kapitala, te jednak tretman dioničara.</w:t>
      </w:r>
      <w:r w:rsidRPr="00CC0298">
        <w:rPr>
          <w:rStyle w:val="FootnoteReference"/>
          <w:rFonts w:ascii="Adobe Garamond Pro" w:hAnsi="Adobe Garamond Pro" w:cs="Times New Roman"/>
          <w:sz w:val="20"/>
          <w:szCs w:val="20"/>
        </w:rPr>
        <w:footnoteReference w:id="48"/>
      </w:r>
      <w:r w:rsidRPr="00CC0298">
        <w:rPr>
          <w:rFonts w:ascii="Adobe Garamond Pro" w:hAnsi="Adobe Garamond Pro" w:cs="Times New Roman"/>
          <w:sz w:val="20"/>
          <w:szCs w:val="20"/>
        </w:rPr>
        <w:t xml:space="preserve"> No, kako po smislu tako i po dikciji, odredbe Druge direktive služe uređivanju samo internih pravnih odnosa društva i njegovih dioničara koji proizlaze iz internih akata društva.</w:t>
      </w:r>
      <w:r w:rsidRPr="00CC0298">
        <w:rPr>
          <w:rStyle w:val="FootnoteReference"/>
          <w:rFonts w:ascii="Adobe Garamond Pro" w:hAnsi="Adobe Garamond Pro" w:cs="Times New Roman"/>
          <w:sz w:val="20"/>
          <w:szCs w:val="20"/>
        </w:rPr>
        <w:footnoteReference w:id="49"/>
      </w:r>
      <w:r w:rsidRPr="00CC0298">
        <w:rPr>
          <w:rFonts w:ascii="Adobe Garamond Pro" w:hAnsi="Adobe Garamond Pro" w:cs="Times New Roman"/>
          <w:sz w:val="20"/>
          <w:szCs w:val="20"/>
        </w:rPr>
        <w:t xml:space="preserve"> Iz toga slijedi da navedene odredbe ne mogu isključivati odredbe nacionalnog zakonodavstva o odgovornosti društva za davanje netočnih podataka i posljedičnu obvezu povrata cijene kupcu jednaku kupoprodajnoj cijeni i otkupa dionica.</w:t>
      </w:r>
      <w:r w:rsidRPr="00CC0298">
        <w:rPr>
          <w:rStyle w:val="FootnoteReference"/>
          <w:rFonts w:ascii="Adobe Garamond Pro" w:hAnsi="Adobe Garamond Pro" w:cs="Times New Roman"/>
          <w:sz w:val="20"/>
          <w:szCs w:val="20"/>
        </w:rPr>
        <w:footnoteReference w:id="50"/>
      </w:r>
      <w:r w:rsidRPr="00CC0298">
        <w:rPr>
          <w:rFonts w:ascii="Adobe Garamond Pro" w:hAnsi="Adobe Garamond Pro" w:cs="Times New Roman"/>
          <w:sz w:val="20"/>
          <w:szCs w:val="20"/>
        </w:rPr>
        <w:t xml:space="preserve"> Naime, poručuje Sud, odgovornost društva prema ulagatelju koji je istovremeno i dioničar, zbog protupravnog ponašanja prije ili u trenutku sklapanja ugovora ne proizlazi iz internih </w:t>
      </w:r>
      <w:r w:rsidRPr="00CC0298">
        <w:rPr>
          <w:rFonts w:ascii="Adobe Garamond Pro" w:hAnsi="Adobe Garamond Pro" w:cs="Times New Roman"/>
          <w:sz w:val="20"/>
          <w:szCs w:val="20"/>
        </w:rPr>
        <w:lastRenderedPageBreak/>
        <w:t>akata društva i nije rezultat internih odnosa, već ista proizlazi iz ugovora o stjecanju dionica.</w:t>
      </w:r>
      <w:r w:rsidRPr="00CC0298">
        <w:rPr>
          <w:rStyle w:val="FootnoteReference"/>
          <w:rFonts w:ascii="Adobe Garamond Pro" w:hAnsi="Adobe Garamond Pro" w:cs="Times New Roman"/>
          <w:sz w:val="20"/>
          <w:szCs w:val="20"/>
        </w:rPr>
        <w:footnoteReference w:id="51"/>
      </w:r>
      <w:r w:rsidRPr="00CC0298">
        <w:rPr>
          <w:rFonts w:ascii="Adobe Garamond Pro" w:hAnsi="Adobe Garamond Pro" w:cs="Times New Roman"/>
          <w:sz w:val="20"/>
          <w:szCs w:val="20"/>
        </w:rPr>
        <w:t xml:space="preserve"> Time je jasno razgraničio tipove odnosa koji postoje u društvu, tj. utvrdio dualitetnu prirodu odnosa istih osoba i istog društva. Ovakvom interpretacijom odnosa unutar članske strukture ne samo da je Sud utvrdio da postoji odnos član – društvo i investitor – društvo, već je time utrt put razlikovanju oblika odgovornosti za štetu članu društva.</w:t>
      </w:r>
      <w:r w:rsidRPr="00CC0298">
        <w:rPr>
          <w:rStyle w:val="FootnoteReference"/>
          <w:rFonts w:ascii="Adobe Garamond Pro" w:hAnsi="Adobe Garamond Pro" w:cs="Times New Roman"/>
          <w:sz w:val="20"/>
          <w:szCs w:val="20"/>
        </w:rPr>
        <w:footnoteReference w:id="52"/>
      </w:r>
      <w:r w:rsidRPr="00CC0298">
        <w:rPr>
          <w:rFonts w:ascii="Adobe Garamond Pro" w:hAnsi="Adobe Garamond Pro" w:cs="Times New Roman"/>
          <w:sz w:val="20"/>
          <w:szCs w:val="20"/>
        </w:rPr>
        <w:t xml:space="preserve"> Time je Sud razriješio sporno pitanje o poštivanju načela jednakog tretmana članova društva. Dioničar, koji trpi štetu zbog protupravnog ponašanja društva prije ili u trenutku kupnje dionica, nije u istom položaju kao onaj dioničar čiji pravni položaj nije povrijeđen takvim činom.</w:t>
      </w:r>
      <w:r w:rsidRPr="00CC0298">
        <w:rPr>
          <w:rStyle w:val="FootnoteReference"/>
          <w:rFonts w:ascii="Adobe Garamond Pro" w:hAnsi="Adobe Garamond Pro" w:cs="Times New Roman"/>
          <w:sz w:val="20"/>
          <w:szCs w:val="20"/>
        </w:rPr>
        <w:footnoteReference w:id="53"/>
      </w:r>
      <w:r w:rsidRPr="00CC0298">
        <w:rPr>
          <w:rFonts w:ascii="Adobe Garamond Pro" w:hAnsi="Adobe Garamond Pro" w:cs="Times New Roman"/>
          <w:sz w:val="20"/>
          <w:szCs w:val="20"/>
        </w:rPr>
        <w:t xml:space="preserve"> Iz načela jednakosti članova u jednakim situacijama</w:t>
      </w:r>
      <w:r w:rsidRPr="00CC0298">
        <w:rPr>
          <w:rStyle w:val="FootnoteReference"/>
          <w:rFonts w:ascii="Adobe Garamond Pro" w:hAnsi="Adobe Garamond Pro" w:cs="Times New Roman"/>
          <w:sz w:val="20"/>
          <w:szCs w:val="20"/>
        </w:rPr>
        <w:footnoteReference w:id="54"/>
      </w:r>
      <w:r w:rsidRPr="00CC0298">
        <w:rPr>
          <w:rFonts w:ascii="Adobe Garamond Pro" w:hAnsi="Adobe Garamond Pro" w:cs="Times New Roman"/>
          <w:sz w:val="20"/>
          <w:szCs w:val="20"/>
        </w:rPr>
        <w:t xml:space="preserve"> proizlazi </w:t>
      </w:r>
      <w:r w:rsidRPr="00CC0298">
        <w:rPr>
          <w:rFonts w:ascii="Adobe Garamond Pro" w:hAnsi="Adobe Garamond Pro" w:cs="Times New Roman"/>
          <w:i/>
          <w:sz w:val="20"/>
          <w:szCs w:val="20"/>
        </w:rPr>
        <w:t xml:space="preserve">a contrario </w:t>
      </w:r>
      <w:r w:rsidRPr="00CC0298">
        <w:rPr>
          <w:rFonts w:ascii="Adobe Garamond Pro" w:hAnsi="Adobe Garamond Pro" w:cs="Times New Roman"/>
          <w:sz w:val="20"/>
          <w:szCs w:val="20"/>
        </w:rPr>
        <w:t>da u nejednakim situacijama članovi trebaju uživati nejednak tretman. Upravo zbog ovakvih situacija i postoji iznimka o pravu na stjecanje vlastitih dionica društva onda „kada je društvo u obvezi to učiniti.“</w:t>
      </w:r>
      <w:r w:rsidRPr="00CC0298">
        <w:rPr>
          <w:rStyle w:val="FootnoteReference"/>
          <w:rFonts w:ascii="Adobe Garamond Pro" w:hAnsi="Adobe Garamond Pro" w:cs="Times New Roman"/>
          <w:sz w:val="20"/>
          <w:szCs w:val="20"/>
        </w:rPr>
        <w:footnoteReference w:id="55"/>
      </w:r>
      <w:r w:rsidRPr="00CC0298">
        <w:rPr>
          <w:rFonts w:ascii="Adobe Garamond Pro" w:hAnsi="Adobe Garamond Pro" w:cs="Times New Roman"/>
          <w:sz w:val="20"/>
          <w:szCs w:val="20"/>
        </w:rPr>
        <w:t xml:space="preserve"> Ta iznimka bi se stoga, pa i u hrvatskom pravu, mogla koristiti kao opravdanje stjecanja vlastitih dionica kao posljedice utvrđenja odgovornosti zbog povrede pravila o pružanju potpunih podataka u prospektu izdavatelja.</w:t>
      </w:r>
      <w:r w:rsidRPr="00CC0298">
        <w:rPr>
          <w:rStyle w:val="FootnoteReference"/>
          <w:rFonts w:ascii="Adobe Garamond Pro" w:hAnsi="Adobe Garamond Pro" w:cs="Times New Roman"/>
          <w:sz w:val="20"/>
          <w:szCs w:val="20"/>
        </w:rPr>
        <w:footnoteReference w:id="56"/>
      </w:r>
      <w:r w:rsidRPr="00CC0298">
        <w:rPr>
          <w:rFonts w:ascii="Adobe Garamond Pro" w:hAnsi="Adobe Garamond Pro" w:cs="Times New Roman"/>
          <w:sz w:val="20"/>
          <w:szCs w:val="20"/>
        </w:rPr>
        <w:t xml:space="preserve"> Nadalje, po stavu Suda, budući da u navedenoj situaciji nije riječ o povratu uplaćenog kapitala članu društva već o kompenzaciji stjecatelju/investitoru/kupcu dionica, koji je pretrpio štetu zbog povrede obveze od strane društva, nema mjesta primjeni pravila Druge direktive o zabrani povrata uplaćenih uloga članu društva kao ni pravila o zabrani stjecanja vlastitih dionica.</w:t>
      </w:r>
      <w:r w:rsidRPr="00CC0298">
        <w:rPr>
          <w:rStyle w:val="FootnoteReference"/>
          <w:rFonts w:ascii="Adobe Garamond Pro" w:hAnsi="Adobe Garamond Pro" w:cs="Times New Roman"/>
          <w:sz w:val="20"/>
          <w:szCs w:val="20"/>
        </w:rPr>
        <w:footnoteReference w:id="57"/>
      </w:r>
      <w:r w:rsidRPr="00CC0298">
        <w:rPr>
          <w:rFonts w:ascii="Adobe Garamond Pro" w:hAnsi="Adobe Garamond Pro" w:cs="Times New Roman"/>
          <w:sz w:val="20"/>
          <w:szCs w:val="20"/>
        </w:rPr>
        <w:t xml:space="preserve"> </w:t>
      </w:r>
    </w:p>
    <w:p w:rsidR="00CC0298" w:rsidRDefault="00CC0298" w:rsidP="003C23CF">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lastRenderedPageBreak/>
        <w:t>Odredbe sve tri direktive</w:t>
      </w:r>
      <w:r w:rsidRPr="00CC0298">
        <w:rPr>
          <w:rStyle w:val="FootnoteReference"/>
          <w:rFonts w:ascii="Adobe Garamond Pro" w:hAnsi="Adobe Garamond Pro" w:cs="Times New Roman"/>
          <w:sz w:val="20"/>
          <w:szCs w:val="20"/>
        </w:rPr>
        <w:footnoteReference w:id="58"/>
      </w:r>
      <w:r w:rsidRPr="00CC0298">
        <w:rPr>
          <w:rFonts w:ascii="Adobe Garamond Pro" w:hAnsi="Adobe Garamond Pro" w:cs="Times New Roman"/>
          <w:sz w:val="20"/>
          <w:szCs w:val="20"/>
        </w:rPr>
        <w:t xml:space="preserve"> propisuju kako su države članice dužne osigurati da se, </w:t>
      </w:r>
      <w:r w:rsidRPr="00CC0298">
        <w:rPr>
          <w:rFonts w:ascii="Adobe Garamond Pro" w:hAnsi="Adobe Garamond Pro" w:cs="Times New Roman"/>
          <w:i/>
          <w:sz w:val="20"/>
          <w:szCs w:val="20"/>
        </w:rPr>
        <w:t>u skladu sa odredbama nacionalnog prava</w:t>
      </w:r>
      <w:r w:rsidRPr="00CC0298">
        <w:rPr>
          <w:rFonts w:ascii="Adobe Garamond Pro" w:hAnsi="Adobe Garamond Pro" w:cs="Times New Roman"/>
          <w:sz w:val="20"/>
          <w:szCs w:val="20"/>
        </w:rPr>
        <w:t xml:space="preserve"> (naglasili autori), prikladne upravne mjere ili kazne mogu poduzeti ili nametnuti prema odgovornim osobama. U slučaju nepoštivanja odredbi nacionalnog prava koje je rezultat implementacije triju direktiva, pri čemu takve mjere moraju biti učinkovite, razmjerne i obeshrabrujuće. Sud je pritom konstatirao kako je točno da, za razliku od Direktive o prospektu, druge dvije direktive ne spominju izrijekom građanskopravnu odgovornost.</w:t>
      </w:r>
      <w:r w:rsidRPr="00CC0298">
        <w:rPr>
          <w:rStyle w:val="FootnoteReference"/>
          <w:rFonts w:ascii="Adobe Garamond Pro" w:hAnsi="Adobe Garamond Pro" w:cs="Times New Roman"/>
          <w:sz w:val="20"/>
          <w:szCs w:val="20"/>
        </w:rPr>
        <w:footnoteReference w:id="59"/>
      </w:r>
      <w:r w:rsidRPr="00CC0298">
        <w:rPr>
          <w:rFonts w:ascii="Adobe Garamond Pro" w:hAnsi="Adobe Garamond Pro" w:cs="Times New Roman"/>
          <w:sz w:val="20"/>
          <w:szCs w:val="20"/>
        </w:rPr>
        <w:t xml:space="preserve"> Obzirom na raniju sudsku praksu,</w:t>
      </w:r>
      <w:r w:rsidRPr="00CC0298">
        <w:rPr>
          <w:rStyle w:val="FootnoteReference"/>
          <w:rFonts w:ascii="Adobe Garamond Pro" w:hAnsi="Adobe Garamond Pro" w:cs="Times New Roman"/>
          <w:sz w:val="20"/>
          <w:szCs w:val="20"/>
        </w:rPr>
        <w:footnoteReference w:id="60"/>
      </w:r>
      <w:r w:rsidRPr="00CC0298">
        <w:rPr>
          <w:rFonts w:ascii="Adobe Garamond Pro" w:hAnsi="Adobe Garamond Pro" w:cs="Times New Roman"/>
          <w:sz w:val="20"/>
          <w:szCs w:val="20"/>
        </w:rPr>
        <w:t xml:space="preserve"> a u nedostatku europskih pravila o naknadi štete i mogućnosti izricanja naknada šteta penalnog karaktera</w:t>
      </w:r>
      <w:r w:rsidRPr="00CC0298">
        <w:rPr>
          <w:rStyle w:val="FootnoteReference"/>
          <w:rFonts w:ascii="Adobe Garamond Pro" w:hAnsi="Adobe Garamond Pro" w:cs="Times New Roman"/>
          <w:sz w:val="20"/>
          <w:szCs w:val="20"/>
        </w:rPr>
        <w:footnoteReference w:id="61"/>
      </w:r>
      <w:r w:rsidRPr="00CC0298">
        <w:rPr>
          <w:rFonts w:ascii="Adobe Garamond Pro" w:hAnsi="Adobe Garamond Pro" w:cs="Times New Roman"/>
          <w:sz w:val="20"/>
          <w:szCs w:val="20"/>
        </w:rPr>
        <w:t xml:space="preserve"> odredbama nacionalnom prava svake države članice biti će određen sustav pravila o opsegu odgovornosti za štetu. Uz uvjet poštivanja načela jednakosti i učinkovitosti, Sud je istaknuo kako „države članice imaju široki prostor diskrecije u izboru sankcija za slučaj povrede obveza izdavatelja vrijednosnica koje proizlaze iz triju direktiva“</w:t>
      </w:r>
      <w:r w:rsidRPr="00CC0298">
        <w:rPr>
          <w:rStyle w:val="FootnoteReference"/>
          <w:rFonts w:ascii="Adobe Garamond Pro" w:hAnsi="Adobe Garamond Pro" w:cs="Times New Roman"/>
          <w:sz w:val="20"/>
          <w:szCs w:val="20"/>
        </w:rPr>
        <w:footnoteReference w:id="62"/>
      </w:r>
      <w:r w:rsidRPr="00CC0298">
        <w:rPr>
          <w:rFonts w:ascii="Adobe Garamond Pro" w:hAnsi="Adobe Garamond Pro" w:cs="Times New Roman"/>
          <w:sz w:val="20"/>
          <w:szCs w:val="20"/>
        </w:rPr>
        <w:t xml:space="preserve"> te da je na državama da odrede vrstu građanskopravne kompenzacije.</w:t>
      </w:r>
      <w:r w:rsidRPr="00CC0298">
        <w:rPr>
          <w:rStyle w:val="FootnoteReference"/>
          <w:rFonts w:ascii="Adobe Garamond Pro" w:hAnsi="Adobe Garamond Pro" w:cs="Times New Roman"/>
          <w:sz w:val="20"/>
          <w:szCs w:val="20"/>
        </w:rPr>
        <w:footnoteReference w:id="63"/>
      </w:r>
      <w:r w:rsidRPr="00CC0298">
        <w:rPr>
          <w:rFonts w:ascii="Adobe Garamond Pro" w:hAnsi="Adobe Garamond Pro" w:cs="Times New Roman"/>
          <w:sz w:val="20"/>
          <w:szCs w:val="20"/>
        </w:rPr>
        <w:t xml:space="preserve"> U tom smislu, presudio je da režim građanskopravne odgovornosti koji je predviđen kao posljedica kršenja pravila o pružanju podataka investitoru u konkretnom slučaju predstavlja prikladnu mjeru. </w:t>
      </w:r>
      <w:r w:rsidRPr="00CC0298">
        <w:rPr>
          <w:rStyle w:val="FootnoteReference"/>
          <w:rFonts w:ascii="Adobe Garamond Pro" w:hAnsi="Adobe Garamond Pro" w:cs="Times New Roman"/>
          <w:sz w:val="20"/>
          <w:szCs w:val="20"/>
        </w:rPr>
        <w:footnoteReference w:id="64"/>
      </w:r>
    </w:p>
    <w:p w:rsidR="003C23CF" w:rsidRPr="00CC0298" w:rsidRDefault="003C23CF" w:rsidP="003C23CF">
      <w:pPr>
        <w:spacing w:after="0" w:line="240" w:lineRule="auto"/>
        <w:ind w:firstLine="567"/>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 xml:space="preserve">Posljednje upućena pitanja ticala su se, kako je </w:t>
      </w:r>
      <w:r w:rsidRPr="00CC0298">
        <w:rPr>
          <w:rFonts w:ascii="Adobe Garamond Pro" w:hAnsi="Adobe Garamond Pro" w:cs="Times New Roman"/>
          <w:i/>
          <w:sz w:val="20"/>
          <w:szCs w:val="20"/>
        </w:rPr>
        <w:t>supra</w:t>
      </w:r>
      <w:r w:rsidRPr="00CC0298">
        <w:rPr>
          <w:rFonts w:ascii="Adobe Garamond Pro" w:hAnsi="Adobe Garamond Pro" w:cs="Times New Roman"/>
          <w:sz w:val="20"/>
          <w:szCs w:val="20"/>
        </w:rPr>
        <w:t xml:space="preserve"> spomenuto, mogućnosti da raskid ugovora o kupoprodaji dionica ima retroaktivan (</w:t>
      </w:r>
      <w:r w:rsidRPr="00CC0298">
        <w:rPr>
          <w:rFonts w:ascii="Adobe Garamond Pro" w:hAnsi="Adobe Garamond Pro" w:cs="Times New Roman"/>
          <w:i/>
          <w:sz w:val="20"/>
          <w:szCs w:val="20"/>
        </w:rPr>
        <w:t>ex tunc</w:t>
      </w:r>
      <w:r w:rsidRPr="00CC0298">
        <w:rPr>
          <w:rFonts w:ascii="Adobe Garamond Pro" w:hAnsi="Adobe Garamond Pro" w:cs="Times New Roman"/>
          <w:sz w:val="20"/>
          <w:szCs w:val="20"/>
        </w:rPr>
        <w:t>) učinak te kakve bi to posljedice moglo imati po samo društvo i po opseg njegove odgovornosti. Naime, Immofinanz je tvrdilo da bi retroaktivni raskid ugovora i povrat izvorno uloženog mogao dovesti do ništetnosti društva.</w:t>
      </w:r>
      <w:r w:rsidRPr="00CC0298">
        <w:rPr>
          <w:rStyle w:val="FootnoteReference"/>
          <w:rFonts w:ascii="Adobe Garamond Pro" w:hAnsi="Adobe Garamond Pro" w:cs="Times New Roman"/>
          <w:sz w:val="20"/>
          <w:szCs w:val="20"/>
        </w:rPr>
        <w:footnoteReference w:id="65"/>
      </w:r>
      <w:r w:rsidRPr="00CC0298">
        <w:rPr>
          <w:rFonts w:ascii="Adobe Garamond Pro" w:hAnsi="Adobe Garamond Pro" w:cs="Times New Roman"/>
          <w:sz w:val="20"/>
          <w:szCs w:val="20"/>
        </w:rPr>
        <w:t xml:space="preserve"> No, Sud, pozivajući se na iscrpnu listu razloga ništetnosti s jedne strane, te smisao odredbi o raskidu ugovora i povratu plaćenog s druge strane,</w:t>
      </w:r>
      <w:r w:rsidRPr="00CC0298">
        <w:rPr>
          <w:rStyle w:val="FootnoteReference"/>
          <w:rFonts w:ascii="Adobe Garamond Pro" w:hAnsi="Adobe Garamond Pro" w:cs="Times New Roman"/>
          <w:sz w:val="20"/>
          <w:szCs w:val="20"/>
        </w:rPr>
        <w:footnoteReference w:id="66"/>
      </w:r>
      <w:r w:rsidRPr="00CC0298">
        <w:rPr>
          <w:rFonts w:ascii="Adobe Garamond Pro" w:hAnsi="Adobe Garamond Pro" w:cs="Times New Roman"/>
          <w:sz w:val="20"/>
          <w:szCs w:val="20"/>
        </w:rPr>
        <w:t xml:space="preserve"> odbacuje takav stav. S time u vezi stoji i pitanje, ako dođe do raskida ugovora, da li se odgovornost za povrat uloženog svodi na ranije plaćenu cijenu (učinak raskida </w:t>
      </w:r>
      <w:r w:rsidRPr="00CC0298">
        <w:rPr>
          <w:rFonts w:ascii="Adobe Garamond Pro" w:hAnsi="Adobe Garamond Pro" w:cs="Times New Roman"/>
          <w:i/>
          <w:sz w:val="20"/>
          <w:szCs w:val="20"/>
        </w:rPr>
        <w:t>ex tunc</w:t>
      </w:r>
      <w:r w:rsidRPr="00CC0298">
        <w:rPr>
          <w:rFonts w:ascii="Adobe Garamond Pro" w:hAnsi="Adobe Garamond Pro" w:cs="Times New Roman"/>
          <w:sz w:val="20"/>
          <w:szCs w:val="20"/>
        </w:rPr>
        <w:t>) ili na povrat cijene u vrijeme podnošenja tužbe (</w:t>
      </w:r>
      <w:r w:rsidRPr="00CC0298">
        <w:rPr>
          <w:rFonts w:ascii="Adobe Garamond Pro" w:hAnsi="Adobe Garamond Pro" w:cs="Times New Roman"/>
          <w:i/>
          <w:sz w:val="20"/>
          <w:szCs w:val="20"/>
        </w:rPr>
        <w:t>ex nunc</w:t>
      </w:r>
      <w:r w:rsidRPr="00CC0298">
        <w:rPr>
          <w:rFonts w:ascii="Adobe Garamond Pro" w:hAnsi="Adobe Garamond Pro" w:cs="Times New Roman"/>
          <w:sz w:val="20"/>
          <w:szCs w:val="20"/>
        </w:rPr>
        <w:t xml:space="preserve">). </w:t>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 xml:space="preserve">Sud je, pozivajući se na već ranije iznesen stav o diskreciji država članica u pogledu  primjene režima građanskopravne odgovornosti, zaključio „kako je jasno da izbor između </w:t>
      </w:r>
      <w:r w:rsidRPr="00CC0298">
        <w:rPr>
          <w:rFonts w:ascii="Adobe Garamond Pro" w:hAnsi="Adobe Garamond Pro" w:cs="Times New Roman"/>
          <w:sz w:val="20"/>
          <w:szCs w:val="20"/>
        </w:rPr>
        <w:lastRenderedPageBreak/>
        <w:t xml:space="preserve">pravila građanskopravne odgovornosti koja osiguravaju povrat kupcu iznosa jednakog kupoprodajnoj cijeni dionice, s pripadajućim kamatama, i pravila koja ograničavaju tu odgovornost na isplatu cijene dionice važeće u vrijeme podnošenja tužbe radi naknade štete spada </w:t>
      </w:r>
      <w:r w:rsidRPr="00CC0298">
        <w:rPr>
          <w:rFonts w:ascii="Adobe Garamond Pro" w:hAnsi="Adobe Garamond Pro" w:cs="Times New Roman"/>
          <w:i/>
          <w:sz w:val="20"/>
          <w:szCs w:val="20"/>
        </w:rPr>
        <w:t>u nadležnost država članica</w:t>
      </w:r>
      <w:r w:rsidRPr="00CC0298">
        <w:rPr>
          <w:rFonts w:ascii="Adobe Garamond Pro" w:hAnsi="Adobe Garamond Pro" w:cs="Times New Roman"/>
          <w:sz w:val="20"/>
          <w:szCs w:val="20"/>
        </w:rPr>
        <w:t xml:space="preserve"> (istaknuli autori).“</w:t>
      </w:r>
      <w:r w:rsidRPr="00CC0298">
        <w:rPr>
          <w:rStyle w:val="FootnoteReference"/>
          <w:rFonts w:ascii="Adobe Garamond Pro" w:hAnsi="Adobe Garamond Pro" w:cs="Times New Roman"/>
          <w:sz w:val="20"/>
          <w:szCs w:val="20"/>
        </w:rPr>
        <w:footnoteReference w:id="67"/>
      </w:r>
      <w:r w:rsidRPr="00CC0298">
        <w:rPr>
          <w:rFonts w:ascii="Adobe Garamond Pro" w:hAnsi="Adobe Garamond Pro" w:cs="Times New Roman"/>
          <w:sz w:val="20"/>
          <w:szCs w:val="20"/>
        </w:rPr>
        <w:t xml:space="preserve"> Sud je odgovorio kako se odredbe Druge direktive imaju tumačiti na način da odgovornost za štetu po nacionalnom pravu u predmetnom sporu nije nužno ograničena na vrijednost dionica, izračunatoj prema cijeni dionica na tržištu u vrijeme podnošenja tužbe.</w:t>
      </w:r>
      <w:r w:rsidRPr="00CC0298">
        <w:rPr>
          <w:rStyle w:val="FootnoteReference"/>
          <w:rFonts w:ascii="Adobe Garamond Pro" w:hAnsi="Adobe Garamond Pro" w:cs="Times New Roman"/>
          <w:sz w:val="20"/>
          <w:szCs w:val="20"/>
        </w:rPr>
        <w:footnoteReference w:id="68"/>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Na razini EU nemamo jedinstveno uređenje posljedica raskida ugovora. Pritom se postavlja pitanje kako izbjeći pravnu nesigurnost glede posljedica raskida, posebice važnu u poslovanju s vrijednosnicama, imajući na umu mogući prekogranični karakter pravnog posla? Mogući odgovor leži u ugovaranju mjerodavnog prava za ugovor, po kojem bi se ocjenjivale i posljedice prestanka ugovora. Na taj način i jedna i druga strana, vodeći računa kakve su posljedice raskida po izabranom pravu, svaka na sebe preuzima rizik fluktuacije cijena dionica.</w:t>
      </w:r>
      <w:r w:rsidRPr="00CC0298">
        <w:rPr>
          <w:rStyle w:val="FootnoteReference"/>
          <w:rFonts w:ascii="Adobe Garamond Pro" w:hAnsi="Adobe Garamond Pro" w:cs="Times New Roman"/>
          <w:sz w:val="20"/>
          <w:szCs w:val="20"/>
        </w:rPr>
        <w:footnoteReference w:id="69"/>
      </w:r>
      <w:r w:rsidRPr="00CC0298">
        <w:rPr>
          <w:rFonts w:ascii="Adobe Garamond Pro" w:hAnsi="Adobe Garamond Pro" w:cs="Times New Roman"/>
          <w:sz w:val="20"/>
          <w:szCs w:val="20"/>
        </w:rPr>
        <w:t xml:space="preserve"> Budući da širina obveze zapravo ovisi o promjenama u cijeni dionice, te koje god da se pravo ugovori, stranke obostrano preuzimaju rizik da će platiti više odnosno dobiti manje nego što bi da su ugovorili neko drugo pravo, koje veže drugačije učinke uz povrat. Stoga je potpunu pravnu sigurnost teško postići.</w:t>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 xml:space="preserve">Navedena presuda može se staviti u pravni kontekst RH. Pritom treba ukazati na dvije stvari. Prvo, kako protumačiti izraz </w:t>
      </w:r>
      <w:r w:rsidRPr="00CC0298">
        <w:rPr>
          <w:rFonts w:ascii="Adobe Garamond Pro" w:hAnsi="Adobe Garamond Pro" w:cs="Times New Roman"/>
          <w:i/>
          <w:sz w:val="20"/>
          <w:szCs w:val="20"/>
        </w:rPr>
        <w:t>„cancellation of a share purchase contract“</w:t>
      </w:r>
      <w:r w:rsidRPr="00CC0298">
        <w:rPr>
          <w:rFonts w:ascii="Adobe Garamond Pro" w:hAnsi="Adobe Garamond Pro" w:cs="Times New Roman"/>
          <w:sz w:val="20"/>
          <w:szCs w:val="20"/>
        </w:rPr>
        <w:t xml:space="preserve"> u duhu prava RH te nastavno na to, kakve bi posljedice ZOO propisivao u opisanom predmetu glede opsega vraćanja uloženog.</w:t>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 xml:space="preserve">Po mišljenju autora, navedeni termin bi </w:t>
      </w:r>
      <w:r w:rsidRPr="00CC0298">
        <w:rPr>
          <w:rFonts w:ascii="Adobe Garamond Pro" w:hAnsi="Adobe Garamond Pro" w:cs="Times New Roman"/>
          <w:i/>
          <w:sz w:val="20"/>
          <w:szCs w:val="20"/>
        </w:rPr>
        <w:t>prima facie</w:t>
      </w:r>
      <w:r w:rsidRPr="00CC0298">
        <w:rPr>
          <w:rFonts w:ascii="Adobe Garamond Pro" w:hAnsi="Adobe Garamond Pro" w:cs="Times New Roman"/>
          <w:sz w:val="20"/>
          <w:szCs w:val="20"/>
        </w:rPr>
        <w:t xml:space="preserve"> bio bi najbliži pojmu raskida ugovora. Ostali načini prestanka ugovora ne bi korespondirali smislu koji je navedenom pojmu dao Sud kao niti restituciji ulagača.</w:t>
      </w:r>
      <w:r w:rsidRPr="00CC0298">
        <w:rPr>
          <w:rStyle w:val="FootnoteReference"/>
          <w:rFonts w:ascii="Adobe Garamond Pro" w:hAnsi="Adobe Garamond Pro" w:cs="Times New Roman"/>
          <w:sz w:val="20"/>
          <w:szCs w:val="20"/>
        </w:rPr>
        <w:footnoteReference w:id="70"/>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Ako uzmemo u obzir odredbe ZOO o raskidu</w:t>
      </w:r>
      <w:r w:rsidRPr="00CC0298">
        <w:rPr>
          <w:rStyle w:val="FootnoteReference"/>
          <w:rFonts w:ascii="Adobe Garamond Pro" w:hAnsi="Adobe Garamond Pro" w:cs="Times New Roman"/>
          <w:sz w:val="20"/>
          <w:szCs w:val="20"/>
        </w:rPr>
        <w:footnoteReference w:id="71"/>
      </w:r>
      <w:r w:rsidRPr="00CC0298">
        <w:rPr>
          <w:rFonts w:ascii="Adobe Garamond Pro" w:hAnsi="Adobe Garamond Pro" w:cs="Times New Roman"/>
          <w:sz w:val="20"/>
          <w:szCs w:val="20"/>
        </w:rPr>
        <w:t>, vidimo da raskid ugovora nastupa na osnovi stranačke volje ili zakona,</w:t>
      </w:r>
      <w:r w:rsidRPr="00CC0298">
        <w:rPr>
          <w:rStyle w:val="FootnoteReference"/>
          <w:rFonts w:ascii="Adobe Garamond Pro" w:hAnsi="Adobe Garamond Pro" w:cs="Times New Roman"/>
          <w:sz w:val="20"/>
          <w:szCs w:val="20"/>
        </w:rPr>
        <w:footnoteReference w:id="72"/>
      </w:r>
      <w:r w:rsidRPr="00CC0298">
        <w:rPr>
          <w:rFonts w:ascii="Adobe Garamond Pro" w:hAnsi="Adobe Garamond Pro" w:cs="Times New Roman"/>
          <w:sz w:val="20"/>
          <w:szCs w:val="20"/>
        </w:rPr>
        <w:t xml:space="preserve"> a u potonjem slučaju, zbog neispunjenja, promijenjenih </w:t>
      </w:r>
      <w:r w:rsidRPr="00CC0298">
        <w:rPr>
          <w:rFonts w:ascii="Adobe Garamond Pro" w:hAnsi="Adobe Garamond Pro" w:cs="Times New Roman"/>
          <w:sz w:val="20"/>
          <w:szCs w:val="20"/>
        </w:rPr>
        <w:lastRenderedPageBreak/>
        <w:t>okolnosti te po samom zakonu.</w:t>
      </w:r>
      <w:r w:rsidRPr="00CC0298">
        <w:rPr>
          <w:rStyle w:val="FootnoteReference"/>
          <w:rFonts w:ascii="Adobe Garamond Pro" w:hAnsi="Adobe Garamond Pro" w:cs="Times New Roman"/>
          <w:sz w:val="20"/>
          <w:szCs w:val="20"/>
        </w:rPr>
        <w:footnoteReference w:id="73"/>
      </w:r>
      <w:r w:rsidRPr="00CC0298">
        <w:rPr>
          <w:rFonts w:ascii="Adobe Garamond Pro" w:hAnsi="Adobe Garamond Pro" w:cs="Times New Roman"/>
          <w:sz w:val="20"/>
          <w:szCs w:val="20"/>
        </w:rPr>
        <w:t xml:space="preserve"> U konkretnom slučaju ne radi se ni o jednom od navedenog. Raskid je, pored navedenog, posljedica pojave neke okolnosti nastale nakon sklapanja ugovora.</w:t>
      </w:r>
      <w:r w:rsidRPr="00CC0298">
        <w:rPr>
          <w:rStyle w:val="FootnoteReference"/>
          <w:rFonts w:ascii="Adobe Garamond Pro" w:hAnsi="Adobe Garamond Pro" w:cs="Times New Roman"/>
          <w:sz w:val="20"/>
          <w:szCs w:val="20"/>
        </w:rPr>
        <w:footnoteReference w:id="74"/>
      </w:r>
      <w:r w:rsidRPr="00CC0298">
        <w:rPr>
          <w:rFonts w:ascii="Adobe Garamond Pro" w:hAnsi="Adobe Garamond Pro" w:cs="Times New Roman"/>
          <w:sz w:val="20"/>
          <w:szCs w:val="20"/>
        </w:rPr>
        <w:t xml:space="preserve"> </w:t>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jc w:val="both"/>
        <w:rPr>
          <w:rFonts w:ascii="Adobe Garamond Pro" w:hAnsi="Adobe Garamond Pro" w:cs="Times New Roman"/>
          <w:sz w:val="20"/>
          <w:szCs w:val="20"/>
        </w:rPr>
      </w:pPr>
      <w:r w:rsidRPr="00CC0298">
        <w:rPr>
          <w:rFonts w:ascii="Adobe Garamond Pro" w:hAnsi="Adobe Garamond Pro" w:cs="Times New Roman"/>
          <w:sz w:val="20"/>
          <w:szCs w:val="20"/>
        </w:rPr>
        <w:t xml:space="preserve">Ako stavimo slučaj </w:t>
      </w:r>
      <w:r w:rsidRPr="00CC0298">
        <w:rPr>
          <w:rFonts w:ascii="Adobe Garamond Pro" w:hAnsi="Adobe Garamond Pro" w:cs="Times New Roman"/>
          <w:i/>
          <w:sz w:val="20"/>
          <w:szCs w:val="20"/>
        </w:rPr>
        <w:t>Hirmann</w:t>
      </w:r>
      <w:r w:rsidRPr="00CC0298">
        <w:rPr>
          <w:rFonts w:ascii="Adobe Garamond Pro" w:hAnsi="Adobe Garamond Pro" w:cs="Times New Roman"/>
          <w:sz w:val="20"/>
          <w:szCs w:val="20"/>
        </w:rPr>
        <w:t xml:space="preserve"> u kontekst prava RH, za potrebe kvalifikacije instituta možemo zaključiti kako se radilo o ugovoru sklopljenom uz navođenje neistinitih i zavaravajućih tvrdnji izdavatelja s ciljem sklapanja ugovora s investitorom, zbog čega su protiv odgovornih osoba pokrenuti kazneni postupci, što bi nam dalo zaključiti kako se radi o ugovoru sklopljenom pod prijevarom.</w:t>
      </w:r>
      <w:r w:rsidRPr="00CC0298">
        <w:rPr>
          <w:rStyle w:val="FootnoteReference"/>
          <w:rFonts w:ascii="Adobe Garamond Pro" w:hAnsi="Adobe Garamond Pro" w:cs="Times New Roman"/>
          <w:sz w:val="20"/>
          <w:szCs w:val="20"/>
        </w:rPr>
        <w:footnoteReference w:id="75"/>
      </w:r>
      <w:r w:rsidRPr="00CC0298">
        <w:rPr>
          <w:rFonts w:ascii="Adobe Garamond Pro" w:hAnsi="Adobe Garamond Pro" w:cs="Times New Roman"/>
          <w:sz w:val="20"/>
          <w:szCs w:val="20"/>
        </w:rPr>
        <w:t xml:space="preserve"> Ako prihvatimo navedeni stav, takav pobojni ugovor</w:t>
      </w:r>
      <w:r w:rsidRPr="00CC0298">
        <w:rPr>
          <w:rStyle w:val="FootnoteReference"/>
          <w:rFonts w:ascii="Adobe Garamond Pro" w:hAnsi="Adobe Garamond Pro" w:cs="Times New Roman"/>
          <w:sz w:val="20"/>
          <w:szCs w:val="20"/>
        </w:rPr>
        <w:footnoteReference w:id="76"/>
      </w:r>
      <w:r w:rsidRPr="00CC0298">
        <w:rPr>
          <w:rFonts w:ascii="Adobe Garamond Pro" w:hAnsi="Adobe Garamond Pro" w:cs="Times New Roman"/>
          <w:sz w:val="20"/>
          <w:szCs w:val="20"/>
        </w:rPr>
        <w:t xml:space="preserve"> bi mogao biti poništen</w:t>
      </w:r>
      <w:r w:rsidRPr="00CC0298">
        <w:rPr>
          <w:rStyle w:val="FootnoteReference"/>
          <w:rFonts w:ascii="Adobe Garamond Pro" w:hAnsi="Adobe Garamond Pro" w:cs="Times New Roman"/>
          <w:sz w:val="20"/>
          <w:szCs w:val="20"/>
        </w:rPr>
        <w:footnoteReference w:id="77"/>
      </w:r>
      <w:r w:rsidRPr="00CC0298">
        <w:rPr>
          <w:rFonts w:ascii="Adobe Garamond Pro" w:hAnsi="Adobe Garamond Pro" w:cs="Times New Roman"/>
          <w:sz w:val="20"/>
          <w:szCs w:val="20"/>
        </w:rPr>
        <w:t xml:space="preserve"> (</w:t>
      </w:r>
      <w:r w:rsidRPr="00CC0298">
        <w:rPr>
          <w:rFonts w:ascii="Adobe Garamond Pro" w:hAnsi="Adobe Garamond Pro" w:cs="Times New Roman"/>
          <w:i/>
          <w:sz w:val="20"/>
          <w:szCs w:val="20"/>
        </w:rPr>
        <w:t>cancelled</w:t>
      </w:r>
      <w:r w:rsidRPr="00CC0298">
        <w:rPr>
          <w:rFonts w:ascii="Adobe Garamond Pro" w:hAnsi="Adobe Garamond Pro" w:cs="Times New Roman"/>
          <w:sz w:val="20"/>
          <w:szCs w:val="20"/>
        </w:rPr>
        <w:t xml:space="preserve">), s učinkom </w:t>
      </w:r>
      <w:r w:rsidRPr="00CC0298">
        <w:rPr>
          <w:rFonts w:ascii="Adobe Garamond Pro" w:hAnsi="Adobe Garamond Pro" w:cs="Times New Roman"/>
          <w:i/>
          <w:sz w:val="20"/>
          <w:szCs w:val="20"/>
        </w:rPr>
        <w:t>ex tunc</w:t>
      </w:r>
      <w:r w:rsidRPr="00CC0298">
        <w:rPr>
          <w:rFonts w:ascii="Adobe Garamond Pro" w:hAnsi="Adobe Garamond Pro" w:cs="Times New Roman"/>
          <w:sz w:val="20"/>
          <w:szCs w:val="20"/>
        </w:rPr>
        <w:t>, koji podrazumijeva obvezu povrata u prijašnje stanje (restitucija)</w:t>
      </w:r>
      <w:r w:rsidRPr="00CC0298">
        <w:rPr>
          <w:rStyle w:val="FootnoteReference"/>
          <w:rFonts w:ascii="Adobe Garamond Pro" w:hAnsi="Adobe Garamond Pro" w:cs="Times New Roman"/>
          <w:sz w:val="20"/>
          <w:szCs w:val="20"/>
        </w:rPr>
        <w:footnoteReference w:id="78"/>
      </w:r>
      <w:r w:rsidRPr="00CC0298">
        <w:rPr>
          <w:rFonts w:ascii="Adobe Garamond Pro" w:hAnsi="Adobe Garamond Pro" w:cs="Times New Roman"/>
          <w:sz w:val="20"/>
          <w:szCs w:val="20"/>
        </w:rPr>
        <w:t>, ali odgovornost za štetu kao zasebnu posljedicu.</w:t>
      </w:r>
      <w:r w:rsidRPr="00CC0298">
        <w:rPr>
          <w:rStyle w:val="FootnoteReference"/>
          <w:rFonts w:ascii="Adobe Garamond Pro" w:hAnsi="Adobe Garamond Pro" w:cs="Times New Roman"/>
          <w:sz w:val="20"/>
          <w:szCs w:val="20"/>
        </w:rPr>
        <w:footnoteReference w:id="79"/>
      </w:r>
      <w:r w:rsidRPr="00CC0298">
        <w:rPr>
          <w:rFonts w:ascii="Adobe Garamond Pro" w:hAnsi="Adobe Garamond Pro" w:cs="Times New Roman"/>
          <w:sz w:val="20"/>
          <w:szCs w:val="20"/>
        </w:rPr>
        <w:t xml:space="preserve"> To bi dalje značilo da bi stjecatelj mogao potraživati cijenu koju je platio u trenutku sklapanja ugovora, s pripadajućom zakonskom zateznom kamatom</w:t>
      </w:r>
      <w:r w:rsidRPr="00CC0298">
        <w:rPr>
          <w:rStyle w:val="FootnoteReference"/>
          <w:rFonts w:ascii="Adobe Garamond Pro" w:hAnsi="Adobe Garamond Pro" w:cs="Times New Roman"/>
          <w:sz w:val="20"/>
          <w:szCs w:val="20"/>
        </w:rPr>
        <w:footnoteReference w:id="80"/>
      </w:r>
      <w:r w:rsidRPr="00CC0298">
        <w:rPr>
          <w:rFonts w:ascii="Adobe Garamond Pro" w:hAnsi="Adobe Garamond Pro" w:cs="Times New Roman"/>
          <w:sz w:val="20"/>
          <w:szCs w:val="20"/>
        </w:rPr>
        <w:t xml:space="preserve"> kao i naknadu pretrpljene štete kao posebno pravo</w:t>
      </w:r>
      <w:r w:rsidRPr="00CC0298">
        <w:rPr>
          <w:rStyle w:val="FootnoteReference"/>
          <w:rFonts w:ascii="Adobe Garamond Pro" w:hAnsi="Adobe Garamond Pro" w:cs="Times New Roman"/>
          <w:sz w:val="20"/>
          <w:szCs w:val="20"/>
        </w:rPr>
        <w:footnoteReference w:id="81"/>
      </w:r>
      <w:r w:rsidRPr="00CC0298">
        <w:rPr>
          <w:rFonts w:ascii="Adobe Garamond Pro" w:hAnsi="Adobe Garamond Pro" w:cs="Times New Roman"/>
          <w:sz w:val="20"/>
          <w:szCs w:val="20"/>
        </w:rPr>
        <w:t>.</w:t>
      </w:r>
    </w:p>
    <w:p w:rsidR="003C23CF" w:rsidRDefault="003C23CF" w:rsidP="00CC0298">
      <w:pPr>
        <w:spacing w:after="0" w:line="240" w:lineRule="auto"/>
        <w:jc w:val="both"/>
        <w:rPr>
          <w:rFonts w:ascii="Adobe Garamond Pro" w:hAnsi="Adobe Garamond Pro" w:cs="Times New Roman"/>
          <w:sz w:val="20"/>
          <w:szCs w:val="20"/>
        </w:rPr>
      </w:pPr>
    </w:p>
    <w:p w:rsidR="003C23CF" w:rsidRDefault="003C23CF" w:rsidP="00CC0298">
      <w:pPr>
        <w:spacing w:after="0" w:line="240" w:lineRule="auto"/>
        <w:jc w:val="both"/>
        <w:rPr>
          <w:rFonts w:ascii="Adobe Garamond Pro" w:hAnsi="Adobe Garamond Pro" w:cs="Times New Roman"/>
          <w:sz w:val="20"/>
          <w:szCs w:val="20"/>
        </w:rPr>
      </w:pPr>
    </w:p>
    <w:p w:rsidR="003C23CF" w:rsidRDefault="003C23CF" w:rsidP="00CC0298">
      <w:pPr>
        <w:spacing w:after="0" w:line="240" w:lineRule="auto"/>
        <w:jc w:val="both"/>
        <w:rPr>
          <w:rFonts w:ascii="Adobe Garamond Pro" w:hAnsi="Adobe Garamond Pro" w:cs="Times New Roman"/>
          <w:sz w:val="20"/>
          <w:szCs w:val="20"/>
        </w:rPr>
      </w:pPr>
    </w:p>
    <w:p w:rsidR="003C23CF" w:rsidRDefault="003C23CF" w:rsidP="00CC0298">
      <w:pPr>
        <w:spacing w:after="0" w:line="240" w:lineRule="auto"/>
        <w:jc w:val="both"/>
        <w:rPr>
          <w:rFonts w:ascii="Adobe Garamond Pro" w:hAnsi="Adobe Garamond Pro" w:cs="Times New Roman"/>
          <w:sz w:val="20"/>
          <w:szCs w:val="20"/>
        </w:rPr>
      </w:pPr>
    </w:p>
    <w:p w:rsidR="003C23CF" w:rsidRDefault="003C23CF" w:rsidP="00CC0298">
      <w:pPr>
        <w:spacing w:after="0" w:line="240" w:lineRule="auto"/>
        <w:jc w:val="both"/>
        <w:rPr>
          <w:rFonts w:ascii="Adobe Garamond Pro" w:hAnsi="Adobe Garamond Pro" w:cs="Times New Roman"/>
          <w:sz w:val="20"/>
          <w:szCs w:val="20"/>
        </w:rPr>
      </w:pPr>
    </w:p>
    <w:p w:rsidR="003C23CF" w:rsidRDefault="003C23CF" w:rsidP="00CC0298">
      <w:pPr>
        <w:spacing w:after="0" w:line="240" w:lineRule="auto"/>
        <w:jc w:val="both"/>
        <w:rPr>
          <w:rFonts w:ascii="Adobe Garamond Pro" w:hAnsi="Adobe Garamond Pro" w:cs="Times New Roman"/>
          <w:sz w:val="20"/>
          <w:szCs w:val="20"/>
        </w:rPr>
      </w:pPr>
    </w:p>
    <w:p w:rsidR="003C23CF" w:rsidRPr="00CC0298" w:rsidRDefault="003C23CF" w:rsidP="00CC0298">
      <w:pPr>
        <w:spacing w:after="0" w:line="240" w:lineRule="auto"/>
        <w:jc w:val="both"/>
        <w:rPr>
          <w:rFonts w:ascii="Adobe Garamond Pro" w:hAnsi="Adobe Garamond Pro" w:cs="Times New Roman"/>
          <w:sz w:val="20"/>
          <w:szCs w:val="20"/>
        </w:rPr>
      </w:pPr>
    </w:p>
    <w:p w:rsidR="00CC0298" w:rsidRPr="003C23CF" w:rsidRDefault="00CC0298" w:rsidP="003C23CF">
      <w:pPr>
        <w:pStyle w:val="ListParagraph"/>
        <w:spacing w:after="0" w:line="240" w:lineRule="auto"/>
        <w:ind w:left="0"/>
        <w:jc w:val="both"/>
        <w:rPr>
          <w:rFonts w:ascii="Adobe Garamond Pro" w:hAnsi="Adobe Garamond Pro" w:cs="Times New Roman"/>
          <w:b/>
        </w:rPr>
      </w:pPr>
      <w:r w:rsidRPr="003C23CF">
        <w:rPr>
          <w:rFonts w:ascii="Adobe Garamond Pro" w:hAnsi="Adobe Garamond Pro" w:cs="Times New Roman"/>
          <w:b/>
        </w:rPr>
        <w:lastRenderedPageBreak/>
        <w:t xml:space="preserve">Aktualne tendencije glede afirmacije načela transparentnosti u EU </w:t>
      </w:r>
    </w:p>
    <w:p w:rsidR="003C23CF" w:rsidRPr="00CC0298" w:rsidRDefault="003C23CF" w:rsidP="003C23CF">
      <w:pPr>
        <w:pStyle w:val="ListParagraph"/>
        <w:spacing w:after="0" w:line="240" w:lineRule="auto"/>
        <w:ind w:left="360"/>
        <w:jc w:val="both"/>
        <w:rPr>
          <w:rFonts w:ascii="Adobe Garamond Pro" w:hAnsi="Adobe Garamond Pro" w:cs="Times New Roman"/>
          <w:b/>
          <w:sz w:val="20"/>
          <w:szCs w:val="20"/>
        </w:rPr>
      </w:pPr>
    </w:p>
    <w:p w:rsidR="00CC0298" w:rsidRPr="003C23CF" w:rsidRDefault="00CC0298" w:rsidP="003C23CF">
      <w:pPr>
        <w:spacing w:after="0" w:line="240" w:lineRule="auto"/>
        <w:rPr>
          <w:rFonts w:ascii="Adobe Garamond Pro" w:hAnsi="Adobe Garamond Pro" w:cs="Times New Roman"/>
          <w:b/>
        </w:rPr>
      </w:pPr>
      <w:r w:rsidRPr="003C23CF">
        <w:rPr>
          <w:rFonts w:ascii="Adobe Garamond Pro" w:hAnsi="Adobe Garamond Pro" w:cs="Times New Roman"/>
          <w:b/>
        </w:rPr>
        <w:t>Revizija Direktive o transparentnosti</w:t>
      </w:r>
    </w:p>
    <w:p w:rsidR="003C23CF" w:rsidRPr="00CC0298" w:rsidRDefault="003C23CF" w:rsidP="00CC0298">
      <w:pPr>
        <w:spacing w:after="0" w:line="240" w:lineRule="auto"/>
        <w:jc w:val="both"/>
        <w:rPr>
          <w:rFonts w:ascii="Adobe Garamond Pro" w:hAnsi="Adobe Garamond Pro" w:cs="Times New Roman"/>
          <w:b/>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U listopadu 2013. usvojena je Direktiva 2013/50/EU Europskog parlamenta i Vijeća, kojom su izmijenjene Direktive o transparentnosti, Direktiva o prospektu te Direktiva koja propisuje detaljna pravila za implementaciju Direktive o transparentnosti.</w:t>
      </w:r>
      <w:r w:rsidRPr="00CC0298">
        <w:rPr>
          <w:rStyle w:val="FootnoteReference"/>
          <w:rFonts w:ascii="Adobe Garamond Pro" w:hAnsi="Adobe Garamond Pro" w:cs="Times New Roman"/>
          <w:sz w:val="20"/>
          <w:szCs w:val="20"/>
        </w:rPr>
        <w:footnoteReference w:id="82"/>
      </w:r>
      <w:r w:rsidRPr="00CC0298">
        <w:rPr>
          <w:rFonts w:ascii="Adobe Garamond Pro" w:hAnsi="Adobe Garamond Pro" w:cs="Times New Roman"/>
          <w:sz w:val="20"/>
          <w:szCs w:val="20"/>
        </w:rPr>
        <w:t xml:space="preserve"> Osnovna intencija revizije sastoji se u smanjivanju administrativnih poteškoća s kojima se suočavaju mali i srednji poduzetnici prilikom pristupanja na tržišta kapitala.</w:t>
      </w:r>
      <w:r w:rsidRPr="00CC0298">
        <w:rPr>
          <w:rStyle w:val="FootnoteReference"/>
          <w:rFonts w:ascii="Adobe Garamond Pro" w:hAnsi="Adobe Garamond Pro" w:cs="Times New Roman"/>
          <w:sz w:val="20"/>
          <w:szCs w:val="20"/>
        </w:rPr>
        <w:footnoteReference w:id="83"/>
      </w:r>
      <w:r w:rsidRPr="00CC0298">
        <w:rPr>
          <w:rFonts w:ascii="Adobe Garamond Pro" w:hAnsi="Adobe Garamond Pro" w:cs="Times New Roman"/>
          <w:sz w:val="20"/>
          <w:szCs w:val="20"/>
        </w:rPr>
        <w:t xml:space="preserve"> Pored toga, uočila se potreba za poboljšanjem postojećeg sustava transparentnosti, posebice u pogledu transparentnosti korporativne članske strukture.</w:t>
      </w:r>
      <w:r w:rsidRPr="00CC0298">
        <w:rPr>
          <w:rStyle w:val="FootnoteReference"/>
          <w:rFonts w:ascii="Adobe Garamond Pro" w:hAnsi="Adobe Garamond Pro" w:cs="Times New Roman"/>
          <w:sz w:val="20"/>
          <w:szCs w:val="20"/>
        </w:rPr>
        <w:footnoteReference w:id="84"/>
      </w:r>
      <w:r w:rsidRPr="00CC0298">
        <w:rPr>
          <w:rFonts w:ascii="Adobe Garamond Pro" w:hAnsi="Adobe Garamond Pro" w:cs="Times New Roman"/>
          <w:sz w:val="20"/>
          <w:szCs w:val="20"/>
        </w:rPr>
        <w:t xml:space="preserve"> Primijećeno je kako postojeći zahtjevi za objavljivanjem kratkoročnih izjava od strane menadžmenta te kvartalnih financijskih izvještaja predstavljaju administrativni teret stvarajući pritisak na upravljačke strukture na način da iste, u želji da prikažu što bolje kratkoročne rezultate, zanemaruju dugoročna ulaganja, a upravo su ona relevantna za ozbiljne ulagače.</w:t>
      </w:r>
      <w:r w:rsidRPr="00CC0298">
        <w:rPr>
          <w:rStyle w:val="FootnoteReference"/>
          <w:rFonts w:ascii="Adobe Garamond Pro" w:hAnsi="Adobe Garamond Pro" w:cs="Times New Roman"/>
          <w:sz w:val="20"/>
          <w:szCs w:val="20"/>
        </w:rPr>
        <w:footnoteReference w:id="85"/>
      </w:r>
      <w:r w:rsidRPr="00CC0298">
        <w:rPr>
          <w:rFonts w:ascii="Adobe Garamond Pro" w:hAnsi="Adobe Garamond Pro" w:cs="Times New Roman"/>
          <w:sz w:val="20"/>
          <w:szCs w:val="20"/>
        </w:rPr>
        <w:t xml:space="preserve"> Drugim riječima, postojeći pravni okvir EU stimulira nastojanje za što više i to što boljih rezultata u kratkom periodu nauštrb dugoročnom poslovnom promišljanju. Godišnja i polugodišnja izvješća su stoga ocijenjena kao dovoljan zahtjev glede transparentnosti poduzetnika,</w:t>
      </w:r>
      <w:r w:rsidRPr="00CC0298">
        <w:rPr>
          <w:rStyle w:val="FootnoteReference"/>
          <w:rFonts w:ascii="Adobe Garamond Pro" w:hAnsi="Adobe Garamond Pro" w:cs="Times New Roman"/>
          <w:sz w:val="20"/>
          <w:szCs w:val="20"/>
        </w:rPr>
        <w:footnoteReference w:id="86"/>
      </w:r>
      <w:r w:rsidRPr="00CC0298">
        <w:rPr>
          <w:rFonts w:ascii="Adobe Garamond Pro" w:hAnsi="Adobe Garamond Pro" w:cs="Times New Roman"/>
          <w:sz w:val="20"/>
          <w:szCs w:val="20"/>
        </w:rPr>
        <w:t xml:space="preserve"> uz eventualne iznimke ako se </w:t>
      </w:r>
      <w:r w:rsidRPr="00CC0298">
        <w:rPr>
          <w:rFonts w:ascii="Adobe Garamond Pro" w:hAnsi="Adobe Garamond Pro" w:cs="Times New Roman"/>
          <w:sz w:val="20"/>
          <w:szCs w:val="20"/>
        </w:rPr>
        <w:lastRenderedPageBreak/>
        <w:t>pokaže potreba za dodatnim izvješćima, u određenim sektorima poput financijskih institucija.</w:t>
      </w:r>
      <w:r w:rsidRPr="00CC0298">
        <w:rPr>
          <w:rStyle w:val="FootnoteReference"/>
          <w:rFonts w:ascii="Adobe Garamond Pro" w:hAnsi="Adobe Garamond Pro" w:cs="Times New Roman"/>
          <w:sz w:val="20"/>
          <w:szCs w:val="20"/>
        </w:rPr>
        <w:footnoteReference w:id="87"/>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Inovativnost na tržištu kapitala stvorila je heterogene financijske instrumente za koje se utvrdilo da nisu pokriveni pravilima o transparentnosti iz Direktive o transparentnosti te se uočila potreba za redefiniranjem pojma financijskog instrumenta na način da ista treba pokriti sve instrumente sa sličnim gospodarskim učinkom kakav daje dioničarstvo ili pravo na stjecanje dionica.</w:t>
      </w:r>
      <w:r w:rsidRPr="00CC0298">
        <w:rPr>
          <w:rStyle w:val="FootnoteReference"/>
          <w:rFonts w:ascii="Adobe Garamond Pro" w:hAnsi="Adobe Garamond Pro" w:cs="Times New Roman"/>
          <w:sz w:val="20"/>
          <w:szCs w:val="20"/>
        </w:rPr>
        <w:footnoteReference w:id="88"/>
      </w:r>
      <w:r w:rsidRPr="00CC0298">
        <w:rPr>
          <w:rFonts w:ascii="Adobe Garamond Pro" w:hAnsi="Adobe Garamond Pro" w:cs="Times New Roman"/>
          <w:sz w:val="20"/>
          <w:szCs w:val="20"/>
        </w:rPr>
        <w:t xml:space="preserve"> Naglasak je stoga stavljen na ekonomski učinak instrumenta, a manje na vrstu ili naziv. S tim su u vezi i pravila u pogledu notifikacije velikih holdinga glasačkih prava.</w:t>
      </w:r>
      <w:r w:rsidRPr="00CC0298">
        <w:rPr>
          <w:rStyle w:val="FootnoteReference"/>
          <w:rFonts w:ascii="Adobe Garamond Pro" w:hAnsi="Adobe Garamond Pro" w:cs="Times New Roman"/>
          <w:sz w:val="20"/>
          <w:szCs w:val="20"/>
        </w:rPr>
        <w:footnoteReference w:id="89"/>
      </w:r>
      <w:r w:rsidRPr="00CC0298">
        <w:rPr>
          <w:rFonts w:ascii="Adobe Garamond Pro" w:hAnsi="Adobe Garamond Pro" w:cs="Times New Roman"/>
          <w:sz w:val="20"/>
          <w:szCs w:val="20"/>
        </w:rPr>
        <w:t xml:space="preserve"> Treba dodati kako se Revizijska direktiva u ovom smislu nije „direktiva maksimalne harmonizacije“</w:t>
      </w:r>
      <w:r w:rsidRPr="00CC0298">
        <w:rPr>
          <w:rStyle w:val="FootnoteReference"/>
          <w:rFonts w:ascii="Adobe Garamond Pro" w:hAnsi="Adobe Garamond Pro" w:cs="Times New Roman"/>
          <w:sz w:val="20"/>
          <w:szCs w:val="20"/>
        </w:rPr>
        <w:footnoteReference w:id="90"/>
      </w:r>
      <w:r w:rsidRPr="00CC0298">
        <w:rPr>
          <w:rFonts w:ascii="Adobe Garamond Pro" w:hAnsi="Adobe Garamond Pro" w:cs="Times New Roman"/>
          <w:sz w:val="20"/>
          <w:szCs w:val="20"/>
        </w:rPr>
        <w:t xml:space="preserve"> jer je državama članicama, upravo zbog uvažavanja razlika u članskoj strukturi trgovačkih društava čiji su vrijednosni papiri uvršteni na uređeno tržište, omogućeno da propišu i niže (tj. strože) pragove za notifikaciju.</w:t>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Ono što posebno treba naglasiti jest uvođenje jedinstvene Europske elektronske ulazne točke,</w:t>
      </w:r>
      <w:r w:rsidRPr="00CC0298">
        <w:rPr>
          <w:rStyle w:val="FootnoteReference"/>
          <w:rFonts w:ascii="Adobe Garamond Pro" w:hAnsi="Adobe Garamond Pro" w:cs="Times New Roman"/>
          <w:sz w:val="20"/>
          <w:szCs w:val="20"/>
        </w:rPr>
        <w:footnoteReference w:id="91"/>
      </w:r>
      <w:r w:rsidRPr="00CC0298">
        <w:rPr>
          <w:rFonts w:ascii="Adobe Garamond Pro" w:hAnsi="Adobe Garamond Pro" w:cs="Times New Roman"/>
          <w:sz w:val="20"/>
          <w:szCs w:val="20"/>
        </w:rPr>
        <w:t xml:space="preserve"> koja bi trebala olakšati pristup informacijama. Naime, postojeći sustav </w:t>
      </w:r>
      <w:r w:rsidRPr="00CC0298">
        <w:rPr>
          <w:rFonts w:ascii="Adobe Garamond Pro" w:hAnsi="Adobe Garamond Pro" w:cs="Times New Roman"/>
          <w:sz w:val="20"/>
          <w:szCs w:val="20"/>
        </w:rPr>
        <w:lastRenderedPageBreak/>
        <w:t>nacionalnih repozitorija podataka o trgovačkim društvima ne omogućava laku i jednostavnu pretragu podataka o društvu na EU razini. Takav nedostatak umreženosti i interoperabilnosti kako službeno imenovanih nacionalnih repozitorija podataka</w:t>
      </w:r>
      <w:r w:rsidRPr="00CC0298">
        <w:rPr>
          <w:rStyle w:val="FootnoteReference"/>
          <w:rFonts w:ascii="Adobe Garamond Pro" w:hAnsi="Adobe Garamond Pro" w:cs="Times New Roman"/>
          <w:sz w:val="20"/>
          <w:szCs w:val="20"/>
        </w:rPr>
        <w:footnoteReference w:id="92"/>
      </w:r>
      <w:r w:rsidRPr="00CC0298">
        <w:rPr>
          <w:rFonts w:ascii="Adobe Garamond Pro" w:hAnsi="Adobe Garamond Pro" w:cs="Times New Roman"/>
          <w:sz w:val="20"/>
          <w:szCs w:val="20"/>
        </w:rPr>
        <w:t xml:space="preserve"> tako i sudskih registara, već se duže vrijeme pojavljuje kao značajan problem ne samo za slobodu kretanja kapitala već i slobodu poslovnog nastana, budući da je pokretanje prekograničnog poslovanja povezano s multipliciranjem podataka u raznim nacionalnim registrima, na različitim jezicima, a pored toga sukladno različitim nacionalnim registarskim pravima jer su ista još uvijek u nadležnosti samih država članica.</w:t>
      </w:r>
      <w:r w:rsidRPr="00CC0298">
        <w:rPr>
          <w:rStyle w:val="FootnoteReference"/>
          <w:rFonts w:ascii="Adobe Garamond Pro" w:hAnsi="Adobe Garamond Pro" w:cs="Times New Roman"/>
          <w:sz w:val="20"/>
          <w:szCs w:val="20"/>
        </w:rPr>
        <w:footnoteReference w:id="93"/>
      </w:r>
      <w:r w:rsidRPr="00CC0298">
        <w:rPr>
          <w:rFonts w:ascii="Adobe Garamond Pro" w:hAnsi="Adobe Garamond Pro" w:cs="Times New Roman"/>
          <w:sz w:val="20"/>
          <w:szCs w:val="20"/>
        </w:rPr>
        <w:t xml:space="preserve"> Stvaranje umreženog repozitorija s jedinstvenim pristupom informacijama na EU razini doprinijelo bi boljoj dostupnosti relevantnih informacija, a samim time i većoj transparentnosti i pravnoj sigurnosti prekograničnog poslovanja.</w:t>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Novina koju donosi Revizijska direktiva jest pokušaj redefiniranja pojma „izdavatelj“ vrijednosnih papira. Novi pojam uključuje izdavatelje vrijednosnih papira kojima se ne trguje na uređenom tržištu, ali koju su zastupani po repozitorijima koji imaju pristup uređenom tržištu.</w:t>
      </w:r>
      <w:r w:rsidRPr="00CC0298">
        <w:rPr>
          <w:rStyle w:val="FootnoteReference"/>
          <w:rFonts w:ascii="Adobe Garamond Pro" w:hAnsi="Adobe Garamond Pro" w:cs="Times New Roman"/>
          <w:sz w:val="20"/>
          <w:szCs w:val="20"/>
        </w:rPr>
        <w:footnoteReference w:id="94"/>
      </w:r>
      <w:r w:rsidRPr="00CC0298">
        <w:rPr>
          <w:rFonts w:ascii="Adobe Garamond Pro" w:hAnsi="Adobe Garamond Pro" w:cs="Times New Roman"/>
          <w:sz w:val="20"/>
          <w:szCs w:val="20"/>
        </w:rPr>
        <w:t xml:space="preserve"> Definicija izdavatelja proširena je na fizičke osobe, budući da u nekim državama članicama izdavatelji vrijednosnih papira kojima se trguje na uređenom tržištu mogu biti i fizičke osobe.</w:t>
      </w:r>
      <w:r w:rsidRPr="00CC0298">
        <w:rPr>
          <w:rStyle w:val="FootnoteReference"/>
          <w:rFonts w:ascii="Adobe Garamond Pro" w:hAnsi="Adobe Garamond Pro" w:cs="Times New Roman"/>
          <w:sz w:val="20"/>
          <w:szCs w:val="20"/>
        </w:rPr>
        <w:footnoteReference w:id="95"/>
      </w:r>
    </w:p>
    <w:p w:rsidR="003C23CF" w:rsidRPr="00CC0298" w:rsidRDefault="003C23CF"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Budući da je tržište kapitala EU otvoreno prema vrijednosnim papirima izdavatelja iz trećih, ne – EU država, bilo je potrebno definirati „državu članicu pripadnosti.“</w:t>
      </w:r>
      <w:r w:rsidRPr="00CC0298">
        <w:rPr>
          <w:rStyle w:val="FootnoteReference"/>
          <w:rFonts w:ascii="Adobe Garamond Pro" w:hAnsi="Adobe Garamond Pro" w:cs="Times New Roman"/>
          <w:sz w:val="20"/>
          <w:szCs w:val="20"/>
        </w:rPr>
        <w:footnoteReference w:id="96"/>
      </w:r>
      <w:r w:rsidRPr="00CC0298">
        <w:rPr>
          <w:rFonts w:ascii="Adobe Garamond Pro" w:hAnsi="Adobe Garamond Pro" w:cs="Times New Roman"/>
          <w:sz w:val="20"/>
          <w:szCs w:val="20"/>
        </w:rPr>
        <w:t xml:space="preserve"> Revizijska direktiva se odlučila da to bude ona država koju izabere sam izdavatelj iz treće zemlje između onih država članica u kojima se trguje vrijednosnim papirima na uređenom tržištu.</w:t>
      </w:r>
      <w:r w:rsidRPr="00CC0298">
        <w:rPr>
          <w:rStyle w:val="FootnoteReference"/>
          <w:rFonts w:ascii="Adobe Garamond Pro" w:hAnsi="Adobe Garamond Pro" w:cs="Times New Roman"/>
          <w:sz w:val="20"/>
          <w:szCs w:val="20"/>
        </w:rPr>
        <w:footnoteReference w:id="97"/>
      </w:r>
      <w:r w:rsidRPr="00CC0298">
        <w:rPr>
          <w:rFonts w:ascii="Adobe Garamond Pro" w:hAnsi="Adobe Garamond Pro" w:cs="Times New Roman"/>
          <w:sz w:val="20"/>
          <w:szCs w:val="20"/>
        </w:rPr>
        <w:t xml:space="preserve"> Kako bi doskočila situacijama u kojima izdavatelj ne bi označio „državu članicu </w:t>
      </w:r>
      <w:r w:rsidRPr="00CC0298">
        <w:rPr>
          <w:rFonts w:ascii="Adobe Garamond Pro" w:hAnsi="Adobe Garamond Pro" w:cs="Times New Roman"/>
          <w:sz w:val="20"/>
          <w:szCs w:val="20"/>
        </w:rPr>
        <w:lastRenderedPageBreak/>
        <w:t>pripadnosti“ radi izbjegavanje nadzora od strane nadležnih tijela država članica, EK je Revizijskom direktivom propisala posebna pravila. Naime, ako izdavatelj u roku od tri mjeseca ne odabere „državu članicu pripadnosti“, to će biti ona država na čijem uređenom tržištu se trguje njegovim papirima, a u slučaju da ih je više, sve te države članice će biti smatrane kao „državama članicama pripadnosti“ dok izdavatelj ne izabere jednu od njih.</w:t>
      </w:r>
      <w:r w:rsidRPr="00CC0298">
        <w:rPr>
          <w:rStyle w:val="FootnoteReference"/>
          <w:rFonts w:ascii="Adobe Garamond Pro" w:hAnsi="Adobe Garamond Pro" w:cs="Times New Roman"/>
          <w:sz w:val="20"/>
          <w:szCs w:val="20"/>
        </w:rPr>
        <w:footnoteReference w:id="98"/>
      </w:r>
      <w:r w:rsidRPr="00CC0298">
        <w:rPr>
          <w:rFonts w:ascii="Adobe Garamond Pro" w:hAnsi="Adobe Garamond Pro" w:cs="Times New Roman"/>
          <w:sz w:val="20"/>
          <w:szCs w:val="20"/>
        </w:rPr>
        <w:t xml:space="preserve"> Takav pristup efikasan je jer „tjera“ izdavatelja da se odluči za jednu državu. Naime, sve dok se ne odluči za jednu državu članicu, podliježe simultanom nadzoru nadležnih tijela svih država članica u kojima trguje vrijednosnim papirima. Notifikacija izbora „države članice pripadnosti“ uređena Direktivom 2007/14  je također dopunjena radi usklađivanja sa prethodno rečenim.</w:t>
      </w:r>
      <w:r w:rsidRPr="00CC0298">
        <w:rPr>
          <w:rStyle w:val="FootnoteReference"/>
          <w:rFonts w:ascii="Adobe Garamond Pro" w:hAnsi="Adobe Garamond Pro" w:cs="Times New Roman"/>
          <w:sz w:val="20"/>
          <w:szCs w:val="20"/>
        </w:rPr>
        <w:footnoteReference w:id="99"/>
      </w:r>
      <w:r w:rsidRPr="00CC0298">
        <w:rPr>
          <w:rFonts w:ascii="Adobe Garamond Pro" w:hAnsi="Adobe Garamond Pro" w:cs="Times New Roman"/>
          <w:sz w:val="20"/>
          <w:szCs w:val="20"/>
        </w:rPr>
        <w:t xml:space="preserve"> Budući da je utvrđeno kako se odredbe o transparentnosti kod nekih direktiva preklapaju te predstavljaju nepotreban teret za poduzetnike, iste su kao nepotrebne napuštene.</w:t>
      </w:r>
      <w:r w:rsidRPr="00CC0298">
        <w:rPr>
          <w:rStyle w:val="FootnoteReference"/>
          <w:rFonts w:ascii="Adobe Garamond Pro" w:hAnsi="Adobe Garamond Pro" w:cs="Times New Roman"/>
          <w:sz w:val="20"/>
          <w:szCs w:val="20"/>
        </w:rPr>
        <w:footnoteReference w:id="100"/>
      </w:r>
    </w:p>
    <w:p w:rsidR="00A4564B" w:rsidRPr="00CC0298" w:rsidRDefault="00A4564B" w:rsidP="00CC0298">
      <w:pPr>
        <w:spacing w:after="0" w:line="240" w:lineRule="auto"/>
        <w:ind w:firstLine="708"/>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S obzirom da se sve više prepoznaje važnost informacijske tehnologije u ostvarenju načela transparentnosti podataka o društvu, Revizijska direktiva propisala je kako će počevši s 1. siječnjem 2020. dostava godišnjih financijskih izvještaja na jedinstvenom elektronskom obrascu postati obvezna.</w:t>
      </w:r>
      <w:r w:rsidRPr="00CC0298">
        <w:rPr>
          <w:rStyle w:val="FootnoteReference"/>
          <w:rFonts w:ascii="Adobe Garamond Pro" w:hAnsi="Adobe Garamond Pro" w:cs="Times New Roman"/>
          <w:sz w:val="20"/>
          <w:szCs w:val="20"/>
        </w:rPr>
        <w:footnoteReference w:id="101"/>
      </w:r>
      <w:r w:rsidRPr="00CC0298">
        <w:rPr>
          <w:rFonts w:ascii="Adobe Garamond Pro" w:hAnsi="Adobe Garamond Pro" w:cs="Times New Roman"/>
          <w:sz w:val="20"/>
          <w:szCs w:val="20"/>
        </w:rPr>
        <w:t xml:space="preserve"> Jednoobraznost u izvještavanju će doprinijeti jednostavnijem izvještavanju te lakšoj komparaciji izvještaja negoli je to bilo dosada. Treba spomenuti i to da je uvedena obveza za velika trgovačka društva da učine dostupnim podatke o naknadama koje plaćaju državama članicama na ime iskorištavanja prirodnih resursa, npr. šumske građe.</w:t>
      </w:r>
      <w:r w:rsidRPr="00CC0298">
        <w:rPr>
          <w:rStyle w:val="FootnoteReference"/>
          <w:rFonts w:ascii="Adobe Garamond Pro" w:hAnsi="Adobe Garamond Pro" w:cs="Times New Roman"/>
          <w:sz w:val="20"/>
          <w:szCs w:val="20"/>
        </w:rPr>
        <w:footnoteReference w:id="102"/>
      </w:r>
    </w:p>
    <w:p w:rsidR="00A4564B" w:rsidRDefault="00A4564B" w:rsidP="00CC0298">
      <w:pPr>
        <w:spacing w:after="0" w:line="240" w:lineRule="auto"/>
        <w:ind w:firstLine="708"/>
        <w:jc w:val="both"/>
        <w:rPr>
          <w:rFonts w:ascii="Adobe Garamond Pro" w:hAnsi="Adobe Garamond Pro" w:cs="Times New Roman"/>
          <w:sz w:val="20"/>
          <w:szCs w:val="20"/>
        </w:rPr>
      </w:pPr>
    </w:p>
    <w:p w:rsidR="00A4564B" w:rsidRDefault="00A4564B" w:rsidP="00CC0298">
      <w:pPr>
        <w:spacing w:after="0" w:line="240" w:lineRule="auto"/>
        <w:ind w:firstLine="708"/>
        <w:jc w:val="both"/>
        <w:rPr>
          <w:rFonts w:ascii="Adobe Garamond Pro" w:hAnsi="Adobe Garamond Pro" w:cs="Times New Roman"/>
          <w:sz w:val="20"/>
          <w:szCs w:val="20"/>
        </w:rPr>
      </w:pPr>
    </w:p>
    <w:p w:rsidR="00A4564B" w:rsidRDefault="00A4564B" w:rsidP="00CC0298">
      <w:pPr>
        <w:spacing w:after="0" w:line="240" w:lineRule="auto"/>
        <w:ind w:firstLine="708"/>
        <w:jc w:val="both"/>
        <w:rPr>
          <w:rFonts w:ascii="Adobe Garamond Pro" w:hAnsi="Adobe Garamond Pro" w:cs="Times New Roman"/>
          <w:sz w:val="20"/>
          <w:szCs w:val="20"/>
        </w:rPr>
      </w:pPr>
    </w:p>
    <w:p w:rsidR="00A4564B" w:rsidRDefault="00A4564B" w:rsidP="00CC0298">
      <w:pPr>
        <w:spacing w:after="0" w:line="240" w:lineRule="auto"/>
        <w:ind w:firstLine="708"/>
        <w:jc w:val="both"/>
        <w:rPr>
          <w:rFonts w:ascii="Adobe Garamond Pro" w:hAnsi="Adobe Garamond Pro" w:cs="Times New Roman"/>
          <w:sz w:val="20"/>
          <w:szCs w:val="20"/>
        </w:rPr>
      </w:pPr>
    </w:p>
    <w:p w:rsidR="00A4564B" w:rsidRPr="00CC0298" w:rsidRDefault="00A4564B" w:rsidP="00CC0298">
      <w:pPr>
        <w:spacing w:after="0" w:line="240" w:lineRule="auto"/>
        <w:ind w:firstLine="708"/>
        <w:jc w:val="both"/>
        <w:rPr>
          <w:rFonts w:ascii="Adobe Garamond Pro" w:hAnsi="Adobe Garamond Pro" w:cs="Times New Roman"/>
          <w:sz w:val="20"/>
          <w:szCs w:val="20"/>
        </w:rPr>
      </w:pPr>
    </w:p>
    <w:p w:rsidR="00CC0298" w:rsidRDefault="00CC0298" w:rsidP="00A4564B">
      <w:pPr>
        <w:pStyle w:val="ListParagraph"/>
        <w:spacing w:after="0" w:line="240" w:lineRule="auto"/>
        <w:ind w:left="0"/>
        <w:jc w:val="both"/>
        <w:rPr>
          <w:rFonts w:ascii="Adobe Garamond Pro" w:hAnsi="Adobe Garamond Pro" w:cs="Times New Roman"/>
          <w:b/>
        </w:rPr>
      </w:pPr>
      <w:r w:rsidRPr="00A4564B">
        <w:rPr>
          <w:rFonts w:ascii="Adobe Garamond Pro" w:hAnsi="Adobe Garamond Pro" w:cs="Times New Roman"/>
          <w:b/>
        </w:rPr>
        <w:lastRenderedPageBreak/>
        <w:t>Izjava o transparentnosti nefinancijskih podataka iz veljače 2014.</w:t>
      </w:r>
    </w:p>
    <w:p w:rsidR="00A4564B" w:rsidRPr="00A4564B" w:rsidRDefault="00A4564B" w:rsidP="00A4564B">
      <w:pPr>
        <w:pStyle w:val="ListParagraph"/>
        <w:spacing w:after="0" w:line="240" w:lineRule="auto"/>
        <w:ind w:left="0"/>
        <w:jc w:val="both"/>
        <w:rPr>
          <w:rFonts w:ascii="Adobe Garamond Pro" w:hAnsi="Adobe Garamond Pro" w:cs="Times New Roman"/>
          <w:b/>
        </w:rPr>
      </w:pPr>
    </w:p>
    <w:p w:rsidR="00CC0298" w:rsidRDefault="00CC0298" w:rsidP="00A4564B">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t>Razvoj načela transparentnosti u pravu EU odvija se i na području ne-financijskih podataka.</w:t>
      </w:r>
      <w:r w:rsidRPr="00CC0298">
        <w:rPr>
          <w:rStyle w:val="FootnoteReference"/>
          <w:rFonts w:ascii="Adobe Garamond Pro" w:hAnsi="Adobe Garamond Pro" w:cs="Times New Roman"/>
          <w:sz w:val="20"/>
          <w:szCs w:val="20"/>
        </w:rPr>
        <w:footnoteReference w:id="103"/>
      </w:r>
      <w:r w:rsidRPr="00CC0298">
        <w:rPr>
          <w:rFonts w:ascii="Adobe Garamond Pro" w:hAnsi="Adobe Garamond Pro" w:cs="Times New Roman"/>
          <w:sz w:val="20"/>
          <w:szCs w:val="20"/>
        </w:rPr>
        <w:t xml:space="preserve"> U veljači 2014. godine EK objavila je Izjavu o objavi ne-financijskih podataka u slučaju određenih velikih trgovačkih društava</w:t>
      </w:r>
      <w:r w:rsidRPr="00CC0298">
        <w:rPr>
          <w:rStyle w:val="FootnoteReference"/>
          <w:rFonts w:ascii="Adobe Garamond Pro" w:hAnsi="Adobe Garamond Pro" w:cs="Times New Roman"/>
          <w:sz w:val="20"/>
          <w:szCs w:val="20"/>
        </w:rPr>
        <w:footnoteReference w:id="104"/>
      </w:r>
      <w:r w:rsidRPr="00CC0298">
        <w:rPr>
          <w:rFonts w:ascii="Adobe Garamond Pro" w:hAnsi="Adobe Garamond Pro" w:cs="Times New Roman"/>
          <w:sz w:val="20"/>
          <w:szCs w:val="20"/>
        </w:rPr>
        <w:t xml:space="preserve"> kao rezultat sporazuma postignutog između Europskog parlamenta i Vijeća koji je temelj nacrta buduće direktive u ovom području.</w:t>
      </w:r>
      <w:r w:rsidRPr="00CC0298">
        <w:rPr>
          <w:rStyle w:val="FootnoteReference"/>
          <w:rFonts w:ascii="Adobe Garamond Pro" w:hAnsi="Adobe Garamond Pro" w:cs="Times New Roman"/>
          <w:sz w:val="20"/>
          <w:szCs w:val="20"/>
        </w:rPr>
        <w:footnoteReference w:id="105"/>
      </w:r>
      <w:r w:rsidRPr="00CC0298">
        <w:rPr>
          <w:rFonts w:ascii="Adobe Garamond Pro" w:hAnsi="Adobe Garamond Pro" w:cs="Times New Roman"/>
          <w:sz w:val="20"/>
          <w:szCs w:val="20"/>
        </w:rPr>
        <w:t xml:space="preserve"> U osnovi riječ je o podizanju dosadašnjih standarda transparentnosti u području socijalne politike, politike zaštite okoliša i politike različitosti koju provode trgovačka društva. Društveno odgovorno upravljanje u  velikim trgovačkim društvima</w:t>
      </w:r>
      <w:r w:rsidRPr="00CC0298">
        <w:rPr>
          <w:rStyle w:val="FootnoteReference"/>
          <w:rFonts w:ascii="Adobe Garamond Pro" w:hAnsi="Adobe Garamond Pro" w:cs="Times New Roman"/>
          <w:sz w:val="20"/>
          <w:szCs w:val="20"/>
        </w:rPr>
        <w:footnoteReference w:id="106"/>
      </w:r>
      <w:r w:rsidRPr="00CC0298">
        <w:rPr>
          <w:rFonts w:ascii="Adobe Garamond Pro" w:hAnsi="Adobe Garamond Pro" w:cs="Times New Roman"/>
          <w:sz w:val="20"/>
          <w:szCs w:val="20"/>
        </w:rPr>
        <w:t xml:space="preserve"> ne izražava se samo transparentnim prikazivanjem poslovnih rezultata već i objavom podataka o politikama, </w:t>
      </w:r>
      <w:r w:rsidRPr="00CC0298">
        <w:rPr>
          <w:rFonts w:ascii="Adobe Garamond Pro" w:hAnsi="Adobe Garamond Pro" w:cs="Times New Roman"/>
          <w:sz w:val="20"/>
          <w:szCs w:val="20"/>
        </w:rPr>
        <w:lastRenderedPageBreak/>
        <w:t>rizicima i rezultatima ostvarenim u pogledu pitanja zaštite okoliša, pitanja zaštite socijalnih, posebice radničkih prava, poštivanja ljudskih prava, politike sprečavanja korupcije te spolne i nacionalne raznolikosti članova upravnih organa društva.</w:t>
      </w:r>
      <w:r w:rsidRPr="00CC0298">
        <w:rPr>
          <w:rStyle w:val="FootnoteReference"/>
          <w:rFonts w:ascii="Adobe Garamond Pro" w:hAnsi="Adobe Garamond Pro" w:cs="Times New Roman"/>
          <w:sz w:val="20"/>
          <w:szCs w:val="20"/>
        </w:rPr>
        <w:footnoteReference w:id="107"/>
      </w:r>
      <w:r w:rsidRPr="00CC0298">
        <w:rPr>
          <w:rFonts w:ascii="Adobe Garamond Pro" w:hAnsi="Adobe Garamond Pro" w:cs="Times New Roman"/>
          <w:sz w:val="20"/>
          <w:szCs w:val="20"/>
        </w:rPr>
        <w:t xml:space="preserve"> Navedena pitanja transparentnosti zapravo su usko povezana sa korporativnim upravljanjem.</w:t>
      </w:r>
      <w:r w:rsidRPr="00CC0298">
        <w:rPr>
          <w:rStyle w:val="FootnoteReference"/>
          <w:rFonts w:ascii="Adobe Garamond Pro" w:hAnsi="Adobe Garamond Pro" w:cs="Times New Roman"/>
          <w:sz w:val="20"/>
          <w:szCs w:val="20"/>
        </w:rPr>
        <w:footnoteReference w:id="108"/>
      </w:r>
      <w:r w:rsidRPr="00CC0298">
        <w:rPr>
          <w:rFonts w:ascii="Adobe Garamond Pro" w:hAnsi="Adobe Garamond Pro" w:cs="Times New Roman"/>
          <w:sz w:val="20"/>
          <w:szCs w:val="20"/>
        </w:rPr>
        <w:t xml:space="preserve"> Možemo kazati kako je politika korporativnog upravljanja u ovom smislu odraz sveopće politike koju društvo provodi po pitanju zaštite socijalnih i inih prava, te je postojanje interakcije javne i privatne sfere neizbježno. Da su navedena rješenja u skladu sa općim načelima korporativnog upravljanja prisutnim u EU, dokazuje i pravilo buduće Direktive po kojem će trgovačka društva koja ne budu imala politiku raznovrsnosti morati objasniti zašto ju nemaju. Ovdje se radi o načelu </w:t>
      </w:r>
      <w:r w:rsidRPr="00CC0298">
        <w:rPr>
          <w:rFonts w:ascii="Adobe Garamond Pro" w:hAnsi="Adobe Garamond Pro" w:cs="Times New Roman"/>
          <w:i/>
          <w:sz w:val="20"/>
          <w:szCs w:val="20"/>
        </w:rPr>
        <w:t>„comply or explain.“</w:t>
      </w:r>
      <w:r w:rsidRPr="00CC0298">
        <w:rPr>
          <w:rStyle w:val="FootnoteReference"/>
          <w:rFonts w:ascii="Adobe Garamond Pro" w:hAnsi="Adobe Garamond Pro" w:cs="Times New Roman"/>
          <w:sz w:val="20"/>
          <w:szCs w:val="20"/>
        </w:rPr>
        <w:footnoteReference w:id="109"/>
      </w:r>
      <w:r w:rsidRPr="00CC0298">
        <w:rPr>
          <w:rFonts w:ascii="Adobe Garamond Pro" w:hAnsi="Adobe Garamond Pro" w:cs="Times New Roman"/>
          <w:sz w:val="20"/>
          <w:szCs w:val="20"/>
        </w:rPr>
        <w:t xml:space="preserve"> Buduća direktiva trebala bi, sudeći po najavama iz ove Izjave, biti fleksibilna po pitanju načina objave podataka,</w:t>
      </w:r>
      <w:r w:rsidRPr="00CC0298">
        <w:rPr>
          <w:rStyle w:val="FootnoteReference"/>
          <w:rFonts w:ascii="Adobe Garamond Pro" w:hAnsi="Adobe Garamond Pro" w:cs="Times New Roman"/>
          <w:sz w:val="20"/>
          <w:szCs w:val="20"/>
        </w:rPr>
        <w:footnoteReference w:id="110"/>
      </w:r>
      <w:r w:rsidRPr="00CC0298">
        <w:rPr>
          <w:rFonts w:ascii="Adobe Garamond Pro" w:hAnsi="Adobe Garamond Pro" w:cs="Times New Roman"/>
          <w:sz w:val="20"/>
          <w:szCs w:val="20"/>
        </w:rPr>
        <w:t xml:space="preserve"> te smjernicama koje će pritom trgovačka društva moći koristiti.</w:t>
      </w:r>
      <w:r w:rsidRPr="00CC0298">
        <w:rPr>
          <w:rStyle w:val="FootnoteReference"/>
          <w:rFonts w:ascii="Adobe Garamond Pro" w:hAnsi="Adobe Garamond Pro" w:cs="Times New Roman"/>
          <w:sz w:val="20"/>
          <w:szCs w:val="20"/>
        </w:rPr>
        <w:footnoteReference w:id="111"/>
      </w:r>
      <w:r w:rsidRPr="00CC0298">
        <w:rPr>
          <w:rFonts w:ascii="Adobe Garamond Pro" w:hAnsi="Adobe Garamond Pro" w:cs="Times New Roman"/>
          <w:sz w:val="20"/>
          <w:szCs w:val="20"/>
        </w:rPr>
        <w:t xml:space="preserve"> </w:t>
      </w:r>
    </w:p>
    <w:p w:rsidR="00A4564B" w:rsidRPr="00CC0298" w:rsidRDefault="00A4564B" w:rsidP="00A4564B">
      <w:pPr>
        <w:spacing w:after="0" w:line="240" w:lineRule="auto"/>
        <w:ind w:firstLine="567"/>
        <w:jc w:val="both"/>
        <w:rPr>
          <w:rFonts w:ascii="Adobe Garamond Pro" w:hAnsi="Adobe Garamond Pro" w:cs="Times New Roman"/>
          <w:sz w:val="20"/>
          <w:szCs w:val="20"/>
        </w:rPr>
      </w:pPr>
    </w:p>
    <w:p w:rsidR="00CC0298" w:rsidRDefault="00CC0298" w:rsidP="00A4564B">
      <w:pPr>
        <w:pStyle w:val="ListParagraph"/>
        <w:spacing w:after="0" w:line="240" w:lineRule="auto"/>
        <w:ind w:left="0"/>
        <w:rPr>
          <w:rFonts w:ascii="Adobe Garamond Pro" w:hAnsi="Adobe Garamond Pro" w:cs="Times New Roman"/>
          <w:b/>
        </w:rPr>
      </w:pPr>
      <w:r w:rsidRPr="00A4564B">
        <w:rPr>
          <w:rFonts w:ascii="Adobe Garamond Pro" w:hAnsi="Adobe Garamond Pro" w:cs="Times New Roman"/>
          <w:b/>
        </w:rPr>
        <w:lastRenderedPageBreak/>
        <w:t xml:space="preserve">Novela Zakona o sudskom registru </w:t>
      </w:r>
      <w:r w:rsidR="00A4564B">
        <w:rPr>
          <w:rFonts w:ascii="Adobe Garamond Pro" w:hAnsi="Adobe Garamond Pro" w:cs="Times New Roman"/>
          <w:b/>
        </w:rPr>
        <w:t>-</w:t>
      </w:r>
      <w:r w:rsidRPr="00A4564B">
        <w:rPr>
          <w:rFonts w:ascii="Adobe Garamond Pro" w:hAnsi="Adobe Garamond Pro" w:cs="Times New Roman"/>
          <w:b/>
        </w:rPr>
        <w:t xml:space="preserve"> daljnje usklađivanje hrvatskog prava sa pravnom stečevinom EU</w:t>
      </w:r>
    </w:p>
    <w:p w:rsidR="00A4564B" w:rsidRPr="00A4564B" w:rsidRDefault="00A4564B" w:rsidP="00A4564B">
      <w:pPr>
        <w:pStyle w:val="ListParagraph"/>
        <w:spacing w:after="0" w:line="240" w:lineRule="auto"/>
        <w:ind w:left="0"/>
        <w:rPr>
          <w:rFonts w:ascii="Adobe Garamond Pro" w:hAnsi="Adobe Garamond Pro" w:cs="Times New Roman"/>
          <w:b/>
        </w:rPr>
      </w:pPr>
    </w:p>
    <w:p w:rsidR="00CC0298" w:rsidRPr="00CC0298" w:rsidRDefault="00CC0298" w:rsidP="00A4564B">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t>U prosincu 2013. na snagu je stupio Zakon o izmjenama i dopunama Zakona o sudskom registru.</w:t>
      </w:r>
      <w:r w:rsidRPr="00CC0298">
        <w:rPr>
          <w:rStyle w:val="FootnoteReference"/>
          <w:rFonts w:ascii="Adobe Garamond Pro" w:hAnsi="Adobe Garamond Pro" w:cs="Times New Roman"/>
          <w:sz w:val="20"/>
          <w:szCs w:val="20"/>
        </w:rPr>
        <w:footnoteReference w:id="112"/>
      </w:r>
      <w:r w:rsidRPr="00CC0298">
        <w:rPr>
          <w:rFonts w:ascii="Adobe Garamond Pro" w:hAnsi="Adobe Garamond Pro" w:cs="Times New Roman"/>
          <w:sz w:val="20"/>
          <w:szCs w:val="20"/>
        </w:rPr>
        <w:t xml:space="preserve"> Iako navedena Novela obuhvaća veći broj novina,</w:t>
      </w:r>
      <w:r w:rsidRPr="00CC0298">
        <w:rPr>
          <w:rStyle w:val="FootnoteReference"/>
          <w:rFonts w:ascii="Adobe Garamond Pro" w:hAnsi="Adobe Garamond Pro" w:cs="Times New Roman"/>
          <w:sz w:val="20"/>
          <w:szCs w:val="20"/>
        </w:rPr>
        <w:footnoteReference w:id="113"/>
      </w:r>
      <w:r w:rsidRPr="00CC0298">
        <w:rPr>
          <w:rFonts w:ascii="Adobe Garamond Pro" w:hAnsi="Adobe Garamond Pro" w:cs="Times New Roman"/>
          <w:sz w:val="20"/>
          <w:szCs w:val="20"/>
        </w:rPr>
        <w:t xml:space="preserve"> za potrebe ovog rada autori će se osvrnuti na one koje predstavljaju daljnji korak u harmonizaciji hrvatskog registarskog prava s europskim pravom. U prvom redu, ZSR se uskladio s propisima EU u pogledu pravila o transparentnosti.</w:t>
      </w:r>
      <w:r w:rsidRPr="00CC0298">
        <w:rPr>
          <w:rStyle w:val="FootnoteReference"/>
          <w:rFonts w:ascii="Adobe Garamond Pro" w:hAnsi="Adobe Garamond Pro" w:cs="Times New Roman"/>
          <w:sz w:val="20"/>
          <w:szCs w:val="20"/>
        </w:rPr>
        <w:footnoteReference w:id="114"/>
      </w:r>
      <w:r w:rsidRPr="00CC0298">
        <w:rPr>
          <w:rFonts w:ascii="Adobe Garamond Pro" w:hAnsi="Adobe Garamond Pro" w:cs="Times New Roman"/>
          <w:sz w:val="20"/>
          <w:szCs w:val="20"/>
        </w:rPr>
        <w:t xml:space="preserve"> Budući da su neke od spomenutih direktiva bile predmet tumačenja u </w:t>
      </w:r>
      <w:r w:rsidRPr="00CC0298">
        <w:rPr>
          <w:rFonts w:ascii="Adobe Garamond Pro" w:hAnsi="Adobe Garamond Pro" w:cs="Times New Roman"/>
          <w:i/>
          <w:sz w:val="20"/>
          <w:szCs w:val="20"/>
        </w:rPr>
        <w:t>supra</w:t>
      </w:r>
      <w:r w:rsidRPr="00CC0298">
        <w:rPr>
          <w:rFonts w:ascii="Adobe Garamond Pro" w:hAnsi="Adobe Garamond Pro" w:cs="Times New Roman"/>
          <w:sz w:val="20"/>
          <w:szCs w:val="20"/>
        </w:rPr>
        <w:t xml:space="preserve"> spomenutim presudama Suda, a koje obvezuju i RH, važnost njihove implementacije i nastavne pravilne provedbe tim je veća. Pored navedenog, došlo je do usklađivanju odredbi ZSR s odredbama ZTD-a u pogledu prekograničnog spajanja i pripajanja,</w:t>
      </w:r>
      <w:r w:rsidRPr="00CC0298">
        <w:rPr>
          <w:rStyle w:val="FootnoteReference"/>
          <w:rFonts w:ascii="Adobe Garamond Pro" w:hAnsi="Adobe Garamond Pro" w:cs="Times New Roman"/>
          <w:sz w:val="20"/>
          <w:szCs w:val="20"/>
        </w:rPr>
        <w:footnoteReference w:id="115"/>
      </w:r>
      <w:r w:rsidRPr="00CC0298">
        <w:rPr>
          <w:rFonts w:ascii="Adobe Garamond Pro" w:hAnsi="Adobe Garamond Pro" w:cs="Times New Roman"/>
          <w:sz w:val="20"/>
          <w:szCs w:val="20"/>
        </w:rPr>
        <w:t xml:space="preserve"> kako bi se hrvatsko registarsko pravo u potpunosti prilagodilo pravu EU. Također, uređen je postupak upisa europske zadruge (</w:t>
      </w:r>
      <w:r w:rsidRPr="00CC0298">
        <w:rPr>
          <w:rFonts w:ascii="Adobe Garamond Pro" w:hAnsi="Adobe Garamond Pro" w:cs="Times New Roman"/>
          <w:i/>
          <w:sz w:val="20"/>
          <w:szCs w:val="20"/>
        </w:rPr>
        <w:t>Societas Cooperativa Europea, SCE</w:t>
      </w:r>
      <w:r w:rsidRPr="00CC0298">
        <w:rPr>
          <w:rFonts w:ascii="Adobe Garamond Pro" w:hAnsi="Adobe Garamond Pro" w:cs="Times New Roman"/>
          <w:sz w:val="20"/>
          <w:szCs w:val="20"/>
        </w:rPr>
        <w:t>) u sudski registar, čime je na neki način zaokružen zakonodavni proces etabliranja navedenog društva u hrvatskom pravu društava.</w:t>
      </w:r>
      <w:r w:rsidRPr="00CC0298">
        <w:rPr>
          <w:rStyle w:val="FootnoteReference"/>
          <w:rFonts w:ascii="Adobe Garamond Pro" w:hAnsi="Adobe Garamond Pro" w:cs="Times New Roman"/>
          <w:sz w:val="20"/>
          <w:szCs w:val="20"/>
        </w:rPr>
        <w:footnoteReference w:id="116"/>
      </w:r>
    </w:p>
    <w:p w:rsidR="00CC0298" w:rsidRDefault="00CC0298" w:rsidP="00CD2F2F">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lastRenderedPageBreak/>
        <w:t>Glede prekograničnog spajanja i pripajanja, propisana je odgovarajuća primjena ZTD-a o domaćim pripajanjima,</w:t>
      </w:r>
      <w:r w:rsidRPr="00CC0298">
        <w:rPr>
          <w:rStyle w:val="FootnoteReference"/>
          <w:rFonts w:ascii="Adobe Garamond Pro" w:hAnsi="Adobe Garamond Pro" w:cs="Times New Roman"/>
          <w:sz w:val="20"/>
          <w:szCs w:val="20"/>
        </w:rPr>
        <w:footnoteReference w:id="117"/>
      </w:r>
      <w:r w:rsidRPr="00CC0298">
        <w:rPr>
          <w:rFonts w:ascii="Adobe Garamond Pro" w:hAnsi="Adobe Garamond Pro" w:cs="Times New Roman"/>
          <w:sz w:val="20"/>
          <w:szCs w:val="20"/>
        </w:rPr>
        <w:t xml:space="preserve"> no novina je da se uređuje postupak pripajanja ako društvo preuzimatelj odnosno pripojeno društvo ima registrirano sjedište u Republici Hrvatskoj. U slučaju pripojenja hrvatskog trgovačkog društva, registarski sud sjedišta pripojenog društva, dakle, hrvatski sud, nadzire sve radnje</w:t>
      </w:r>
      <w:r w:rsidRPr="00CC0298">
        <w:rPr>
          <w:rStyle w:val="FootnoteReference"/>
          <w:rFonts w:ascii="Adobe Garamond Pro" w:hAnsi="Adobe Garamond Pro" w:cs="Times New Roman"/>
          <w:sz w:val="20"/>
          <w:szCs w:val="20"/>
        </w:rPr>
        <w:footnoteReference w:id="118"/>
      </w:r>
      <w:r w:rsidRPr="00CC0298">
        <w:rPr>
          <w:rFonts w:ascii="Adobe Garamond Pro" w:hAnsi="Adobe Garamond Pro" w:cs="Times New Roman"/>
          <w:sz w:val="20"/>
          <w:szCs w:val="20"/>
        </w:rPr>
        <w:t xml:space="preserve"> u tom postupku koje provodi domaće pripojeno društvo. Time je ZSR odredio međunarodnu nadležnost hrvatskih sudova u stvarima pripojenja, a budući da po općim pravilima međunarodnog građanskog postupovnog prava, domaći sud primjenjuje nacionalno postupovno pravo (</w:t>
      </w:r>
      <w:r w:rsidRPr="00CC0298">
        <w:rPr>
          <w:rFonts w:ascii="Adobe Garamond Pro" w:hAnsi="Adobe Garamond Pro" w:cs="Times New Roman"/>
          <w:i/>
          <w:sz w:val="20"/>
          <w:szCs w:val="20"/>
        </w:rPr>
        <w:t>lex fori</w:t>
      </w:r>
      <w:r w:rsidRPr="00CC0298">
        <w:rPr>
          <w:rFonts w:ascii="Adobe Garamond Pro" w:hAnsi="Adobe Garamond Pro" w:cs="Times New Roman"/>
          <w:sz w:val="20"/>
          <w:szCs w:val="20"/>
        </w:rPr>
        <w:t>), jasno je zašto se na postupak pripajanja primjenjuje odredbe hrvatskog prava koje vrijede za upise „domaćih pripojenja“. Po završetku svih radnji potrebnih za upis, pripajanje se upisuje uz zabilježbu će biti valjano tek uz ispunjenje uvjeta koje propisuje pravo države mjerodavno za društva preuzimatelja, te podataka o nadležnom tijelu koje je nadležno za društvo preuzimatelja.</w:t>
      </w:r>
      <w:r w:rsidRPr="00CC0298">
        <w:rPr>
          <w:rStyle w:val="FootnoteReference"/>
          <w:rFonts w:ascii="Adobe Garamond Pro" w:hAnsi="Adobe Garamond Pro" w:cs="Times New Roman"/>
          <w:sz w:val="20"/>
          <w:szCs w:val="20"/>
        </w:rPr>
        <w:footnoteReference w:id="119"/>
      </w:r>
      <w:r w:rsidRPr="00CC0298">
        <w:rPr>
          <w:rFonts w:ascii="Adobe Garamond Pro" w:hAnsi="Adobe Garamond Pro" w:cs="Times New Roman"/>
          <w:sz w:val="20"/>
          <w:szCs w:val="20"/>
        </w:rPr>
        <w:t xml:space="preserve"> Ako se bolje promotri ova odredba, može se reći kako se radi o iznimci u međunarodnom građanskom postupovnom pravu. Naime, nastupanje učinaka valjanog upisa pripajanja učinjeno je ovisnim o kumulativnom ispunjenju pretpostavaka po pravu mjerodavnom za pripojeno društvo i društvo preuzimatelja. To znači da domaći sud u biti ne postupa samo temeljem nacionalnog postupovnog prava, već su pravni učinci nacionalnog registarskog postupka determinirani i stranim postupovnim pravom. Time se odstupilo od klasičnog načela </w:t>
      </w:r>
      <w:r w:rsidRPr="00CC0298">
        <w:rPr>
          <w:rFonts w:ascii="Adobe Garamond Pro" w:hAnsi="Adobe Garamond Pro" w:cs="Times New Roman"/>
          <w:i/>
          <w:sz w:val="20"/>
          <w:szCs w:val="20"/>
        </w:rPr>
        <w:t xml:space="preserve">lex fori </w:t>
      </w:r>
      <w:r w:rsidRPr="00CC0298">
        <w:rPr>
          <w:rFonts w:ascii="Adobe Garamond Pro" w:hAnsi="Adobe Garamond Pro" w:cs="Times New Roman"/>
          <w:sz w:val="20"/>
          <w:szCs w:val="20"/>
        </w:rPr>
        <w:t>i primijenilo načelo „leges fororum“. U prilog tomu ide i čl. 74. a, st. 7.</w:t>
      </w:r>
      <w:r w:rsidRPr="00CC0298">
        <w:rPr>
          <w:rStyle w:val="FootnoteReference"/>
          <w:rFonts w:ascii="Adobe Garamond Pro" w:hAnsi="Adobe Garamond Pro" w:cs="Times New Roman"/>
          <w:sz w:val="20"/>
          <w:szCs w:val="20"/>
        </w:rPr>
        <w:footnoteReference w:id="120"/>
      </w:r>
      <w:r w:rsidRPr="00CC0298">
        <w:rPr>
          <w:rFonts w:ascii="Adobe Garamond Pro" w:hAnsi="Adobe Garamond Pro" w:cs="Times New Roman"/>
          <w:sz w:val="20"/>
          <w:szCs w:val="20"/>
        </w:rPr>
        <w:t xml:space="preserve"> iz kojeg proizlazi da bi prvo moralo doći do upisa pripajanja u inozemstvu, a da potom čin inozemnog pripajanja domaći sud upisuje u obliku zabilježbe. Upis pripajanja javno se objavljuje.</w:t>
      </w:r>
      <w:r w:rsidRPr="00CC0298">
        <w:rPr>
          <w:rStyle w:val="FootnoteReference"/>
          <w:rFonts w:ascii="Adobe Garamond Pro" w:hAnsi="Adobe Garamond Pro" w:cs="Times New Roman"/>
          <w:sz w:val="20"/>
          <w:szCs w:val="20"/>
        </w:rPr>
        <w:footnoteReference w:id="121"/>
      </w:r>
    </w:p>
    <w:p w:rsidR="00CD2F2F" w:rsidRPr="00CC0298" w:rsidRDefault="00CD2F2F" w:rsidP="00CD2F2F">
      <w:pPr>
        <w:spacing w:after="0" w:line="240" w:lineRule="auto"/>
        <w:ind w:firstLine="567"/>
        <w:jc w:val="both"/>
        <w:rPr>
          <w:rFonts w:ascii="Adobe Garamond Pro" w:hAnsi="Adobe Garamond Pro" w:cs="Times New Roman"/>
          <w:sz w:val="20"/>
          <w:szCs w:val="20"/>
        </w:rPr>
      </w:pPr>
    </w:p>
    <w:p w:rsidR="00CC0298" w:rsidRDefault="00CD2F2F" w:rsidP="00CC0298">
      <w:pPr>
        <w:spacing w:after="0" w:line="240" w:lineRule="auto"/>
        <w:jc w:val="both"/>
        <w:rPr>
          <w:rFonts w:ascii="Adobe Garamond Pro" w:hAnsi="Adobe Garamond Pro" w:cs="Times New Roman"/>
          <w:sz w:val="20"/>
          <w:szCs w:val="20"/>
        </w:rPr>
      </w:pPr>
      <w:r>
        <w:rPr>
          <w:rFonts w:ascii="Adobe Garamond Pro" w:hAnsi="Adobe Garamond Pro" w:cs="Times New Roman"/>
          <w:sz w:val="20"/>
          <w:szCs w:val="20"/>
        </w:rPr>
        <w:lastRenderedPageBreak/>
        <w:tab/>
      </w:r>
      <w:r w:rsidR="00CC0298" w:rsidRPr="00CC0298">
        <w:rPr>
          <w:rFonts w:ascii="Adobe Garamond Pro" w:hAnsi="Adobe Garamond Pro" w:cs="Times New Roman"/>
          <w:sz w:val="20"/>
          <w:szCs w:val="20"/>
        </w:rPr>
        <w:t>Situacija je drugačija ako se radi o upisu prekograničnog pripajanja kada društvo preuzimatelj ima registrirano sjedište u RH. Registarski sud sjedišta domaćeg društva preuzimatelja nadzire provedbu postupka pripajanja.</w:t>
      </w:r>
      <w:r w:rsidR="00CC0298" w:rsidRPr="00CC0298">
        <w:rPr>
          <w:rStyle w:val="FootnoteReference"/>
          <w:rFonts w:ascii="Adobe Garamond Pro" w:hAnsi="Adobe Garamond Pro" w:cs="Times New Roman"/>
          <w:sz w:val="20"/>
          <w:szCs w:val="20"/>
        </w:rPr>
        <w:footnoteReference w:id="122"/>
      </w:r>
      <w:r w:rsidR="00CC0298" w:rsidRPr="00CC0298">
        <w:rPr>
          <w:rFonts w:ascii="Adobe Garamond Pro" w:hAnsi="Adobe Garamond Pro" w:cs="Times New Roman"/>
          <w:sz w:val="20"/>
          <w:szCs w:val="20"/>
        </w:rPr>
        <w:t xml:space="preserve"> Nakon upisa pripajanja,</w:t>
      </w:r>
      <w:r w:rsidR="00CC0298" w:rsidRPr="00CC0298">
        <w:rPr>
          <w:rStyle w:val="FootnoteReference"/>
          <w:rFonts w:ascii="Adobe Garamond Pro" w:hAnsi="Adobe Garamond Pro" w:cs="Times New Roman"/>
          <w:sz w:val="20"/>
          <w:szCs w:val="20"/>
        </w:rPr>
        <w:footnoteReference w:id="123"/>
      </w:r>
      <w:r w:rsidR="00CC0298" w:rsidRPr="00CC0298">
        <w:rPr>
          <w:rFonts w:ascii="Adobe Garamond Pro" w:hAnsi="Adobe Garamond Pro" w:cs="Times New Roman"/>
          <w:sz w:val="20"/>
          <w:szCs w:val="20"/>
        </w:rPr>
        <w:t xml:space="preserve"> domaći registarski sud će </w:t>
      </w:r>
      <w:r w:rsidR="00CC0298" w:rsidRPr="00CC0298">
        <w:rPr>
          <w:rFonts w:ascii="Adobe Garamond Pro" w:hAnsi="Adobe Garamond Pro" w:cs="Times New Roman"/>
          <w:i/>
          <w:sz w:val="20"/>
          <w:szCs w:val="20"/>
        </w:rPr>
        <w:t>ex offo</w:t>
      </w:r>
      <w:r w:rsidR="00CC0298" w:rsidRPr="00CC0298">
        <w:rPr>
          <w:rFonts w:ascii="Adobe Garamond Pro" w:hAnsi="Adobe Garamond Pro" w:cs="Times New Roman"/>
          <w:sz w:val="20"/>
          <w:szCs w:val="20"/>
        </w:rPr>
        <w:t xml:space="preserve"> obavijestiti nadležno tijelo o provedenom upisu pripajanja uz zahtjev da mu se dostavi zbirka isprava pripojenog društva.</w:t>
      </w:r>
      <w:r w:rsidR="00CC0298" w:rsidRPr="00CC0298">
        <w:rPr>
          <w:rStyle w:val="FootnoteReference"/>
          <w:rFonts w:ascii="Adobe Garamond Pro" w:hAnsi="Adobe Garamond Pro" w:cs="Times New Roman"/>
          <w:sz w:val="20"/>
          <w:szCs w:val="20"/>
        </w:rPr>
        <w:footnoteReference w:id="124"/>
      </w:r>
      <w:r w:rsidR="00CC0298" w:rsidRPr="00CC0298">
        <w:rPr>
          <w:rFonts w:ascii="Adobe Garamond Pro" w:hAnsi="Adobe Garamond Pro" w:cs="Times New Roman"/>
          <w:sz w:val="20"/>
          <w:szCs w:val="20"/>
        </w:rPr>
        <w:t xml:space="preserve"> Iz navedenog proizlazi da upis pripajanja u slučaju kada je hrvatsko društvo društvo preuzimatelj nastupa kada se za to ispune pretpostavke po hrvatskom pravu, što je u skladu s gore spomenutim pravilima o vezivanju pravnih učinaka upisa uz pravo mjerodavno za društvo preuzimatelja.</w:t>
      </w:r>
    </w:p>
    <w:p w:rsidR="00CD2F2F" w:rsidRPr="00CC0298" w:rsidRDefault="00CD2F2F" w:rsidP="00CC0298">
      <w:pPr>
        <w:spacing w:after="0" w:line="240" w:lineRule="auto"/>
        <w:jc w:val="both"/>
        <w:rPr>
          <w:rFonts w:ascii="Adobe Garamond Pro" w:hAnsi="Adobe Garamond Pro" w:cs="Times New Roman"/>
          <w:sz w:val="20"/>
          <w:szCs w:val="20"/>
        </w:rPr>
      </w:pPr>
    </w:p>
    <w:p w:rsidR="00CC0298" w:rsidRDefault="00CC0298" w:rsidP="00CC0298">
      <w:pPr>
        <w:spacing w:after="0" w:line="240" w:lineRule="auto"/>
        <w:ind w:firstLine="708"/>
        <w:jc w:val="both"/>
        <w:rPr>
          <w:rFonts w:ascii="Adobe Garamond Pro" w:hAnsi="Adobe Garamond Pro" w:cs="Times New Roman"/>
          <w:sz w:val="20"/>
          <w:szCs w:val="20"/>
        </w:rPr>
      </w:pPr>
      <w:r w:rsidRPr="00CC0298">
        <w:rPr>
          <w:rFonts w:ascii="Adobe Garamond Pro" w:hAnsi="Adobe Garamond Pro" w:cs="Times New Roman"/>
          <w:sz w:val="20"/>
          <w:szCs w:val="20"/>
        </w:rPr>
        <w:t>Glede prekograničnog spajanja, čl. 74. c. ZSR samo je propisao kako prijavu za upis novonastalog društva podnose zajednički ovlašteni organi spojenih društava, pa valja zaključiti da za ostala pitanja vrijede odredbe ZTD o prekograničnom spajanju.</w:t>
      </w:r>
    </w:p>
    <w:p w:rsidR="00CD2F2F" w:rsidRPr="00CC0298" w:rsidRDefault="00CD2F2F" w:rsidP="00CC0298">
      <w:pPr>
        <w:spacing w:after="0" w:line="240" w:lineRule="auto"/>
        <w:ind w:firstLine="708"/>
        <w:jc w:val="both"/>
        <w:rPr>
          <w:rFonts w:ascii="Adobe Garamond Pro" w:hAnsi="Adobe Garamond Pro" w:cs="Times New Roman"/>
          <w:sz w:val="20"/>
          <w:szCs w:val="20"/>
        </w:rPr>
      </w:pPr>
    </w:p>
    <w:p w:rsidR="00CC0298" w:rsidRPr="00CC0298" w:rsidRDefault="00CC0298" w:rsidP="00CC0298">
      <w:pPr>
        <w:spacing w:after="0" w:line="240" w:lineRule="auto"/>
        <w:ind w:firstLine="708"/>
        <w:jc w:val="both"/>
        <w:rPr>
          <w:rFonts w:ascii="Adobe Garamond Pro" w:hAnsi="Adobe Garamond Pro" w:cs="Times New Roman"/>
          <w:sz w:val="20"/>
          <w:szCs w:val="20"/>
          <w:vertAlign w:val="superscript"/>
        </w:rPr>
      </w:pPr>
      <w:r w:rsidRPr="00CC0298">
        <w:rPr>
          <w:rFonts w:ascii="Adobe Garamond Pro" w:hAnsi="Adobe Garamond Pro" w:cs="Times New Roman"/>
          <w:sz w:val="20"/>
          <w:szCs w:val="20"/>
        </w:rPr>
        <w:t xml:space="preserve">Potreba za usklađenjem hrvatskog registarskog prava s pravom EU nalazi svoje uporište i u pravilima o europskoj zadruzi – </w:t>
      </w:r>
      <w:r w:rsidRPr="00CC0298">
        <w:rPr>
          <w:rFonts w:ascii="Adobe Garamond Pro" w:hAnsi="Adobe Garamond Pro" w:cs="Times New Roman"/>
          <w:i/>
          <w:sz w:val="20"/>
          <w:szCs w:val="20"/>
        </w:rPr>
        <w:t>Societas Cooperativa Europea</w:t>
      </w:r>
      <w:r w:rsidRPr="00CC0298">
        <w:rPr>
          <w:rFonts w:ascii="Adobe Garamond Pro" w:hAnsi="Adobe Garamond Pro" w:cs="Times New Roman"/>
          <w:sz w:val="20"/>
          <w:szCs w:val="20"/>
        </w:rPr>
        <w:t xml:space="preserve"> (SCE).</w:t>
      </w:r>
      <w:r w:rsidRPr="00CC0298">
        <w:rPr>
          <w:rStyle w:val="FootnoteReference"/>
          <w:rFonts w:ascii="Adobe Garamond Pro" w:hAnsi="Adobe Garamond Pro" w:cs="Times New Roman"/>
          <w:sz w:val="20"/>
          <w:szCs w:val="20"/>
        </w:rPr>
        <w:footnoteReference w:id="125"/>
      </w:r>
      <w:r w:rsidRPr="00CC0298">
        <w:rPr>
          <w:rFonts w:ascii="Adobe Garamond Pro" w:hAnsi="Adobe Garamond Pro" w:cs="Times New Roman"/>
          <w:sz w:val="20"/>
          <w:szCs w:val="20"/>
        </w:rPr>
        <w:t xml:space="preserve"> Novina koju je donijela Novela ZSR-a je da se sada izričito propisuje da se u registar upisuje i SCE ranije uvedena Zakonom o SCE. Iako na prvi pogled samo tehnička dopuna, radi se zapravo o važnoj novini. Naime, ako bi se dosadašnje odredbe tumačile doslovno, tada bi npr. pravila o učinku upisa ili obvezama dostave raznovrsnih podataka, vrijedila samo za „subjekte upisa“ kako su isti taksativno navedeni u ZSR-u. Među njima nije bila i SCE, pa je u praksi moglo biti sporno da li se sve te odredbe, usko vezane uz taksativno određene subjekte upisa, vežu i uz nju. Stoga izričito navođenje europske zadruge na taksativnoj listi znači uklanjanje svake sumnje da se i na nju odnose sve odredbe koje se odnose i na druge subjekte upisa. Treba spomenuti kako su određene izmjene poduzete i glede propisivanja sadržaja podataka koji se u sudski registar upisuju za SCE.</w:t>
      </w:r>
      <w:r w:rsidRPr="00CC0298">
        <w:rPr>
          <w:rStyle w:val="FootnoteReference"/>
          <w:rFonts w:ascii="Adobe Garamond Pro" w:hAnsi="Adobe Garamond Pro" w:cs="Times New Roman"/>
          <w:sz w:val="20"/>
          <w:szCs w:val="20"/>
        </w:rPr>
        <w:footnoteReference w:id="126"/>
      </w:r>
      <w:r w:rsidRPr="00CC0298">
        <w:rPr>
          <w:rFonts w:ascii="Adobe Garamond Pro" w:hAnsi="Adobe Garamond Pro" w:cs="Times New Roman"/>
          <w:sz w:val="20"/>
          <w:szCs w:val="20"/>
          <w:vertAlign w:val="superscript"/>
        </w:rPr>
        <w:t xml:space="preserve">, </w:t>
      </w:r>
      <w:r w:rsidRPr="00CC0298">
        <w:rPr>
          <w:rStyle w:val="FootnoteReference"/>
          <w:rFonts w:ascii="Adobe Garamond Pro" w:hAnsi="Adobe Garamond Pro" w:cs="Times New Roman"/>
          <w:sz w:val="20"/>
          <w:szCs w:val="20"/>
        </w:rPr>
        <w:footnoteReference w:id="127"/>
      </w:r>
    </w:p>
    <w:p w:rsidR="00CC0298" w:rsidRDefault="00CC0298" w:rsidP="00CD2F2F">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lastRenderedPageBreak/>
        <w:t>Posljednja izmjena i dopuna ZSR-a primjer je kako i po pristupanju u punopravno članstvo EU država članica mora usklađivati vlastito zakonodavstvo s europskom pravnom stečevinom. Postepenim usklađivanjem nacionalnog registarskog prava, RH je omogućila javnu dostupnost podataka o nizu novih, dotada stručnoj i poslovnoj zajednici, nepoznatih društava europskog prava. RH i države u okruženju tradicionalno su povezane jakim gospodarskim vezama, te je prekogranična aktivnost hrvatskih trgovačkih društava u zemljama u okruženju intenzivna. Pod pojmom „hrvatska trgovačka društva“ sada se misli i na trgovačka društva europske pravne provenijencije. U tom smislu pravila registarskog prava o pripajanju i spajanju imaju posebnu ulogu. Ako se uzme u obzir da njihova primjena nije izrijekom ograničena samo na prekogranične statusne promjene europskog predznaka, ona su relevantna i za prekogranične aktivnosti u zemljama u okruženju. Na taj način harmonizirana pravila nacionalnog prava posreduju između europske pravne stečevine u registarskim stvarima i nacionalnih normi država nečlanica. Stoga iskustva RH u ovom području mogu koristiti zemljama u okruženju na njihovom putu u punopravno članstvo EU.</w:t>
      </w:r>
      <w:r w:rsidRPr="00CC0298">
        <w:rPr>
          <w:rStyle w:val="FootnoteReference"/>
          <w:rFonts w:ascii="Adobe Garamond Pro" w:hAnsi="Adobe Garamond Pro" w:cs="Times New Roman"/>
          <w:sz w:val="20"/>
          <w:szCs w:val="20"/>
        </w:rPr>
        <w:footnoteReference w:id="128"/>
      </w:r>
    </w:p>
    <w:p w:rsidR="00CD2F2F" w:rsidRPr="00CC0298" w:rsidRDefault="00CD2F2F" w:rsidP="00CD2F2F">
      <w:pPr>
        <w:spacing w:after="0" w:line="240" w:lineRule="auto"/>
        <w:ind w:firstLine="567"/>
        <w:jc w:val="both"/>
        <w:rPr>
          <w:rFonts w:ascii="Adobe Garamond Pro" w:hAnsi="Adobe Garamond Pro" w:cs="Times New Roman"/>
          <w:sz w:val="20"/>
          <w:szCs w:val="20"/>
        </w:rPr>
      </w:pPr>
    </w:p>
    <w:p w:rsidR="00CC0298" w:rsidRPr="00CD2F2F" w:rsidRDefault="00CD2F2F" w:rsidP="00CD2F2F">
      <w:pPr>
        <w:pStyle w:val="ListParagraph"/>
        <w:spacing w:after="0" w:line="240" w:lineRule="auto"/>
        <w:ind w:left="0"/>
        <w:jc w:val="both"/>
        <w:rPr>
          <w:rFonts w:ascii="Adobe Garamond Pro" w:hAnsi="Adobe Garamond Pro" w:cs="Times New Roman"/>
        </w:rPr>
      </w:pPr>
      <w:r w:rsidRPr="00CD2F2F">
        <w:rPr>
          <w:rFonts w:ascii="Adobe Garamond Pro" w:hAnsi="Adobe Garamond Pro" w:cs="Times New Roman"/>
          <w:b/>
        </w:rPr>
        <w:t>ZAKLJUČAK</w:t>
      </w:r>
    </w:p>
    <w:p w:rsidR="00CD2F2F" w:rsidRPr="00CC0298" w:rsidRDefault="00CD2F2F" w:rsidP="00CD2F2F">
      <w:pPr>
        <w:pStyle w:val="ListParagraph"/>
        <w:spacing w:after="0" w:line="240" w:lineRule="auto"/>
        <w:ind w:left="360"/>
        <w:jc w:val="both"/>
        <w:rPr>
          <w:rFonts w:ascii="Adobe Garamond Pro" w:hAnsi="Adobe Garamond Pro" w:cs="Times New Roman"/>
          <w:sz w:val="20"/>
          <w:szCs w:val="20"/>
        </w:rPr>
      </w:pPr>
    </w:p>
    <w:p w:rsidR="00CC0298" w:rsidRDefault="00CC0298" w:rsidP="00CD2F2F">
      <w:pPr>
        <w:spacing w:after="0" w:line="240" w:lineRule="auto"/>
        <w:ind w:firstLine="567"/>
        <w:jc w:val="both"/>
        <w:rPr>
          <w:rFonts w:ascii="Adobe Garamond Pro" w:hAnsi="Adobe Garamond Pro" w:cs="Times New Roman"/>
          <w:sz w:val="20"/>
          <w:szCs w:val="20"/>
        </w:rPr>
      </w:pPr>
      <w:r w:rsidRPr="00CC0298">
        <w:rPr>
          <w:rFonts w:ascii="Adobe Garamond Pro" w:hAnsi="Adobe Garamond Pro" w:cs="Times New Roman"/>
          <w:sz w:val="20"/>
          <w:szCs w:val="20"/>
        </w:rPr>
        <w:t xml:space="preserve">Načelo transparentnosti podataka prepoznato je kao jedan od osnovnih instrumenata EU u izgradnji integriranog tržišta kapitala. Njegova važnost očituje se u širini njegove primjene, koja obuhvaća kako financijske tako i nefinancijske podatke o društvima čijim se vrijednosnim papirima trguje na uređenom tržištu. Afirmacija načela transparentnosti doprinosi izgradnji povjerenja investitora u tržište kapitala te u konačnici utječe na povjerenje ulagatelja i ostalih dionika. Postoji  potreba uspostave ravnoteže između zaštite investitora, s jedne strane, i zaštite povjerljivosti podataka, s druge strane. U tom pravcu kreće se i praksa Suda obrađena u ovom radu. U predmetu </w:t>
      </w:r>
      <w:r w:rsidRPr="00CC0298">
        <w:rPr>
          <w:rFonts w:ascii="Adobe Garamond Pro" w:hAnsi="Adobe Garamond Pro" w:cs="Times New Roman"/>
          <w:i/>
          <w:sz w:val="20"/>
          <w:szCs w:val="20"/>
        </w:rPr>
        <w:t>Markus Geltl</w:t>
      </w:r>
      <w:r w:rsidRPr="00CC0298">
        <w:rPr>
          <w:rFonts w:ascii="Adobe Garamond Pro" w:hAnsi="Adobe Garamond Pro" w:cs="Times New Roman"/>
          <w:sz w:val="20"/>
          <w:szCs w:val="20"/>
        </w:rPr>
        <w:t xml:space="preserve"> </w:t>
      </w:r>
      <w:r w:rsidRPr="00CC0298">
        <w:rPr>
          <w:rFonts w:ascii="Adobe Garamond Pro" w:hAnsi="Adobe Garamond Pro" w:cs="Times New Roman"/>
          <w:i/>
          <w:sz w:val="20"/>
          <w:szCs w:val="20"/>
        </w:rPr>
        <w:t>v Daimler AG</w:t>
      </w:r>
      <w:r w:rsidRPr="00CC0298">
        <w:rPr>
          <w:rFonts w:ascii="Adobe Garamond Pro" w:hAnsi="Adobe Garamond Pro" w:cs="Times New Roman"/>
          <w:sz w:val="20"/>
          <w:szCs w:val="20"/>
        </w:rPr>
        <w:t xml:space="preserve"> Sud je zaključio da obveza društva da učini javno dostupnim podatke o promjenama u upravljanju društvom ne nastaje tek po okončanju postupka koji je do promjene doveo već, radi zaštite članova društva i sudionika tržišta kapitala, nastaje čim se pojavi neki precizni podatak koji može značajno utjecati na cijene financijskih instrumenata koje je društvo izdalo. U predmetu </w:t>
      </w:r>
      <w:r w:rsidRPr="00CC0298">
        <w:rPr>
          <w:rFonts w:ascii="Adobe Garamond Pro" w:hAnsi="Adobe Garamond Pro" w:cs="Times New Roman"/>
          <w:i/>
          <w:sz w:val="20"/>
          <w:szCs w:val="20"/>
        </w:rPr>
        <w:t xml:space="preserve">Hirmann  </w:t>
      </w:r>
      <w:r w:rsidRPr="00CC0298">
        <w:rPr>
          <w:rFonts w:ascii="Adobe Garamond Pro" w:hAnsi="Adobe Garamond Pro" w:cs="Times New Roman"/>
          <w:sz w:val="20"/>
          <w:szCs w:val="20"/>
        </w:rPr>
        <w:t xml:space="preserve">sučeljena su dva temeljna načela – načelo transparentnosti u smislu davanja potpunih i točnih </w:t>
      </w:r>
      <w:r w:rsidRPr="00CC0298">
        <w:rPr>
          <w:rFonts w:ascii="Adobe Garamond Pro" w:hAnsi="Adobe Garamond Pro" w:cs="Times New Roman"/>
          <w:sz w:val="20"/>
          <w:szCs w:val="20"/>
        </w:rPr>
        <w:lastRenderedPageBreak/>
        <w:t xml:space="preserve">podataka o dionicama društva u cilju zaštite ulagatelja, integracije i povjerenja u tržišta kapitala, te načelo održanja temeljnog kapitala društva, zabrane stjecanja vlastitih dionica i jednakog tretmana članova kao temeljna načela prava društava. Pored toga, radi se o presudi u kojoj je Sud u osnovi raspravljao o tumačenjima harmonizirajućih odredbi europskog prava i njihovom međuodnosu. Naposljetku, a u vezi s naprijed rečenom, u navedenoj presudi, raspravljalo se i o učincima raskida tj. da li isti djeluje </w:t>
      </w:r>
      <w:r w:rsidRPr="00CC0298">
        <w:rPr>
          <w:rFonts w:ascii="Adobe Garamond Pro" w:hAnsi="Adobe Garamond Pro" w:cs="Times New Roman"/>
          <w:i/>
          <w:sz w:val="20"/>
          <w:szCs w:val="20"/>
        </w:rPr>
        <w:t>ex tunc</w:t>
      </w:r>
      <w:r w:rsidRPr="00CC0298">
        <w:rPr>
          <w:rFonts w:ascii="Adobe Garamond Pro" w:hAnsi="Adobe Garamond Pro" w:cs="Times New Roman"/>
          <w:sz w:val="20"/>
          <w:szCs w:val="20"/>
        </w:rPr>
        <w:t xml:space="preserve"> ili </w:t>
      </w:r>
      <w:r w:rsidRPr="00CC0298">
        <w:rPr>
          <w:rFonts w:ascii="Adobe Garamond Pro" w:hAnsi="Adobe Garamond Pro" w:cs="Times New Roman"/>
          <w:i/>
          <w:sz w:val="20"/>
          <w:szCs w:val="20"/>
        </w:rPr>
        <w:t>ex nunc</w:t>
      </w:r>
      <w:r w:rsidRPr="00CC0298">
        <w:rPr>
          <w:rFonts w:ascii="Adobe Garamond Pro" w:hAnsi="Adobe Garamond Pro" w:cs="Times New Roman"/>
          <w:sz w:val="20"/>
          <w:szCs w:val="20"/>
        </w:rPr>
        <w:t>, a s obzirom na načelo održanja temeljnog kapitala i opseg odgovornosti izdavatelja. Time se civilnopravno pitanje vremenske dimenzije raskida pojavilo u kontekstu interpretacije pravila o održanju temeljnog kapitala. Prikazane presude primjer su povezivanja i skupne smislene interpretacije osnovnih postulata privatnog prava u cilju zaštite investitora, samog društva i tržišta kapitala. Iz prikaza recentnih tendencija u pogledu sekundarnog zakonodavstva EU na području afirmacije načela transparentnosti jasno se izdvajaju dva smjera: jedan koji teži simplifikaciji zahtjeva za dostavom podataka na sadržajnom i tehničkom planu te drugi koji naglašava važnost afirmacije načela transparentnosti i u sferi društveno odgovornog upravljanja. Ono što ih povezuje jest nastojanje da se očuva integritet tržišta kapitala. U takvom interdisciplinarnom okruženju dolazi do promjena u nacionalnom pravu država članica, pa tako i u pravu RH.</w:t>
      </w:r>
      <w:r w:rsidRPr="00CC0298">
        <w:rPr>
          <w:rStyle w:val="FootnoteReference"/>
          <w:rFonts w:ascii="Adobe Garamond Pro" w:hAnsi="Adobe Garamond Pro" w:cs="Times New Roman"/>
          <w:sz w:val="20"/>
          <w:szCs w:val="20"/>
        </w:rPr>
        <w:footnoteReference w:id="129"/>
      </w:r>
      <w:r w:rsidRPr="00CC0298">
        <w:rPr>
          <w:rFonts w:ascii="Adobe Garamond Pro" w:hAnsi="Adobe Garamond Pro" w:cs="Times New Roman"/>
          <w:sz w:val="20"/>
          <w:szCs w:val="20"/>
        </w:rPr>
        <w:t xml:space="preserve"> RH će u razdoblju koje slijedi morati implementirati revidiranu Direktivu o transparentnosti te doprinijeti izgradnji sustava korporativnog upravljanja u svjetlu „europske“ ideje o većoj društvenoj odgovornosti trgovačkih društva. Izmjenama i dopunama ZSR RH se i dalje nastavlja usklađivati sa europskom pravnom stečevinom. Dopunjenim odredbama o prekograničnom spajanju i pripajanju ZSR uskladio se sa odredbama ZTD te je na taj način stvoren pravni okvir prekograničnog poslovanja. Unošenje SCE u taksativnu listu subjekata upisa ZSR je kao </w:t>
      </w:r>
      <w:r w:rsidRPr="00CC0298">
        <w:rPr>
          <w:rFonts w:ascii="Adobe Garamond Pro" w:hAnsi="Adobe Garamond Pro" w:cs="Times New Roman"/>
          <w:i/>
          <w:sz w:val="20"/>
          <w:szCs w:val="20"/>
        </w:rPr>
        <w:t xml:space="preserve">lex specialis </w:t>
      </w:r>
      <w:r w:rsidRPr="00CC0298">
        <w:rPr>
          <w:rFonts w:ascii="Adobe Garamond Pro" w:hAnsi="Adobe Garamond Pro" w:cs="Times New Roman"/>
          <w:sz w:val="20"/>
          <w:szCs w:val="20"/>
        </w:rPr>
        <w:t xml:space="preserve">registarskog prava društava doprinio otklanjanju mogućih dilema u pogledu obveza koje za društvo proizlaze temeljem pravila o transparentnosti. Iskustva RH u implementaciji europskih pravila o transparentnosti mogu biti od koristi zemljama koje se priključuju eurointegracijskom procesu zbog sličnosti pravnih tradicija. Harmonizacija nacionalnih prava susjednih država od velike je važnosti za RH, budući da se pritom stvara ujednačeni pravni okvir potreban za neometano prekogranično poslovanje trgovačkih društava i pojedinaca. </w:t>
      </w:r>
    </w:p>
    <w:p w:rsidR="00CD2F2F" w:rsidRPr="00CC0298" w:rsidRDefault="00CD2F2F" w:rsidP="00CD2F2F">
      <w:pPr>
        <w:spacing w:after="0" w:line="240" w:lineRule="auto"/>
        <w:ind w:firstLine="567"/>
        <w:jc w:val="both"/>
        <w:rPr>
          <w:rFonts w:ascii="Adobe Garamond Pro" w:hAnsi="Adobe Garamond Pro" w:cs="Times New Roman"/>
          <w:sz w:val="20"/>
          <w:szCs w:val="20"/>
        </w:rPr>
      </w:pPr>
    </w:p>
    <w:p w:rsidR="00CC0298" w:rsidRDefault="00CD2F2F" w:rsidP="00CD2F2F">
      <w:pPr>
        <w:spacing w:after="0" w:line="240" w:lineRule="auto"/>
        <w:rPr>
          <w:rFonts w:ascii="Adobe Garamond Pro" w:hAnsi="Adobe Garamond Pro" w:cs="Times New Roman"/>
          <w:b/>
        </w:rPr>
      </w:pPr>
      <w:r w:rsidRPr="00CD2F2F">
        <w:rPr>
          <w:rFonts w:ascii="Adobe Garamond Pro" w:hAnsi="Adobe Garamond Pro" w:cs="Times New Roman"/>
          <w:b/>
        </w:rPr>
        <w:t>LITERATURA</w:t>
      </w:r>
    </w:p>
    <w:p w:rsidR="00CD2F2F" w:rsidRPr="00CD2F2F" w:rsidRDefault="00CD2F2F" w:rsidP="00CD2F2F">
      <w:pPr>
        <w:spacing w:after="0" w:line="240" w:lineRule="auto"/>
        <w:rPr>
          <w:rFonts w:ascii="Adobe Garamond Pro" w:hAnsi="Adobe Garamond Pro" w:cs="Times New Roman"/>
          <w:b/>
        </w:rPr>
      </w:pPr>
    </w:p>
    <w:p w:rsidR="00CC0298"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Barbić, Jakša, </w:t>
      </w:r>
      <w:r w:rsidRPr="00CD2F2F">
        <w:rPr>
          <w:rFonts w:ascii="Adobe Garamond Pro" w:hAnsi="Adobe Garamond Pro" w:cs="Times New Roman"/>
          <w:i/>
          <w:sz w:val="20"/>
          <w:szCs w:val="20"/>
        </w:rPr>
        <w:t>Pravo društava</w:t>
      </w:r>
      <w:r w:rsidRPr="00CD2F2F">
        <w:rPr>
          <w:rFonts w:ascii="Adobe Garamond Pro" w:hAnsi="Adobe Garamond Pro" w:cs="Times New Roman"/>
          <w:sz w:val="20"/>
          <w:szCs w:val="20"/>
        </w:rPr>
        <w:t xml:space="preserve">, </w:t>
      </w:r>
      <w:r w:rsidRPr="00CD2F2F">
        <w:rPr>
          <w:rFonts w:ascii="Adobe Garamond Pro" w:hAnsi="Adobe Garamond Pro" w:cs="Times New Roman"/>
          <w:i/>
          <w:sz w:val="20"/>
          <w:szCs w:val="20"/>
        </w:rPr>
        <w:t>Knjiga prva: Opći dio</w:t>
      </w:r>
      <w:r w:rsidRPr="00CD2F2F">
        <w:rPr>
          <w:rFonts w:ascii="Adobe Garamond Pro" w:hAnsi="Adobe Garamond Pro" w:cs="Times New Roman"/>
          <w:sz w:val="20"/>
          <w:szCs w:val="20"/>
        </w:rPr>
        <w:t>, treće, izmijenjeno izdanje, Zagreb, 2008.</w:t>
      </w:r>
    </w:p>
    <w:p w:rsidR="00CC0298"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Christensen, Hans B.; Hail, Luzi; Leuz, Christian, </w:t>
      </w:r>
      <w:r w:rsidRPr="00CD2F2F">
        <w:rPr>
          <w:rFonts w:ascii="Adobe Garamond Pro" w:hAnsi="Adobe Garamond Pro" w:cs="Times New Roman"/>
          <w:i/>
          <w:sz w:val="20"/>
          <w:szCs w:val="20"/>
        </w:rPr>
        <w:t>Capital-Markets Effects of Securities Regulation: Prior Conditions, Implementation and Enforcement</w:t>
      </w:r>
      <w:r w:rsidRPr="00CD2F2F">
        <w:rPr>
          <w:rFonts w:ascii="Adobe Garamond Pro" w:hAnsi="Adobe Garamond Pro" w:cs="Times New Roman"/>
          <w:sz w:val="20"/>
          <w:szCs w:val="20"/>
        </w:rPr>
        <w:t>, Finance Working Paper No. 407/14, dostupno na http://ssrn.com/abstract_id=1745106</w:t>
      </w:r>
    </w:p>
    <w:p w:rsidR="00CD2F2F" w:rsidRPr="00CD2F2F" w:rsidRDefault="00CD2F2F" w:rsidP="00CD2F2F">
      <w:pPr>
        <w:spacing w:after="0" w:line="240" w:lineRule="auto"/>
        <w:ind w:left="284" w:hanging="284"/>
        <w:jc w:val="both"/>
        <w:rPr>
          <w:rFonts w:ascii="Adobe Garamond Pro" w:hAnsi="Adobe Garamond Pro" w:cs="Times New Roman"/>
          <w:sz w:val="20"/>
          <w:szCs w:val="20"/>
        </w:rPr>
      </w:pPr>
    </w:p>
    <w:p w:rsidR="00CD2F2F" w:rsidRPr="00CD2F2F" w:rsidRDefault="00CC0298" w:rsidP="00CD2F2F">
      <w:pPr>
        <w:pStyle w:val="ListParagraph"/>
        <w:numPr>
          <w:ilvl w:val="0"/>
          <w:numId w:val="44"/>
        </w:numPr>
        <w:spacing w:after="0" w:line="240" w:lineRule="auto"/>
        <w:ind w:left="284" w:hanging="284"/>
        <w:rPr>
          <w:rFonts w:ascii="Adobe Garamond Pro" w:hAnsi="Adobe Garamond Pro" w:cs="Times New Roman"/>
          <w:sz w:val="20"/>
          <w:szCs w:val="20"/>
        </w:rPr>
      </w:pPr>
      <w:r w:rsidRPr="00CD2F2F">
        <w:rPr>
          <w:rFonts w:ascii="Adobe Garamond Pro" w:hAnsi="Adobe Garamond Pro" w:cs="Times New Roman"/>
          <w:sz w:val="20"/>
          <w:szCs w:val="20"/>
        </w:rPr>
        <w:lastRenderedPageBreak/>
        <w:t xml:space="preserve">Gažić, Ivana, Zagreb Stock Exchange: </w:t>
      </w:r>
      <w:r w:rsidRPr="00CD2F2F">
        <w:rPr>
          <w:rFonts w:ascii="Adobe Garamond Pro" w:hAnsi="Adobe Garamond Pro" w:cs="Times New Roman"/>
          <w:i/>
          <w:sz w:val="20"/>
          <w:szCs w:val="20"/>
        </w:rPr>
        <w:t>Establishing rules of Transparency of Croatian Companies in Light of soon entrance to EU</w:t>
      </w:r>
      <w:r w:rsidRPr="00CD2F2F">
        <w:rPr>
          <w:rFonts w:ascii="Adobe Garamond Pro" w:hAnsi="Adobe Garamond Pro" w:cs="Times New Roman"/>
          <w:sz w:val="20"/>
          <w:szCs w:val="20"/>
        </w:rPr>
        <w:t xml:space="preserve"> u: Horak, Hana (ed.), 2</w:t>
      </w:r>
      <w:r w:rsidRPr="00CD2F2F">
        <w:rPr>
          <w:rFonts w:ascii="Adobe Garamond Pro" w:hAnsi="Adobe Garamond Pro" w:cs="Times New Roman"/>
          <w:sz w:val="20"/>
          <w:szCs w:val="20"/>
          <w:vertAlign w:val="superscript"/>
        </w:rPr>
        <w:t xml:space="preserve">nd </w:t>
      </w:r>
      <w:r w:rsidRPr="00CD2F2F">
        <w:rPr>
          <w:rFonts w:ascii="Adobe Garamond Pro" w:hAnsi="Adobe Garamond Pro" w:cs="Times New Roman"/>
          <w:sz w:val="20"/>
          <w:szCs w:val="20"/>
        </w:rPr>
        <w:t xml:space="preserve">International Conference: Legal and Economic Aspects of Corporate Governance – Market Transparency and Disclosure in Private and Public Companies, Proceedings, Zagreb, 2013, dostupno na </w:t>
      </w:r>
      <w:r w:rsidR="00CD2F2F" w:rsidRPr="00CD2F2F">
        <w:rPr>
          <w:rFonts w:ascii="Adobe Garamond Pro" w:hAnsi="Adobe Garamond Pro" w:cs="Times New Roman"/>
          <w:sz w:val="20"/>
          <w:szCs w:val="20"/>
        </w:rPr>
        <w:t>h</w:t>
      </w:r>
      <w:r w:rsidRPr="00CD2F2F">
        <w:rPr>
          <w:rFonts w:ascii="Adobe Garamond Pro" w:hAnsi="Adobe Garamond Pro" w:cs="Times New Roman"/>
          <w:sz w:val="20"/>
          <w:szCs w:val="20"/>
        </w:rPr>
        <w:t xml:space="preserve">ttp://web.efzg.hr/dok/KID//Zbornik%20s%20konferencije%20o%20korp%20%20upr%20%202013%20.pdf </w:t>
      </w:r>
    </w:p>
    <w:p w:rsidR="00CD2F2F"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Gergely Szabó, Dániel, </w:t>
      </w:r>
      <w:r w:rsidRPr="00CD2F2F">
        <w:rPr>
          <w:rFonts w:ascii="Adobe Garamond Pro" w:hAnsi="Adobe Garamond Pro" w:cs="Times New Roman"/>
          <w:i/>
          <w:sz w:val="20"/>
          <w:szCs w:val="20"/>
        </w:rPr>
        <w:t>Disclosure of material CSR information in the periodic reports – comparison of the mandatory CSR disclosure systems for listed companies in the EU and the US</w:t>
      </w:r>
      <w:r w:rsidRPr="00CD2F2F">
        <w:rPr>
          <w:rFonts w:ascii="Adobe Garamond Pro" w:hAnsi="Adobe Garamond Pro" w:cs="Times New Roman"/>
          <w:sz w:val="20"/>
          <w:szCs w:val="20"/>
        </w:rPr>
        <w:t>, LSN Research Paper Series, No. 10-20, dostupno na: http://ssrn.com/abstract=1927232</w:t>
      </w:r>
    </w:p>
    <w:p w:rsidR="00CD2F2F"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Gilotta, Sergio, </w:t>
      </w:r>
      <w:r w:rsidRPr="00CD2F2F">
        <w:rPr>
          <w:rFonts w:ascii="Adobe Garamond Pro" w:hAnsi="Adobe Garamond Pro" w:cs="Times New Roman"/>
          <w:i/>
          <w:sz w:val="20"/>
          <w:szCs w:val="20"/>
        </w:rPr>
        <w:t>The conflict between disclosure in securities markets and firm's need for confidentiality: theoretical framework and regulatory analysis</w:t>
      </w:r>
      <w:r w:rsidRPr="00CD2F2F">
        <w:rPr>
          <w:rFonts w:ascii="Adobe Garamond Pro" w:hAnsi="Adobe Garamond Pro" w:cs="Times New Roman"/>
          <w:sz w:val="20"/>
          <w:szCs w:val="20"/>
        </w:rPr>
        <w:t>, dostupno na http://ssrn.com/abstract=1709334</w:t>
      </w:r>
    </w:p>
    <w:p w:rsidR="00CD2F2F"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Horak, Hana; Dumančić, Kosjenka, </w:t>
      </w:r>
      <w:r w:rsidRPr="00CD2F2F">
        <w:rPr>
          <w:rFonts w:ascii="Adobe Garamond Pro" w:hAnsi="Adobe Garamond Pro" w:cs="Times New Roman"/>
          <w:i/>
          <w:sz w:val="20"/>
          <w:szCs w:val="20"/>
        </w:rPr>
        <w:t>Usklađivanje u području prava društava Republike Hrvatske s  pravnom stečevinom EU</w:t>
      </w:r>
      <w:r w:rsidRPr="00CD2F2F">
        <w:rPr>
          <w:rFonts w:ascii="Adobe Garamond Pro" w:hAnsi="Adobe Garamond Pro" w:cs="Times New Roman"/>
          <w:sz w:val="20"/>
          <w:szCs w:val="20"/>
        </w:rPr>
        <w:t>, Pravo i porezi, 20:5/2011</w:t>
      </w:r>
    </w:p>
    <w:p w:rsidR="00CD2F2F" w:rsidRPr="00CD2F2F" w:rsidRDefault="00CC0298" w:rsidP="00CD2F2F">
      <w:pPr>
        <w:pStyle w:val="ListParagraph"/>
        <w:numPr>
          <w:ilvl w:val="0"/>
          <w:numId w:val="44"/>
        </w:numPr>
        <w:spacing w:after="0" w:line="240" w:lineRule="auto"/>
        <w:ind w:left="284" w:hanging="284"/>
        <w:jc w:val="both"/>
        <w:rPr>
          <w:rFonts w:ascii="Adobe Garamond Pro" w:eastAsia="Times New Roman" w:hAnsi="Adobe Garamond Pro" w:cs="Times New Roman"/>
          <w:color w:val="444444"/>
          <w:sz w:val="20"/>
          <w:szCs w:val="20"/>
          <w:lang w:eastAsia="hr-HR"/>
        </w:rPr>
      </w:pPr>
      <w:r w:rsidRPr="00CD2F2F">
        <w:rPr>
          <w:rFonts w:ascii="Adobe Garamond Pro" w:hAnsi="Adobe Garamond Pro" w:cs="Times New Roman"/>
          <w:sz w:val="20"/>
          <w:szCs w:val="20"/>
        </w:rPr>
        <w:t xml:space="preserve">Horak, Hana, Dumančić; Kosjenka, </w:t>
      </w:r>
      <w:r w:rsidRPr="00CD2F2F">
        <w:rPr>
          <w:rFonts w:ascii="Adobe Garamond Pro" w:hAnsi="Adobe Garamond Pro" w:cs="Times New Roman"/>
          <w:i/>
          <w:sz w:val="20"/>
          <w:szCs w:val="20"/>
        </w:rPr>
        <w:t>Harmonisation of the Croatian Company Law with acquis communitare of the European Union</w:t>
      </w:r>
      <w:r w:rsidRPr="00CD2F2F">
        <w:rPr>
          <w:rFonts w:ascii="Adobe Garamond Pro" w:hAnsi="Adobe Garamond Pro" w:cs="Times New Roman"/>
          <w:sz w:val="20"/>
          <w:szCs w:val="20"/>
        </w:rPr>
        <w:t xml:space="preserve"> u: Horak, Hana; Bodiroga Vukobrat Nada; Dumančić, Kosjenka; Šafranko, Zvonimir (ur.), Hrvatsko i europsko pravo društava/Croatian&amp;European Company Law, Zbornik radova/Proceedings, Zagreb, 2012., dostupno na </w:t>
      </w:r>
      <w:r w:rsidRPr="00CD2F2F">
        <w:rPr>
          <w:rFonts w:ascii="Adobe Garamond Pro" w:eastAsia="Times New Roman" w:hAnsi="Adobe Garamond Pro" w:cs="Times New Roman"/>
          <w:sz w:val="20"/>
          <w:szCs w:val="20"/>
          <w:lang w:eastAsia="hr-HR"/>
        </w:rPr>
        <w:t xml:space="preserve">pars.rs/ddownload/_params/file_id/4198.html </w:t>
      </w:r>
    </w:p>
    <w:p w:rsidR="00CD2F2F"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Horak, Hana; Dumančić, Kosjenka; Pecotić Kaufman, Jasminka, </w:t>
      </w:r>
      <w:r w:rsidRPr="00CD2F2F">
        <w:rPr>
          <w:rFonts w:ascii="Adobe Garamond Pro" w:hAnsi="Adobe Garamond Pro" w:cs="Times New Roman"/>
          <w:i/>
          <w:sz w:val="20"/>
          <w:szCs w:val="20"/>
        </w:rPr>
        <w:t>Uvod u europsko pravo društava</w:t>
      </w:r>
      <w:r w:rsidRPr="00CD2F2F">
        <w:rPr>
          <w:rFonts w:ascii="Adobe Garamond Pro" w:hAnsi="Adobe Garamond Pro" w:cs="Times New Roman"/>
          <w:sz w:val="20"/>
          <w:szCs w:val="20"/>
        </w:rPr>
        <w:t>, Zagreb, 2010.</w:t>
      </w:r>
    </w:p>
    <w:p w:rsidR="00CD2F2F"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Horak Hana; Dumančić, Kosjenka, </w:t>
      </w:r>
      <w:r w:rsidRPr="00CD2F2F">
        <w:rPr>
          <w:rFonts w:ascii="Adobe Garamond Pro" w:hAnsi="Adobe Garamond Pro" w:cs="Times New Roman"/>
          <w:i/>
          <w:sz w:val="20"/>
          <w:szCs w:val="20"/>
        </w:rPr>
        <w:t>Jačanje prava dioničara i pravo dioničara na informacije</w:t>
      </w:r>
      <w:r w:rsidRPr="00CD2F2F">
        <w:rPr>
          <w:rFonts w:ascii="Adobe Garamond Pro" w:hAnsi="Adobe Garamond Pro" w:cs="Times New Roman"/>
          <w:sz w:val="20"/>
          <w:szCs w:val="20"/>
        </w:rPr>
        <w:t>, Pravni vjesnik, 27:3-4/2011.</w:t>
      </w:r>
    </w:p>
    <w:p w:rsidR="00CD2F2F"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Horak, Hana; Dumančić, Kosjenka, </w:t>
      </w:r>
      <w:r w:rsidRPr="00CD2F2F">
        <w:rPr>
          <w:rFonts w:ascii="Adobe Garamond Pro" w:hAnsi="Adobe Garamond Pro" w:cs="Times New Roman"/>
          <w:i/>
          <w:sz w:val="20"/>
          <w:szCs w:val="20"/>
        </w:rPr>
        <w:t>Transparency and Disclosure as key elements for companies and markets</w:t>
      </w:r>
      <w:r w:rsidRPr="00CD2F2F">
        <w:rPr>
          <w:rFonts w:ascii="Adobe Garamond Pro" w:hAnsi="Adobe Garamond Pro" w:cs="Times New Roman"/>
          <w:sz w:val="20"/>
          <w:szCs w:val="20"/>
        </w:rPr>
        <w:t xml:space="preserve"> u: Horak, Hana (ed.), 2</w:t>
      </w:r>
      <w:r w:rsidRPr="00CD2F2F">
        <w:rPr>
          <w:rFonts w:ascii="Adobe Garamond Pro" w:hAnsi="Adobe Garamond Pro" w:cs="Times New Roman"/>
          <w:sz w:val="20"/>
          <w:szCs w:val="20"/>
          <w:vertAlign w:val="superscript"/>
        </w:rPr>
        <w:t xml:space="preserve">nd </w:t>
      </w:r>
      <w:r w:rsidRPr="00CD2F2F">
        <w:rPr>
          <w:rFonts w:ascii="Adobe Garamond Pro" w:hAnsi="Adobe Garamond Pro" w:cs="Times New Roman"/>
          <w:sz w:val="20"/>
          <w:szCs w:val="20"/>
        </w:rPr>
        <w:t>International Conference: Legal and Economic Aspects of Corporate Governance – Market Transparency and Disclosure in Private and Public Companies, Proceedings, Zagreb, 2013.,  dostupno na http://web.efzg.hr/dok/KID//Zbornik%20s%20konferencije%20o%20korp%20%20upr%20%202013%20.pdf</w:t>
      </w:r>
    </w:p>
    <w:p w:rsidR="00CD2F2F"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Jerković, Dražen, </w:t>
      </w:r>
      <w:r w:rsidRPr="00CD2F2F">
        <w:rPr>
          <w:rFonts w:ascii="Adobe Garamond Pro" w:hAnsi="Adobe Garamond Pro" w:cs="Times New Roman"/>
          <w:i/>
          <w:sz w:val="20"/>
          <w:szCs w:val="20"/>
        </w:rPr>
        <w:t>Tužbeni zahtjev u slučaju ništetnosti i pobojnosti</w:t>
      </w:r>
      <w:r w:rsidRPr="00CD2F2F">
        <w:rPr>
          <w:rFonts w:ascii="Adobe Garamond Pro" w:hAnsi="Adobe Garamond Pro" w:cs="Times New Roman"/>
          <w:sz w:val="20"/>
          <w:szCs w:val="20"/>
        </w:rPr>
        <w:t>, Tradicionalno XXIV. Savjetovanje -  Aktualnosti hrvatskog zakonodavstva i pravne prakse, Zbornik radova - Godišnjak Hrvatskog društva za građanskopravne znanosti i praksu, 20:16/2009</w:t>
      </w:r>
    </w:p>
    <w:p w:rsidR="00CC0298"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Josipović, Tatjana, </w:t>
      </w:r>
      <w:r w:rsidRPr="00CD2F2F">
        <w:rPr>
          <w:rFonts w:ascii="Adobe Garamond Pro" w:hAnsi="Adobe Garamond Pro" w:cs="Times New Roman"/>
          <w:i/>
          <w:sz w:val="20"/>
          <w:szCs w:val="20"/>
        </w:rPr>
        <w:t>Izazovi harmonizacije građanskog prava putem direktiva</w:t>
      </w:r>
      <w:r w:rsidRPr="00CD2F2F">
        <w:rPr>
          <w:rFonts w:ascii="Adobe Garamond Pro" w:hAnsi="Adobe Garamond Pro" w:cs="Times New Roman"/>
          <w:sz w:val="20"/>
          <w:szCs w:val="20"/>
        </w:rPr>
        <w:t xml:space="preserve"> u: Forum za građansko pravo za jugoistočnu Evropu. Izbor radova i analiza. Prva regionalna konferencija, Cavtat, 2010. Knjiga 1</w:t>
      </w:r>
      <w:r w:rsidRPr="00CD2F2F">
        <w:rPr>
          <w:rFonts w:ascii="Adobe Garamond Pro" w:hAnsi="Adobe Garamond Pro" w:cs="Times New Roman"/>
          <w:sz w:val="20"/>
          <w:szCs w:val="20"/>
          <w:u w:val="single"/>
        </w:rPr>
        <w:t>.</w:t>
      </w:r>
      <w:r w:rsidRPr="00CD2F2F">
        <w:rPr>
          <w:rFonts w:ascii="Adobe Garamond Pro" w:hAnsi="Adobe Garamond Pro" w:cs="Times New Roman"/>
          <w:sz w:val="20"/>
          <w:szCs w:val="20"/>
        </w:rPr>
        <w:t>, Beograd, 2010.</w:t>
      </w:r>
    </w:p>
    <w:p w:rsidR="00CD2F2F"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Klarić, Petar; Vedriš, Martin, </w:t>
      </w:r>
      <w:r w:rsidRPr="00CD2F2F">
        <w:rPr>
          <w:rFonts w:ascii="Adobe Garamond Pro" w:hAnsi="Adobe Garamond Pro" w:cs="Times New Roman"/>
          <w:i/>
          <w:sz w:val="20"/>
          <w:szCs w:val="20"/>
        </w:rPr>
        <w:t>Građansko pravo</w:t>
      </w:r>
      <w:r w:rsidRPr="00CD2F2F">
        <w:rPr>
          <w:rFonts w:ascii="Adobe Garamond Pro" w:hAnsi="Adobe Garamond Pro" w:cs="Times New Roman"/>
          <w:sz w:val="20"/>
          <w:szCs w:val="20"/>
        </w:rPr>
        <w:t>, Zagreb, 2009.</w:t>
      </w:r>
    </w:p>
    <w:p w:rsidR="00CC0298"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Markovinović, Hrvoje, </w:t>
      </w:r>
      <w:r w:rsidRPr="00CD2F2F">
        <w:rPr>
          <w:rFonts w:ascii="Adobe Garamond Pro" w:hAnsi="Adobe Garamond Pro" w:cs="Times New Roman"/>
          <w:i/>
          <w:sz w:val="20"/>
          <w:szCs w:val="20"/>
        </w:rPr>
        <w:t>Pravne posljedice nedopuštenog stjecanja vlastitih dionica</w:t>
      </w:r>
      <w:r w:rsidRPr="00CD2F2F">
        <w:rPr>
          <w:rFonts w:ascii="Adobe Garamond Pro" w:hAnsi="Adobe Garamond Pro" w:cs="Times New Roman"/>
          <w:sz w:val="20"/>
          <w:szCs w:val="20"/>
        </w:rPr>
        <w:t>, Zbornik radova s II. skopsko-zagrebačkog pravnog kolokvija, Skopje, 2009</w:t>
      </w:r>
    </w:p>
    <w:p w:rsidR="00CD2F2F" w:rsidRPr="00CD2F2F" w:rsidRDefault="00CD2F2F" w:rsidP="00CD2F2F">
      <w:pPr>
        <w:spacing w:after="0" w:line="240" w:lineRule="auto"/>
        <w:ind w:left="284" w:hanging="284"/>
        <w:jc w:val="both"/>
        <w:rPr>
          <w:rFonts w:ascii="Adobe Garamond Pro" w:hAnsi="Adobe Garamond Pro" w:cs="Times New Roman"/>
          <w:sz w:val="20"/>
          <w:szCs w:val="20"/>
        </w:rPr>
      </w:pPr>
    </w:p>
    <w:p w:rsidR="00CC0298"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lastRenderedPageBreak/>
        <w:t xml:space="preserve">Monciardini, D., </w:t>
      </w:r>
      <w:r w:rsidRPr="00CD2F2F">
        <w:rPr>
          <w:rFonts w:ascii="Adobe Garamond Pro" w:hAnsi="Adobe Garamond Pro" w:cs="Times New Roman"/>
          <w:i/>
          <w:sz w:val="20"/>
          <w:szCs w:val="20"/>
        </w:rPr>
        <w:t>Good Business? The struggles for regulating ESG disclosure, Onati Socio-legal series</w:t>
      </w:r>
      <w:r w:rsidRPr="00CD2F2F">
        <w:rPr>
          <w:rFonts w:ascii="Adobe Garamond Pro" w:hAnsi="Adobe Garamond Pro" w:cs="Times New Roman"/>
          <w:sz w:val="20"/>
          <w:szCs w:val="20"/>
        </w:rPr>
        <w:t xml:space="preserve"> </w:t>
      </w:r>
      <w:r w:rsidRPr="00CD2F2F">
        <w:sym w:font="Symbol" w:char="F05B"/>
      </w:r>
      <w:r w:rsidRPr="00CD2F2F">
        <w:rPr>
          <w:rFonts w:ascii="Adobe Garamond Pro" w:hAnsi="Adobe Garamond Pro" w:cs="Times New Roman"/>
          <w:sz w:val="20"/>
          <w:szCs w:val="20"/>
        </w:rPr>
        <w:t>online</w:t>
      </w:r>
      <w:r w:rsidRPr="00CD2F2F">
        <w:sym w:font="Symbol" w:char="F05D"/>
      </w:r>
      <w:r w:rsidRPr="00CD2F2F">
        <w:rPr>
          <w:rFonts w:ascii="Adobe Garamond Pro" w:hAnsi="Adobe Garamond Pro" w:cs="Times New Roman"/>
          <w:sz w:val="20"/>
          <w:szCs w:val="20"/>
        </w:rPr>
        <w:t>, 2(3), 1-23, dostupan na http://ssrn.com/abstract=2041918</w:t>
      </w:r>
    </w:p>
    <w:p w:rsidR="00CC0298"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Papadopoulos, Thomas, </w:t>
      </w:r>
      <w:r w:rsidRPr="00CD2F2F">
        <w:rPr>
          <w:rFonts w:ascii="Adobe Garamond Pro" w:hAnsi="Adobe Garamond Pro" w:cs="Times New Roman"/>
          <w:i/>
          <w:sz w:val="20"/>
          <w:szCs w:val="20"/>
        </w:rPr>
        <w:t>The Market Abuse Directive and the Notion of Inside Information - Case C-19/11 Markus Geltl v Daimler AG (October 31, 2012)</w:t>
      </w:r>
      <w:r w:rsidRPr="00CD2F2F">
        <w:rPr>
          <w:rFonts w:ascii="Adobe Garamond Pro" w:hAnsi="Adobe Garamond Pro" w:cs="Times New Roman"/>
          <w:sz w:val="20"/>
          <w:szCs w:val="20"/>
        </w:rPr>
        <w:t xml:space="preserve">, Hellenic Review of European Law 32:2-3/2012, dostupno na http://ssrn.com/abstract=2267295 </w:t>
      </w:r>
    </w:p>
    <w:p w:rsidR="00CD2F2F" w:rsidRPr="00CD2F2F" w:rsidRDefault="00CD2F2F" w:rsidP="00CD2F2F">
      <w:pPr>
        <w:spacing w:after="0" w:line="240" w:lineRule="auto"/>
        <w:ind w:left="284" w:hanging="284"/>
        <w:jc w:val="both"/>
        <w:rPr>
          <w:rFonts w:ascii="Adobe Garamond Pro" w:hAnsi="Adobe Garamond Pro" w:cs="Times New Roman"/>
          <w:sz w:val="20"/>
          <w:szCs w:val="20"/>
        </w:rPr>
      </w:pPr>
    </w:p>
    <w:p w:rsidR="00CC0298" w:rsidRPr="00CD2F2F" w:rsidRDefault="00CC0298" w:rsidP="00CD2F2F">
      <w:pPr>
        <w:pStyle w:val="ListParagraph"/>
        <w:numPr>
          <w:ilvl w:val="0"/>
          <w:numId w:val="44"/>
        </w:numPr>
        <w:spacing w:after="0" w:line="240" w:lineRule="auto"/>
        <w:ind w:left="284" w:hanging="284"/>
        <w:jc w:val="both"/>
        <w:rPr>
          <w:rFonts w:ascii="Adobe Garamond Pro" w:hAnsi="Adobe Garamond Pro" w:cs="Times New Roman"/>
          <w:sz w:val="20"/>
          <w:szCs w:val="20"/>
        </w:rPr>
      </w:pPr>
      <w:r w:rsidRPr="00CD2F2F">
        <w:rPr>
          <w:rFonts w:ascii="Adobe Garamond Pro" w:hAnsi="Adobe Garamond Pro" w:cs="Times New Roman"/>
          <w:sz w:val="20"/>
          <w:szCs w:val="20"/>
        </w:rPr>
        <w:t xml:space="preserve">Pervan, Ivica, </w:t>
      </w:r>
      <w:r w:rsidRPr="00CD2F2F">
        <w:rPr>
          <w:rFonts w:ascii="Adobe Garamond Pro" w:hAnsi="Adobe Garamond Pro" w:cs="Times New Roman"/>
          <w:i/>
          <w:sz w:val="20"/>
          <w:szCs w:val="20"/>
        </w:rPr>
        <w:t>Financial Reporting for Croatian listed companies – need for harmonization with EU regulation</w:t>
      </w:r>
      <w:r w:rsidRPr="00CD2F2F">
        <w:rPr>
          <w:rFonts w:ascii="Adobe Garamond Pro" w:hAnsi="Adobe Garamond Pro" w:cs="Times New Roman"/>
          <w:sz w:val="20"/>
          <w:szCs w:val="20"/>
        </w:rPr>
        <w:t>, dostupan na http://ssrn.com/abstract=2237953</w:t>
      </w:r>
    </w:p>
    <w:p w:rsidR="008627D2" w:rsidRPr="0068636F" w:rsidRDefault="008627D2" w:rsidP="00CC0298">
      <w:pPr>
        <w:spacing w:after="0"/>
        <w:rPr>
          <w:rFonts w:ascii="Adobe Garamond Pro" w:hAnsi="Adobe Garamond Pro"/>
          <w:sz w:val="20"/>
          <w:szCs w:val="20"/>
          <w:lang w:val="bs-Latn-BA"/>
        </w:rPr>
      </w:pPr>
    </w:p>
    <w:sectPr w:rsidR="008627D2" w:rsidRPr="0068636F" w:rsidSect="00CA41A4">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5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18" w:rsidRDefault="00D86118" w:rsidP="000C691C">
      <w:pPr>
        <w:spacing w:after="0" w:line="240" w:lineRule="auto"/>
      </w:pPr>
      <w:r>
        <w:separator/>
      </w:r>
    </w:p>
  </w:endnote>
  <w:endnote w:type="continuationSeparator" w:id="1">
    <w:p w:rsidR="00D86118" w:rsidRDefault="00D86118"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UAlbertina">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C20AB">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CA41A4">
      <w:rPr>
        <w:rFonts w:ascii="Adobe Garamond Pro" w:hAnsi="Adobe Garamond Pro" w:cs="Times New Roman"/>
        <w:noProof/>
        <w:sz w:val="20"/>
        <w:szCs w:val="20"/>
      </w:rPr>
      <w:t>600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7C20AB"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7C20AB" w:rsidRPr="00FE57C1">
      <w:rPr>
        <w:rFonts w:ascii="Adobe Garamond Pro" w:hAnsi="Adobe Garamond Pro" w:cs="Times New Roman"/>
        <w:sz w:val="20"/>
        <w:szCs w:val="20"/>
      </w:rPr>
      <w:fldChar w:fldCharType="separate"/>
    </w:r>
    <w:r w:rsidR="00CA41A4">
      <w:rPr>
        <w:rFonts w:ascii="Adobe Garamond Pro" w:hAnsi="Adobe Garamond Pro" w:cs="Times New Roman"/>
        <w:noProof/>
        <w:sz w:val="20"/>
        <w:szCs w:val="20"/>
      </w:rPr>
      <w:t>599</w:t>
    </w:r>
    <w:r w:rsidR="007C20AB"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7C20AB"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CA41A4">
      <w:rPr>
        <w:rFonts w:ascii="Adobe Garamond Pro" w:hAnsi="Adobe Garamond Pro" w:cs="Times New Roman"/>
        <w:noProof/>
        <w:sz w:val="20"/>
        <w:szCs w:val="20"/>
      </w:rPr>
      <w:t>575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18" w:rsidRDefault="00D86118" w:rsidP="000C691C">
      <w:pPr>
        <w:spacing w:after="0" w:line="240" w:lineRule="auto"/>
      </w:pPr>
      <w:r>
        <w:separator/>
      </w:r>
    </w:p>
  </w:footnote>
  <w:footnote w:type="continuationSeparator" w:id="1">
    <w:p w:rsidR="00D86118" w:rsidRDefault="00D86118" w:rsidP="000C691C">
      <w:pPr>
        <w:spacing w:after="0" w:line="240" w:lineRule="auto"/>
      </w:pPr>
      <w:r>
        <w:continuationSeparator/>
      </w:r>
    </w:p>
  </w:footnote>
  <w:footnote w:id="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Tako i Barbić, Jakša, </w:t>
      </w:r>
      <w:r w:rsidRPr="00CC0298">
        <w:rPr>
          <w:rFonts w:ascii="Adobe Garamond Pro" w:hAnsi="Adobe Garamond Pro"/>
          <w:i/>
          <w:sz w:val="18"/>
          <w:szCs w:val="18"/>
        </w:rPr>
        <w:t>Pravo društava</w:t>
      </w:r>
      <w:r w:rsidRPr="00CC0298">
        <w:rPr>
          <w:rFonts w:ascii="Adobe Garamond Pro" w:hAnsi="Adobe Garamond Pro"/>
          <w:sz w:val="18"/>
          <w:szCs w:val="18"/>
        </w:rPr>
        <w:t xml:space="preserve">, </w:t>
      </w:r>
      <w:r w:rsidRPr="00CC0298">
        <w:rPr>
          <w:rFonts w:ascii="Adobe Garamond Pro" w:hAnsi="Adobe Garamond Pro"/>
          <w:i/>
          <w:sz w:val="18"/>
          <w:szCs w:val="18"/>
        </w:rPr>
        <w:t>Knjiga prva: Opći dio</w:t>
      </w:r>
      <w:r w:rsidRPr="00CC0298">
        <w:rPr>
          <w:rFonts w:ascii="Adobe Garamond Pro" w:hAnsi="Adobe Garamond Pro"/>
          <w:sz w:val="18"/>
          <w:szCs w:val="18"/>
        </w:rPr>
        <w:t xml:space="preserve">, treće, izmijenjeno izdanje, Zagreb, 2008., str. 528. V. Horak, Hana; Dumančić, Kosjenka, </w:t>
      </w:r>
      <w:r w:rsidRPr="00CC0298">
        <w:rPr>
          <w:rFonts w:ascii="Adobe Garamond Pro" w:hAnsi="Adobe Garamond Pro"/>
          <w:i/>
          <w:sz w:val="18"/>
          <w:szCs w:val="18"/>
        </w:rPr>
        <w:t>Usklađivanje u području prava društava Republike Hrvatske s  pravnom stečevinom EU</w:t>
      </w:r>
      <w:r w:rsidRPr="00CC0298">
        <w:rPr>
          <w:rFonts w:ascii="Adobe Garamond Pro" w:hAnsi="Adobe Garamond Pro"/>
          <w:sz w:val="18"/>
          <w:szCs w:val="18"/>
        </w:rPr>
        <w:t xml:space="preserve">, Pravo i porezi, 20:5/2011, str. 86-93. Isto Horak, Hana; Dumančić, Kosjenka, </w:t>
      </w:r>
      <w:r w:rsidRPr="00CC0298">
        <w:rPr>
          <w:rFonts w:ascii="Adobe Garamond Pro" w:hAnsi="Adobe Garamond Pro"/>
          <w:i/>
          <w:sz w:val="18"/>
          <w:szCs w:val="18"/>
        </w:rPr>
        <w:t>Harmonisation of the Croatian Company Law with acquis communitare of the European Union</w:t>
      </w:r>
      <w:r w:rsidRPr="00CC0298">
        <w:rPr>
          <w:rFonts w:ascii="Adobe Garamond Pro" w:hAnsi="Adobe Garamond Pro"/>
          <w:sz w:val="18"/>
          <w:szCs w:val="18"/>
        </w:rPr>
        <w:t xml:space="preserve"> u: Horak, Hana; Bodiroga Vukobrat Nada; Dumančić, Kosjenka; Šafranko, Zvonimir (ur.), Hrvatsko i europsko pravo društava/Croatian&amp;European Company Law, Zbornik radova/Proceedings, Zagreb, 2012. str. 7., dostupno na dostupno na </w:t>
      </w:r>
      <w:r w:rsidRPr="00CC0298">
        <w:rPr>
          <w:rFonts w:ascii="Adobe Garamond Pro" w:hAnsi="Adobe Garamond Pro"/>
          <w:sz w:val="18"/>
          <w:szCs w:val="18"/>
          <w:lang w:eastAsia="hr-HR"/>
        </w:rPr>
        <w:t>pars.rs/ddownload/_params/file_id/4198.html, [8. 4. 2014].</w:t>
      </w:r>
    </w:p>
  </w:footnote>
  <w:footnote w:id="3">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recital 2.,12., 16. i 24. Direktive 2003/6/EC Europskog parlamenta i Vijeća od 28. siječnja 2003. o insajderskom poslovanju i manipulaciji tržištem (zlouporaba tržišta), OJ L 96, 2003, str. 16. </w:t>
      </w:r>
    </w:p>
  </w:footnote>
  <w:footnote w:id="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Dalje kao: EU.</w:t>
      </w:r>
    </w:p>
  </w:footnote>
  <w:footnote w:id="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Horak, Hana; Dumančić, Kosjenka, </w:t>
      </w:r>
      <w:r w:rsidRPr="00CC0298">
        <w:rPr>
          <w:rFonts w:ascii="Adobe Garamond Pro" w:hAnsi="Adobe Garamond Pro"/>
          <w:i/>
          <w:sz w:val="18"/>
          <w:szCs w:val="18"/>
        </w:rPr>
        <w:t>loc. cit.</w:t>
      </w:r>
      <w:r w:rsidRPr="00CC0298">
        <w:rPr>
          <w:rFonts w:ascii="Adobe Garamond Pro" w:hAnsi="Adobe Garamond Pro"/>
          <w:sz w:val="18"/>
          <w:szCs w:val="18"/>
        </w:rPr>
        <w:t xml:space="preserve"> </w:t>
      </w:r>
    </w:p>
  </w:footnote>
  <w:footnote w:id="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Između ostalih, detaljno o pravilima publiciteta u europskom pravu društava v. u Horak, Hana; Dumančić, Kosjenka; Pecotić Kaufman, Jasminka, </w:t>
      </w:r>
      <w:r w:rsidRPr="00CC0298">
        <w:rPr>
          <w:rFonts w:ascii="Adobe Garamond Pro" w:hAnsi="Adobe Garamond Pro"/>
          <w:i/>
          <w:sz w:val="18"/>
          <w:szCs w:val="18"/>
        </w:rPr>
        <w:t>Uvod u europsko pravo društava</w:t>
      </w:r>
      <w:r w:rsidRPr="00CC0298">
        <w:rPr>
          <w:rFonts w:ascii="Adobe Garamond Pro" w:hAnsi="Adobe Garamond Pro"/>
          <w:sz w:val="18"/>
          <w:szCs w:val="18"/>
        </w:rPr>
        <w:t xml:space="preserve">, Zagreb, 2010., str. 272-284. O ulozi načela transparentnosti kao jamstvu informiranosti dionika tržišta kapitala v. u Horak, Hana; Dumančić, Kosjenka, </w:t>
      </w:r>
      <w:r w:rsidRPr="00CC0298">
        <w:rPr>
          <w:rFonts w:ascii="Adobe Garamond Pro" w:hAnsi="Adobe Garamond Pro"/>
          <w:i/>
          <w:sz w:val="18"/>
          <w:szCs w:val="18"/>
        </w:rPr>
        <w:t>Transparency and Disclosure as key elements for companies and markets</w:t>
      </w:r>
      <w:r w:rsidRPr="00CC0298">
        <w:rPr>
          <w:rFonts w:ascii="Adobe Garamond Pro" w:hAnsi="Adobe Garamond Pro"/>
          <w:sz w:val="18"/>
          <w:szCs w:val="18"/>
        </w:rPr>
        <w:t xml:space="preserve"> u: Horak, Hana (ed.), 2</w:t>
      </w:r>
      <w:r w:rsidRPr="00CC0298">
        <w:rPr>
          <w:rFonts w:ascii="Adobe Garamond Pro" w:hAnsi="Adobe Garamond Pro"/>
          <w:sz w:val="18"/>
          <w:szCs w:val="18"/>
          <w:vertAlign w:val="superscript"/>
        </w:rPr>
        <w:t xml:space="preserve">nd </w:t>
      </w:r>
      <w:r w:rsidRPr="00CC0298">
        <w:rPr>
          <w:rFonts w:ascii="Adobe Garamond Pro" w:hAnsi="Adobe Garamond Pro"/>
          <w:sz w:val="18"/>
          <w:szCs w:val="18"/>
        </w:rPr>
        <w:t xml:space="preserve">International Conference: Legal and Economic Aspects of Corporate Governance – Market Transparency and Disclosure in Private and Public Companies, Proceedings, Zagreb, 2013., str. 10-21, dostupno na http://web.efzg.hr/dok/KID//Zbornik%20s%20konferencije%20o%20korp%20%20upr%20%202013%20.pdf. O uspostavi transparentnosti hrvatskih trgovačkih društava uoči punopravnog članstva u EU v. u Gažić, Ivana, </w:t>
      </w:r>
      <w:r w:rsidRPr="00CC0298">
        <w:rPr>
          <w:rFonts w:ascii="Adobe Garamond Pro" w:hAnsi="Adobe Garamond Pro"/>
          <w:i/>
          <w:sz w:val="18"/>
          <w:szCs w:val="18"/>
        </w:rPr>
        <w:t xml:space="preserve">Zagreb Stock Exchange: Establishing rules of Transparency of Croatian Companies in Light of soon entrance to EU </w:t>
      </w:r>
      <w:r w:rsidRPr="00CC0298">
        <w:rPr>
          <w:rFonts w:ascii="Adobe Garamond Pro" w:hAnsi="Adobe Garamond Pro"/>
          <w:sz w:val="18"/>
          <w:szCs w:val="18"/>
        </w:rPr>
        <w:t>u: Horak, Hana (ed.), 2</w:t>
      </w:r>
      <w:r w:rsidRPr="00CC0298">
        <w:rPr>
          <w:rFonts w:ascii="Adobe Garamond Pro" w:hAnsi="Adobe Garamond Pro"/>
          <w:sz w:val="18"/>
          <w:szCs w:val="18"/>
          <w:vertAlign w:val="superscript"/>
        </w:rPr>
        <w:t xml:space="preserve">nd </w:t>
      </w:r>
      <w:r w:rsidRPr="00CC0298">
        <w:rPr>
          <w:rFonts w:ascii="Adobe Garamond Pro" w:hAnsi="Adobe Garamond Pro"/>
          <w:sz w:val="18"/>
          <w:szCs w:val="18"/>
        </w:rPr>
        <w:t xml:space="preserve">International Conference: Legal and Economic Aspects of Corporate Governance – Market Transparency and Disclosure in Private and Public Companies, Proceedings, Zagreb, 2013, str. 45-54, dostupno na http://web.efzg.hr/dok/KID//Zbornik%20s%20konferencije%20o%20korp%20%20upr%20%202013%20.pdf. O potrebi prilagodbe hrvatskog prava pravu EU glede financijskog uzvještavanja v. u Pervan, Ivica, </w:t>
      </w:r>
      <w:r w:rsidRPr="00CC0298">
        <w:rPr>
          <w:rFonts w:ascii="Adobe Garamond Pro" w:hAnsi="Adobe Garamond Pro"/>
          <w:i/>
          <w:sz w:val="18"/>
          <w:szCs w:val="18"/>
        </w:rPr>
        <w:t>Financial Reporting for Croatian listed companies – need for harmonization with EU regulation</w:t>
      </w:r>
      <w:r w:rsidRPr="00CC0298">
        <w:rPr>
          <w:rFonts w:ascii="Adobe Garamond Pro" w:hAnsi="Adobe Garamond Pro"/>
          <w:sz w:val="18"/>
          <w:szCs w:val="18"/>
        </w:rPr>
        <w:t xml:space="preserve">, dostupno na http://ssrn.com/abstract=2237953, </w:t>
      </w:r>
      <w:r w:rsidRPr="00CC0298">
        <w:rPr>
          <w:rFonts w:ascii="Adobe Garamond Pro" w:hAnsi="Adobe Garamond Pro"/>
          <w:sz w:val="18"/>
          <w:szCs w:val="18"/>
        </w:rPr>
        <w:sym w:font="Symbol" w:char="F05B"/>
      </w:r>
      <w:r w:rsidRPr="00CC0298">
        <w:rPr>
          <w:rFonts w:ascii="Adobe Garamond Pro" w:hAnsi="Adobe Garamond Pro"/>
          <w:sz w:val="18"/>
          <w:szCs w:val="18"/>
        </w:rPr>
        <w:t>14.3.2014.</w:t>
      </w:r>
      <w:r w:rsidRPr="00CC0298">
        <w:rPr>
          <w:rFonts w:ascii="Adobe Garamond Pro" w:hAnsi="Adobe Garamond Pro"/>
          <w:sz w:val="18"/>
          <w:szCs w:val="18"/>
        </w:rPr>
        <w:sym w:font="Symbol" w:char="F05D"/>
      </w:r>
      <w:r w:rsidRPr="00CC0298">
        <w:rPr>
          <w:rFonts w:ascii="Adobe Garamond Pro" w:hAnsi="Adobe Garamond Pro"/>
          <w:sz w:val="18"/>
          <w:szCs w:val="18"/>
        </w:rPr>
        <w:t>.</w:t>
      </w:r>
    </w:p>
  </w:footnote>
  <w:footnote w:id="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Gilotta, Sergio, </w:t>
      </w:r>
      <w:r w:rsidRPr="00CC0298">
        <w:rPr>
          <w:rFonts w:ascii="Adobe Garamond Pro" w:hAnsi="Adobe Garamond Pro"/>
          <w:i/>
          <w:sz w:val="18"/>
          <w:szCs w:val="18"/>
        </w:rPr>
        <w:t>The conflict between disclosure in securities markets and firm's need for confidentiality: theoretical framework and regulatory analysis</w:t>
      </w:r>
      <w:r w:rsidRPr="00CC0298">
        <w:rPr>
          <w:rFonts w:ascii="Adobe Garamond Pro" w:hAnsi="Adobe Garamond Pro"/>
          <w:sz w:val="18"/>
          <w:szCs w:val="18"/>
        </w:rPr>
        <w:t xml:space="preserve">, dostupno na: http://ssrn.com/abstract=1709334, </w:t>
      </w:r>
      <w:r w:rsidRPr="00CC0298">
        <w:rPr>
          <w:rFonts w:ascii="Adobe Garamond Pro" w:hAnsi="Adobe Garamond Pro"/>
          <w:sz w:val="18"/>
          <w:szCs w:val="18"/>
        </w:rPr>
        <w:sym w:font="Symbol" w:char="F05B"/>
      </w:r>
      <w:r w:rsidRPr="00CC0298">
        <w:rPr>
          <w:rFonts w:ascii="Adobe Garamond Pro" w:hAnsi="Adobe Garamond Pro"/>
          <w:sz w:val="18"/>
          <w:szCs w:val="18"/>
        </w:rPr>
        <w:t>7.4.2014.</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O transparentnosti u pogledu društveno odgovornog upravljanja v. Gergely Szabó, Dániel, </w:t>
      </w:r>
      <w:r w:rsidRPr="00CC0298">
        <w:rPr>
          <w:rFonts w:ascii="Adobe Garamond Pro" w:hAnsi="Adobe Garamond Pro"/>
          <w:i/>
          <w:sz w:val="18"/>
          <w:szCs w:val="18"/>
        </w:rPr>
        <w:t>Disclosure of material CSR information in the periodic reports – comparison of the mandatory CSR disclosure systems for listed companies in the EU and the US</w:t>
      </w:r>
      <w:r w:rsidRPr="00CC0298">
        <w:rPr>
          <w:rFonts w:ascii="Adobe Garamond Pro" w:hAnsi="Adobe Garamond Pro"/>
          <w:sz w:val="18"/>
          <w:szCs w:val="18"/>
        </w:rPr>
        <w:t xml:space="preserve">, LSN Research Paper Series, No. 10-20, dostupno na: http://ssrn.com/abstract=1927232, </w:t>
      </w:r>
      <w:r w:rsidRPr="00CC0298">
        <w:rPr>
          <w:rFonts w:ascii="Adobe Garamond Pro" w:hAnsi="Adobe Garamond Pro"/>
          <w:sz w:val="18"/>
          <w:szCs w:val="18"/>
        </w:rPr>
        <w:sym w:font="Symbol" w:char="F05B"/>
      </w:r>
      <w:r w:rsidRPr="00CC0298">
        <w:rPr>
          <w:rFonts w:ascii="Adobe Garamond Pro" w:hAnsi="Adobe Garamond Pro"/>
          <w:sz w:val="18"/>
          <w:szCs w:val="18"/>
        </w:rPr>
        <w:t>7.4.2014.</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O transparentnosti u pogledu društveno odgovornog upravljanja i politike očuvanja okoliša v. Monciardini, D., </w:t>
      </w:r>
      <w:r w:rsidRPr="00CC0298">
        <w:rPr>
          <w:rFonts w:ascii="Adobe Garamond Pro" w:hAnsi="Adobe Garamond Pro"/>
          <w:i/>
          <w:sz w:val="18"/>
          <w:szCs w:val="18"/>
        </w:rPr>
        <w:t>Good Business? The struggles for regulating ESG disclosure</w:t>
      </w:r>
      <w:r w:rsidRPr="00CC0298">
        <w:rPr>
          <w:rFonts w:ascii="Adobe Garamond Pro" w:hAnsi="Adobe Garamond Pro"/>
          <w:sz w:val="18"/>
          <w:szCs w:val="18"/>
        </w:rPr>
        <w:t xml:space="preserve">, Onati Socio-legal series </w:t>
      </w:r>
      <w:r w:rsidRPr="00CC0298">
        <w:rPr>
          <w:rFonts w:ascii="Adobe Garamond Pro" w:hAnsi="Adobe Garamond Pro"/>
          <w:sz w:val="18"/>
          <w:szCs w:val="18"/>
        </w:rPr>
        <w:sym w:font="Symbol" w:char="F05B"/>
      </w:r>
      <w:r w:rsidRPr="00CC0298">
        <w:rPr>
          <w:rFonts w:ascii="Adobe Garamond Pro" w:hAnsi="Adobe Garamond Pro"/>
          <w:sz w:val="18"/>
          <w:szCs w:val="18"/>
        </w:rPr>
        <w:t>online</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2(3), 1-23, dostupan i na http://ssrn.com/abstract=2041918, </w:t>
      </w:r>
      <w:r w:rsidRPr="00CC0298">
        <w:rPr>
          <w:rFonts w:ascii="Adobe Garamond Pro" w:hAnsi="Adobe Garamond Pro"/>
          <w:sz w:val="18"/>
          <w:szCs w:val="18"/>
        </w:rPr>
        <w:sym w:font="Symbol" w:char="F05B"/>
      </w:r>
      <w:r w:rsidRPr="00CC0298">
        <w:rPr>
          <w:rFonts w:ascii="Adobe Garamond Pro" w:hAnsi="Adobe Garamond Pro"/>
          <w:sz w:val="18"/>
          <w:szCs w:val="18"/>
        </w:rPr>
        <w:t>14.3.2014.</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O ekonomskim učincima implementacije sekundarnog zakonodavstva EU, posebice na porast likvidnosti trgovačkih društava, v. recentan članak Christensen, Hans B.; Hail, Luzi; Leuz, Christian, </w:t>
      </w:r>
      <w:r w:rsidRPr="00CC0298">
        <w:rPr>
          <w:rFonts w:ascii="Adobe Garamond Pro" w:hAnsi="Adobe Garamond Pro"/>
          <w:i/>
          <w:sz w:val="18"/>
          <w:szCs w:val="18"/>
        </w:rPr>
        <w:t>Capital-Markets Effects of Securities Regulation: Prior Conditions, Implementation and Enforcement</w:t>
      </w:r>
      <w:r w:rsidRPr="00CC0298">
        <w:rPr>
          <w:rFonts w:ascii="Adobe Garamond Pro" w:hAnsi="Adobe Garamond Pro"/>
          <w:sz w:val="18"/>
          <w:szCs w:val="18"/>
        </w:rPr>
        <w:t xml:space="preserve">, Finance Working Paper No. 407/14, dostupan na http://ssrn.com/abstract_id=1745106, </w:t>
      </w:r>
      <w:r w:rsidRPr="00CC0298">
        <w:rPr>
          <w:rFonts w:ascii="Adobe Garamond Pro" w:hAnsi="Adobe Garamond Pro"/>
          <w:sz w:val="18"/>
          <w:szCs w:val="18"/>
        </w:rPr>
        <w:sym w:font="Symbol" w:char="F05B"/>
      </w:r>
      <w:r w:rsidRPr="00CC0298">
        <w:rPr>
          <w:rFonts w:ascii="Adobe Garamond Pro" w:hAnsi="Adobe Garamond Pro"/>
          <w:sz w:val="18"/>
          <w:szCs w:val="18"/>
        </w:rPr>
        <w:t>5.4.2014</w:t>
      </w:r>
      <w:r w:rsidRPr="00CC0298">
        <w:rPr>
          <w:rFonts w:ascii="Adobe Garamond Pro" w:hAnsi="Adobe Garamond Pro"/>
          <w:sz w:val="18"/>
          <w:szCs w:val="18"/>
        </w:rPr>
        <w:sym w:font="Symbol" w:char="F05D"/>
      </w:r>
      <w:r w:rsidRPr="00CC0298">
        <w:rPr>
          <w:rFonts w:ascii="Adobe Garamond Pro" w:hAnsi="Adobe Garamond Pro"/>
          <w:sz w:val="18"/>
          <w:szCs w:val="18"/>
        </w:rPr>
        <w:t>.</w:t>
      </w:r>
    </w:p>
  </w:footnote>
  <w:footnote w:id="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Dalje kao: Sud.</w:t>
      </w:r>
    </w:p>
  </w:footnote>
  <w:footnote w:id="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Direktiva 2004/109/EC Europskog parlamenta i Vijeća od 15. prosinca 2004. o usklađivanju zahtjeva za transparentnošću podataka o izdavateljima čijim se vrijednosnim papirima trguje na uređenom tržištu, OJ L 390, 2004, str. 38. Dalje kao: Direktiva o transparentnosti.</w:t>
      </w:r>
    </w:p>
  </w:footnote>
  <w:footnote w:id="1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Dalje kao: EK.</w:t>
      </w:r>
    </w:p>
  </w:footnote>
  <w:footnote w:id="1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Dalje kao: RH.</w:t>
      </w:r>
    </w:p>
  </w:footnote>
  <w:footnote w:id="1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Case C-19/11, </w:t>
      </w:r>
      <w:r w:rsidRPr="00CC0298">
        <w:rPr>
          <w:rFonts w:ascii="Adobe Garamond Pro" w:hAnsi="Adobe Garamond Pro"/>
          <w:i/>
          <w:sz w:val="18"/>
          <w:szCs w:val="18"/>
        </w:rPr>
        <w:t>Markus Geltl v Daimler AG</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2012</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ECR I-0000. Dalje kao: </w:t>
      </w:r>
      <w:r w:rsidRPr="00CC0298">
        <w:rPr>
          <w:rFonts w:ascii="Adobe Garamond Pro" w:hAnsi="Adobe Garamond Pro"/>
          <w:i/>
          <w:sz w:val="18"/>
          <w:szCs w:val="18"/>
        </w:rPr>
        <w:t>Markus Geltl</w:t>
      </w:r>
      <w:r w:rsidRPr="00CC0298">
        <w:rPr>
          <w:rFonts w:ascii="Adobe Garamond Pro" w:hAnsi="Adobe Garamond Pro"/>
          <w:sz w:val="18"/>
          <w:szCs w:val="18"/>
        </w:rPr>
        <w:t>, uz navođenje odjeljka.</w:t>
      </w:r>
    </w:p>
  </w:footnote>
  <w:footnote w:id="1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1. t. 1. Direktive 2003/6/EC Europskog parlamenta i Vijeća od 28. siječnja 2003. o insajderskom poslovanju i manipulaciji tržištem (zlouporaba tržišta), OJ L 96, 2003, str. 16. Ista je dopunjena Direktivom 2008/26/EZ Europskog parlamenta i Vijeća od 11. ožujka 2008, u pogledu implementacijskih ovlasti Komisije, OJ L 81, 2008 te Direktivom 2010/78/EU Europskog parlamenta i Vijeća od 24. studenog 2010. kojom se dopunjuju Direktive 98/26/EZ, 2002/87/EZ, 2003/6/EZ, 2003/41/EZ, 2003/71/EZ, </w:t>
      </w:r>
      <w:r w:rsidRPr="00CC0298">
        <w:rPr>
          <w:rStyle w:val="Strong"/>
          <w:rFonts w:ascii="Adobe Garamond Pro" w:hAnsi="Adobe Garamond Pro"/>
          <w:b w:val="0"/>
          <w:sz w:val="18"/>
          <w:szCs w:val="18"/>
        </w:rPr>
        <w:t xml:space="preserve">2004/39/EZ, 2004/109/EZ, 2005/60/EZ, 2006/48/EZ, 2006/49/EZ i 2009/65/EZ glede ovlasti Europskog nadzornog tijela (Europskog bankarskog tijela), Europskog nadzornog tijela (Europskog tijela za osiguranje i profesionalne mirovine) i Europskog nadzornog tijela (Europsko tijelo za vrijednosne papire i tržišta)(tekst od važnosti za EGP), </w:t>
      </w:r>
      <w:r w:rsidRPr="00CC0298">
        <w:rPr>
          <w:rFonts w:ascii="Adobe Garamond Pro" w:hAnsi="Adobe Garamond Pro"/>
          <w:iCs/>
          <w:sz w:val="18"/>
          <w:szCs w:val="18"/>
        </w:rPr>
        <w:t>OJ L 331, 2010, str. 120-161.</w:t>
      </w:r>
      <w:r w:rsidRPr="00CC0298">
        <w:rPr>
          <w:rFonts w:ascii="Adobe Garamond Pro" w:hAnsi="Adobe Garamond Pro" w:cs="Lucida Sans Unicode"/>
          <w:i/>
          <w:iCs/>
          <w:sz w:val="18"/>
          <w:szCs w:val="18"/>
        </w:rPr>
        <w:t xml:space="preserve"> </w:t>
      </w:r>
      <w:r w:rsidRPr="00CC0298">
        <w:rPr>
          <w:rFonts w:ascii="Adobe Garamond Pro" w:hAnsi="Adobe Garamond Pro"/>
          <w:sz w:val="18"/>
          <w:szCs w:val="18"/>
        </w:rPr>
        <w:t>Dalje kao: Direktiva o zlouporabi tržišta.</w:t>
      </w:r>
    </w:p>
  </w:footnote>
  <w:footnote w:id="1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1. st. 1. Direktive EK 2003/124/EC od 22. prosinca 2003. kojom se primjenjuje Direktiva 2003/6 u pogledu definicije i javne objave insajderskih podataka i definicije manipulacije tržištem, OJ L 339, 2003, str. 70. Dalje kao: Direktiva o implementaciji Direktive o zlouporabi tržišta.</w:t>
      </w:r>
    </w:p>
  </w:footnote>
  <w:footnote w:id="1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paras</w:t>
      </w:r>
      <w:r w:rsidRPr="00CC0298">
        <w:rPr>
          <w:rFonts w:ascii="Adobe Garamond Pro" w:hAnsi="Adobe Garamond Pro"/>
          <w:sz w:val="18"/>
          <w:szCs w:val="18"/>
        </w:rPr>
        <w:t xml:space="preserve"> 12-17.</w:t>
      </w:r>
    </w:p>
  </w:footnote>
  <w:footnote w:id="1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Njem. Finanzdienstleistungsaufsicht.</w:t>
      </w:r>
    </w:p>
  </w:footnote>
  <w:footnote w:id="1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19.</w:t>
      </w:r>
    </w:p>
  </w:footnote>
  <w:footnote w:id="18">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 para</w:t>
      </w:r>
      <w:r w:rsidRPr="00CC0298">
        <w:rPr>
          <w:rFonts w:ascii="Adobe Garamond Pro" w:hAnsi="Adobe Garamond Pro"/>
          <w:sz w:val="18"/>
          <w:szCs w:val="18"/>
        </w:rPr>
        <w:t xml:space="preserve"> 19.</w:t>
      </w:r>
    </w:p>
  </w:footnote>
  <w:footnote w:id="19">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20.</w:t>
      </w:r>
    </w:p>
  </w:footnote>
  <w:footnote w:id="2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23(1). </w:t>
      </w:r>
    </w:p>
  </w:footnote>
  <w:footnote w:id="2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1. st. 1. Direktive o zlouporabi tržišta.</w:t>
      </w:r>
    </w:p>
  </w:footnote>
  <w:footnote w:id="2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23(2).</w:t>
      </w:r>
    </w:p>
  </w:footnote>
  <w:footnote w:id="2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26.</w:t>
      </w:r>
    </w:p>
  </w:footnote>
  <w:footnote w:id="2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35.</w:t>
      </w:r>
    </w:p>
  </w:footnote>
  <w:footnote w:id="2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36. Vidi i predmet C-45/08, </w:t>
      </w:r>
      <w:r w:rsidRPr="00CC0298">
        <w:rPr>
          <w:rFonts w:ascii="Adobe Garamond Pro" w:hAnsi="Adobe Garamond Pro"/>
          <w:i/>
          <w:sz w:val="18"/>
          <w:szCs w:val="18"/>
        </w:rPr>
        <w:t>Spector Photo Group and Vaen Raemdonck</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2009</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ECR I-12073, </w:t>
      </w:r>
      <w:r w:rsidRPr="00CC0298">
        <w:rPr>
          <w:rFonts w:ascii="Adobe Garamond Pro" w:hAnsi="Adobe Garamond Pro"/>
          <w:i/>
          <w:sz w:val="18"/>
          <w:szCs w:val="18"/>
        </w:rPr>
        <w:t xml:space="preserve">paras </w:t>
      </w:r>
      <w:r w:rsidRPr="00CC0298">
        <w:rPr>
          <w:rFonts w:ascii="Adobe Garamond Pro" w:hAnsi="Adobe Garamond Pro"/>
          <w:sz w:val="18"/>
          <w:szCs w:val="18"/>
        </w:rPr>
        <w:t xml:space="preserve">37, 41, 61 i 62. U tom kontekstu v. C-391/04, </w:t>
      </w:r>
      <w:r w:rsidRPr="00CC0298">
        <w:rPr>
          <w:rFonts w:ascii="Adobe Garamond Pro" w:hAnsi="Adobe Garamond Pro"/>
          <w:i/>
          <w:sz w:val="18"/>
          <w:szCs w:val="18"/>
        </w:rPr>
        <w:t>Georgakis</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2007</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ECR I-3741, </w:t>
      </w:r>
      <w:r w:rsidRPr="00CC0298">
        <w:rPr>
          <w:rFonts w:ascii="Adobe Garamond Pro" w:hAnsi="Adobe Garamond Pro"/>
          <w:i/>
          <w:sz w:val="18"/>
          <w:szCs w:val="18"/>
        </w:rPr>
        <w:t>para</w:t>
      </w:r>
      <w:r w:rsidRPr="00CC0298">
        <w:rPr>
          <w:rFonts w:ascii="Adobe Garamond Pro" w:hAnsi="Adobe Garamond Pro"/>
          <w:sz w:val="18"/>
          <w:szCs w:val="18"/>
        </w:rPr>
        <w:t xml:space="preserve"> 38, te C-384/02, </w:t>
      </w:r>
      <w:r w:rsidRPr="00CC0298">
        <w:rPr>
          <w:rFonts w:ascii="Adobe Garamond Pro" w:hAnsi="Adobe Garamond Pro"/>
          <w:i/>
          <w:sz w:val="18"/>
          <w:szCs w:val="18"/>
        </w:rPr>
        <w:t>Grongaard-Bang</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2005</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ECR I-9939, </w:t>
      </w:r>
      <w:r w:rsidRPr="00CC0298">
        <w:rPr>
          <w:rFonts w:ascii="Adobe Garamond Pro" w:hAnsi="Adobe Garamond Pro"/>
          <w:i/>
          <w:sz w:val="18"/>
          <w:szCs w:val="18"/>
        </w:rPr>
        <w:t>paras</w:t>
      </w:r>
      <w:r w:rsidRPr="00CC0298">
        <w:rPr>
          <w:rFonts w:ascii="Adobe Garamond Pro" w:hAnsi="Adobe Garamond Pro"/>
          <w:sz w:val="18"/>
          <w:szCs w:val="18"/>
        </w:rPr>
        <w:t xml:space="preserve"> 22. i 23. </w:t>
      </w:r>
    </w:p>
  </w:footnote>
  <w:footnote w:id="2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 xml:space="preserve">paras </w:t>
      </w:r>
      <w:r w:rsidRPr="00CC0298">
        <w:rPr>
          <w:rFonts w:ascii="Adobe Garamond Pro" w:hAnsi="Adobe Garamond Pro"/>
          <w:sz w:val="18"/>
          <w:szCs w:val="18"/>
        </w:rPr>
        <w:t>38. i 40.</w:t>
      </w:r>
    </w:p>
  </w:footnote>
  <w:footnote w:id="2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Iako načelno ocijenjeno kao negativno, trgovanje insajderskim podacima smatra se sredstvom ublažavanja suprotstavljenih interesa – potrebe za transparentnošću i potrebe za povjerljivošću informacija. Naime, trgovanje insajderskim podacima može dovesti do prilagođavanja cijena vrijednosnica na tržištu, bez potrebe za objavom podataka. Prema „vanjskoj“  slici koju daje ponašanje insajdera, mogu se izvesti zaključci da se nešto događa unutar društva. Na taj način društvo zadržava nadzor nad informacijama, ali se ujedno povećava informacijska učinkovitost tržišta kapitala. V. više kod Gilotta, Sergio, </w:t>
      </w:r>
      <w:r w:rsidRPr="00CC0298">
        <w:rPr>
          <w:rFonts w:ascii="Adobe Garamond Pro" w:hAnsi="Adobe Garamond Pro"/>
          <w:i/>
          <w:sz w:val="18"/>
          <w:szCs w:val="18"/>
        </w:rPr>
        <w:t>The conflict between disclosure in securities markets and firm's need for confidentiality: theoretical framework and regulatory analysis</w:t>
      </w:r>
      <w:r w:rsidRPr="00CC0298">
        <w:rPr>
          <w:rFonts w:ascii="Adobe Garamond Pro" w:hAnsi="Adobe Garamond Pro"/>
          <w:sz w:val="18"/>
          <w:szCs w:val="18"/>
        </w:rPr>
        <w:t xml:space="preserve">, str. 44-45. dostupno na: http://ssrn.com/abstract=1709334, </w:t>
      </w:r>
      <w:r w:rsidRPr="00CC0298">
        <w:rPr>
          <w:rFonts w:ascii="Adobe Garamond Pro" w:hAnsi="Adobe Garamond Pro"/>
          <w:sz w:val="18"/>
          <w:szCs w:val="18"/>
        </w:rPr>
        <w:sym w:font="Symbol" w:char="F05B"/>
      </w:r>
      <w:r w:rsidRPr="00CC0298">
        <w:rPr>
          <w:rFonts w:ascii="Adobe Garamond Pro" w:hAnsi="Adobe Garamond Pro"/>
          <w:sz w:val="18"/>
          <w:szCs w:val="18"/>
        </w:rPr>
        <w:t>7. 4.2014</w:t>
      </w:r>
      <w:r w:rsidRPr="00CC0298">
        <w:rPr>
          <w:rFonts w:ascii="Adobe Garamond Pro" w:hAnsi="Adobe Garamond Pro"/>
          <w:sz w:val="18"/>
          <w:szCs w:val="18"/>
        </w:rPr>
        <w:sym w:font="Symbol" w:char="F05D"/>
      </w:r>
      <w:r w:rsidRPr="00CC0298">
        <w:rPr>
          <w:rFonts w:ascii="Adobe Garamond Pro" w:hAnsi="Adobe Garamond Pro"/>
          <w:sz w:val="18"/>
          <w:szCs w:val="18"/>
        </w:rPr>
        <w:t>.</w:t>
      </w:r>
    </w:p>
  </w:footnote>
  <w:footnote w:id="2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Markus Geltl</w:t>
      </w:r>
      <w:r w:rsidRPr="00CC0298">
        <w:rPr>
          <w:rFonts w:ascii="Adobe Garamond Pro" w:hAnsi="Adobe Garamond Pro"/>
          <w:sz w:val="18"/>
          <w:szCs w:val="18"/>
        </w:rPr>
        <w:t xml:space="preserve">, </w:t>
      </w:r>
      <w:r w:rsidRPr="00CC0298">
        <w:rPr>
          <w:rFonts w:ascii="Adobe Garamond Pro" w:hAnsi="Adobe Garamond Pro"/>
          <w:i/>
          <w:sz w:val="18"/>
          <w:szCs w:val="18"/>
        </w:rPr>
        <w:t xml:space="preserve">para </w:t>
      </w:r>
      <w:r w:rsidRPr="00CC0298">
        <w:rPr>
          <w:rFonts w:ascii="Adobe Garamond Pro" w:hAnsi="Adobe Garamond Pro"/>
          <w:sz w:val="18"/>
          <w:szCs w:val="18"/>
        </w:rPr>
        <w:t>56.</w:t>
      </w:r>
    </w:p>
  </w:footnote>
  <w:footnote w:id="2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O implikacijama navedenog predmeta na definiranje insajderskog podatka vidi Papadopoulos, Thomas, </w:t>
      </w:r>
      <w:r w:rsidRPr="00CC0298">
        <w:rPr>
          <w:rFonts w:ascii="Adobe Garamond Pro" w:hAnsi="Adobe Garamond Pro"/>
          <w:i/>
          <w:sz w:val="18"/>
          <w:szCs w:val="18"/>
        </w:rPr>
        <w:t>The Market Abuse Directive and the Notion of Inside Information - Case C-19/11 Markus Geltl v Daimler AG (October 31, 2012)</w:t>
      </w:r>
      <w:r w:rsidRPr="00CC0298">
        <w:rPr>
          <w:rFonts w:ascii="Adobe Garamond Pro" w:hAnsi="Adobe Garamond Pro"/>
          <w:sz w:val="18"/>
          <w:szCs w:val="18"/>
        </w:rPr>
        <w:t>, Hellenic Review of European Law 32:2-3/2012, str. 257-264. Dostupno na http://ssrn.com/abstract=2267295, [9. 4. 2014.].</w:t>
      </w:r>
    </w:p>
  </w:footnote>
  <w:footnote w:id="3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U ekonomskoj teoriji, razvijen je tzv. „model samointeresa“ (</w:t>
      </w:r>
      <w:r w:rsidRPr="00CC0298">
        <w:rPr>
          <w:rFonts w:ascii="Adobe Garamond Pro" w:hAnsi="Adobe Garamond Pro"/>
          <w:i/>
          <w:sz w:val="18"/>
          <w:szCs w:val="18"/>
        </w:rPr>
        <w:t>self-interest model</w:t>
      </w:r>
      <w:r w:rsidRPr="00CC0298">
        <w:rPr>
          <w:rFonts w:ascii="Adobe Garamond Pro" w:hAnsi="Adobe Garamond Pro"/>
          <w:sz w:val="18"/>
          <w:szCs w:val="18"/>
        </w:rPr>
        <w:t>) po kojem društva imaju samorazumljivu potrebu poslovati transparentno na način da objavljuju pozitivne vijesti koje snižavaju cijenu kapitala, a da istovremeno nastoje sakriti loše vijesti koje kapital poskupljuju. S obzirom da investitori svaki propust u objavi neke informacije tumače kao skrivanje loših vijesti, društva, očekujući takvu reakciju, nastoje učiniti vidljivim i „dobre“ i „loše“ vijesti. Na ovom modelu temelji se ideja dobrovoljne objave podataka o društvu (</w:t>
      </w:r>
      <w:r w:rsidRPr="00CC0298">
        <w:rPr>
          <w:rFonts w:ascii="Adobe Garamond Pro" w:hAnsi="Adobe Garamond Pro"/>
          <w:i/>
          <w:sz w:val="18"/>
          <w:szCs w:val="18"/>
        </w:rPr>
        <w:t>voluntary disclosure</w:t>
      </w:r>
      <w:r w:rsidRPr="00CC0298">
        <w:rPr>
          <w:rFonts w:ascii="Adobe Garamond Pro" w:hAnsi="Adobe Garamond Pro"/>
          <w:sz w:val="18"/>
          <w:szCs w:val="18"/>
        </w:rPr>
        <w:t>) naspram prisilne objave propisa zakonom (</w:t>
      </w:r>
      <w:r w:rsidRPr="00CC0298">
        <w:rPr>
          <w:rFonts w:ascii="Adobe Garamond Pro" w:hAnsi="Adobe Garamond Pro"/>
          <w:i/>
          <w:sz w:val="18"/>
          <w:szCs w:val="18"/>
        </w:rPr>
        <w:t>mandatory disclosure</w:t>
      </w:r>
      <w:r w:rsidRPr="00CC0298">
        <w:rPr>
          <w:rFonts w:ascii="Adobe Garamond Pro" w:hAnsi="Adobe Garamond Pro"/>
          <w:sz w:val="18"/>
          <w:szCs w:val="18"/>
        </w:rPr>
        <w:t xml:space="preserve">). O tome v. više u Gilotta, Sergio, </w:t>
      </w:r>
      <w:r w:rsidRPr="00CC0298">
        <w:rPr>
          <w:rFonts w:ascii="Adobe Garamond Pro" w:hAnsi="Adobe Garamond Pro"/>
          <w:i/>
          <w:sz w:val="18"/>
          <w:szCs w:val="18"/>
        </w:rPr>
        <w:t>The conflict between disclosure in securities markets and firm's need for confidentiality: theoretical framework and regulatory analysis</w:t>
      </w:r>
      <w:r w:rsidRPr="00CC0298">
        <w:rPr>
          <w:rFonts w:ascii="Adobe Garamond Pro" w:hAnsi="Adobe Garamond Pro"/>
          <w:sz w:val="18"/>
          <w:szCs w:val="18"/>
        </w:rPr>
        <w:t xml:space="preserve">, str. 8, dostupno na: http://ssrn.com/abstract=1709334, </w:t>
      </w:r>
      <w:r w:rsidRPr="00CC0298">
        <w:rPr>
          <w:rFonts w:ascii="Adobe Garamond Pro" w:hAnsi="Adobe Garamond Pro"/>
          <w:sz w:val="18"/>
          <w:szCs w:val="18"/>
        </w:rPr>
        <w:sym w:font="Symbol" w:char="F05B"/>
      </w:r>
      <w:r w:rsidRPr="00CC0298">
        <w:rPr>
          <w:rFonts w:ascii="Adobe Garamond Pro" w:hAnsi="Adobe Garamond Pro"/>
          <w:sz w:val="18"/>
          <w:szCs w:val="18"/>
        </w:rPr>
        <w:t>7.4.2014.</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o kritici navedenog modela i afirmaciji ideje prinudne objave, kakvu danas poznajemo, v. </w:t>
      </w:r>
      <w:r w:rsidRPr="00CC0298">
        <w:rPr>
          <w:rFonts w:ascii="Adobe Garamond Pro" w:hAnsi="Adobe Garamond Pro"/>
          <w:i/>
          <w:sz w:val="18"/>
          <w:szCs w:val="18"/>
        </w:rPr>
        <w:t>ibid.</w:t>
      </w:r>
      <w:r w:rsidRPr="00CC0298">
        <w:rPr>
          <w:rFonts w:ascii="Adobe Garamond Pro" w:hAnsi="Adobe Garamond Pro"/>
          <w:sz w:val="18"/>
          <w:szCs w:val="18"/>
        </w:rPr>
        <w:t xml:space="preserve">, str. 9-12. Autori smatraju kako obveznost objave podataka i njihove dostave i upisa u javne registre treba imati prednost pred eventualnom dobrovoljnom objavom jer se na taj način ostvaruje načelo javnosti podataka, koje dalje omogućuje postojanje presumpcije da je svatko upoznat s onim što je objavljeno odnosno upisano. O načelu javnosti sudskog registra v. više u Barbić, </w:t>
      </w:r>
      <w:r w:rsidRPr="00CC0298">
        <w:rPr>
          <w:rFonts w:ascii="Adobe Garamond Pro" w:hAnsi="Adobe Garamond Pro"/>
          <w:i/>
          <w:sz w:val="18"/>
          <w:szCs w:val="18"/>
        </w:rPr>
        <w:t>op. cit</w:t>
      </w:r>
      <w:r w:rsidRPr="00CC0298">
        <w:rPr>
          <w:rFonts w:ascii="Adobe Garamond Pro" w:hAnsi="Adobe Garamond Pro"/>
          <w:sz w:val="18"/>
          <w:szCs w:val="18"/>
        </w:rPr>
        <w:t>. (ref. 1), str. 539-543.</w:t>
      </w:r>
    </w:p>
  </w:footnote>
  <w:footnote w:id="3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Christensen, Hans B.; Hail, Luzi; Leuz, Christian, </w:t>
      </w:r>
      <w:r w:rsidRPr="00CC0298">
        <w:rPr>
          <w:rFonts w:ascii="Adobe Garamond Pro" w:hAnsi="Adobe Garamond Pro"/>
          <w:i/>
          <w:sz w:val="18"/>
          <w:szCs w:val="18"/>
        </w:rPr>
        <w:t>Capital-Markets Effects of Securities Regulation: Prior Conditions, Implementation and Enforcement</w:t>
      </w:r>
      <w:r w:rsidRPr="00CC0298">
        <w:rPr>
          <w:rFonts w:ascii="Adobe Garamond Pro" w:hAnsi="Adobe Garamond Pro"/>
          <w:sz w:val="18"/>
          <w:szCs w:val="18"/>
        </w:rPr>
        <w:t xml:space="preserve">, Finance Working Paper No. 407/14, str. 9. i 16. Dostupno na http://ssrn.com/abstract_id=1745106, </w:t>
      </w:r>
      <w:r w:rsidRPr="00CC0298">
        <w:rPr>
          <w:rFonts w:ascii="Adobe Garamond Pro" w:hAnsi="Adobe Garamond Pro"/>
          <w:sz w:val="18"/>
          <w:szCs w:val="18"/>
        </w:rPr>
        <w:sym w:font="Symbol" w:char="F05B"/>
      </w:r>
      <w:r w:rsidRPr="00CC0298">
        <w:rPr>
          <w:rFonts w:ascii="Adobe Garamond Pro" w:hAnsi="Adobe Garamond Pro"/>
          <w:sz w:val="18"/>
          <w:szCs w:val="18"/>
        </w:rPr>
        <w:t>5.4.2014</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w:t>
      </w:r>
    </w:p>
  </w:footnote>
  <w:footnote w:id="3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Tako i Horak, Hana; Dumančić, Kosjenka, </w:t>
      </w:r>
      <w:r w:rsidRPr="00CC0298">
        <w:rPr>
          <w:rFonts w:ascii="Adobe Garamond Pro" w:hAnsi="Adobe Garamond Pro"/>
          <w:i/>
          <w:sz w:val="18"/>
          <w:szCs w:val="18"/>
        </w:rPr>
        <w:t>Harmonisation of the Croatian Company Law</w:t>
      </w:r>
      <w:r w:rsidRPr="00CC0298">
        <w:rPr>
          <w:rFonts w:ascii="Adobe Garamond Pro" w:hAnsi="Adobe Garamond Pro"/>
          <w:sz w:val="18"/>
          <w:szCs w:val="18"/>
        </w:rPr>
        <w:t xml:space="preserve">…, </w:t>
      </w:r>
      <w:r w:rsidRPr="00CC0298">
        <w:rPr>
          <w:rFonts w:ascii="Adobe Garamond Pro" w:hAnsi="Adobe Garamond Pro"/>
          <w:i/>
          <w:sz w:val="18"/>
          <w:szCs w:val="18"/>
        </w:rPr>
        <w:t>cit.</w:t>
      </w:r>
      <w:r w:rsidRPr="00CC0298">
        <w:rPr>
          <w:rFonts w:ascii="Adobe Garamond Pro" w:hAnsi="Adobe Garamond Pro"/>
          <w:sz w:val="18"/>
          <w:szCs w:val="18"/>
        </w:rPr>
        <w:t xml:space="preserve">, str. 13. U osnovi, nedostatna ili asimetrična informiranost u odnosu investitor - društvo najviše šteti samom društvu jer investitori ne mogu razlikovati društva u koja se isplati ulagati, tj. „dobra“ i „loša“ društva. Tako i Pervan, Ivica, </w:t>
      </w:r>
      <w:r w:rsidRPr="00CC0298">
        <w:rPr>
          <w:rFonts w:ascii="Adobe Garamond Pro" w:hAnsi="Adobe Garamond Pro"/>
          <w:i/>
          <w:sz w:val="18"/>
          <w:szCs w:val="18"/>
        </w:rPr>
        <w:t>Financial Reporting for Croatian listed companies – need for harmonization with EU regulation</w:t>
      </w:r>
      <w:r w:rsidRPr="00CC0298">
        <w:rPr>
          <w:rFonts w:ascii="Adobe Garamond Pro" w:hAnsi="Adobe Garamond Pro"/>
          <w:sz w:val="18"/>
          <w:szCs w:val="18"/>
        </w:rPr>
        <w:t xml:space="preserve">, str. 2, dostupno na http://ssrn.com/abstract=2237953, </w:t>
      </w:r>
      <w:r w:rsidRPr="00CC0298">
        <w:rPr>
          <w:rFonts w:ascii="Adobe Garamond Pro" w:hAnsi="Adobe Garamond Pro"/>
          <w:sz w:val="18"/>
          <w:szCs w:val="18"/>
        </w:rPr>
        <w:sym w:font="Symbol" w:char="F05B"/>
      </w:r>
      <w:r w:rsidRPr="00CC0298">
        <w:rPr>
          <w:rFonts w:ascii="Adobe Garamond Pro" w:hAnsi="Adobe Garamond Pro"/>
          <w:sz w:val="18"/>
          <w:szCs w:val="18"/>
        </w:rPr>
        <w:t>14.3.2014.</w:t>
      </w:r>
      <w:r w:rsidRPr="00CC0298">
        <w:rPr>
          <w:rFonts w:ascii="Adobe Garamond Pro" w:hAnsi="Adobe Garamond Pro"/>
          <w:sz w:val="18"/>
          <w:szCs w:val="18"/>
        </w:rPr>
        <w:sym w:font="Symbol" w:char="F05D"/>
      </w:r>
      <w:r w:rsidRPr="00CC0298">
        <w:rPr>
          <w:rFonts w:ascii="Adobe Garamond Pro" w:hAnsi="Adobe Garamond Pro"/>
          <w:sz w:val="18"/>
          <w:szCs w:val="18"/>
        </w:rPr>
        <w:t>.</w:t>
      </w:r>
    </w:p>
  </w:footnote>
  <w:footnote w:id="3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Case C-174/12, </w:t>
      </w:r>
      <w:r w:rsidRPr="00CC0298">
        <w:rPr>
          <w:rFonts w:ascii="Adobe Garamond Pro" w:hAnsi="Adobe Garamond Pro"/>
          <w:i/>
          <w:sz w:val="18"/>
          <w:szCs w:val="18"/>
        </w:rPr>
        <w:t>Alfred Hirmann v Immofinanz AG</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2013</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ECR I-0000. Dalje kao </w:t>
      </w:r>
      <w:r w:rsidRPr="00CC0298">
        <w:rPr>
          <w:rFonts w:ascii="Adobe Garamond Pro" w:hAnsi="Adobe Garamond Pro"/>
          <w:i/>
          <w:sz w:val="18"/>
          <w:szCs w:val="18"/>
        </w:rPr>
        <w:t>Hirmann</w:t>
      </w:r>
      <w:r w:rsidRPr="00CC0298">
        <w:rPr>
          <w:rFonts w:ascii="Adobe Garamond Pro" w:hAnsi="Adobe Garamond Pro"/>
          <w:sz w:val="18"/>
          <w:szCs w:val="18"/>
        </w:rPr>
        <w:t>, uz navođenje odjeljka.</w:t>
      </w:r>
    </w:p>
  </w:footnote>
  <w:footnote w:id="3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16.</w:t>
      </w:r>
    </w:p>
  </w:footnote>
  <w:footnote w:id="3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17.</w:t>
      </w:r>
    </w:p>
  </w:footnote>
  <w:footnote w:id="3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18.</w:t>
      </w:r>
    </w:p>
  </w:footnote>
  <w:footnote w:id="3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19.</w:t>
      </w:r>
    </w:p>
  </w:footnote>
  <w:footnote w:id="3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20.</w:t>
      </w:r>
    </w:p>
  </w:footnote>
  <w:footnote w:id="3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Direktiva 2004/109/EZ Europskog parlamenta i Vijeća od 15. prosinca 2004. o usklađivanju zahtjeva za transparentnošću u vezi s podacima o izdavateljima čiji su vrijednosni papiri uvršteni u trgovanje na uređenom tržištu, kojom se mijenja i dopunjuje Direktiva 2001/34/EZ, OJ L 390, 2004, str. 38.</w:t>
      </w:r>
    </w:p>
  </w:footnote>
  <w:footnote w:id="4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Direktiva 2003/71/EZ Europskog parlamenta i Vijeća od 4. studenog 2003. o prospektu kojeg se treba objaviti pri javnoj ponudu vrijednosnih papira ili kojima se trguje na uređenom tržištu i kojom se dopunjuje Direktiva 2001/34/EZ, OJ L 345, 2003, str. 64.</w:t>
      </w:r>
    </w:p>
  </w:footnote>
  <w:footnote w:id="4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Direktiva 2003/6/EZ Europskog parlamenta i Vijeća od 28. siječnja 2003. o insajderskom poslovanju i manipulaciji tržištem (zlouporaba tržišta), OJ L 96, 2003, str. 16</w:t>
      </w:r>
    </w:p>
  </w:footnote>
  <w:footnote w:id="4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Druga direktiva Vijeća 77/91/EEZ, od 13. prosinca 1976., o koordinaciji zaštitnih mehanizama koje, u svrhu zaštite interesa članova i ostalih, države članice zahtijevaju od društava u smislu čl. 58. Ugovora, s obzirom na osnivanje dioničkih društava i održavanje i promjenu njihovog temeljnog kapitala, a s ciljem ujednačavanja tih zaštitnih mehanizama (OJ L 26, 1977., str.1), kako je ista dopunjena Direktivom Vijeća 92/101/EEZ od 23. studenog 1992., OJ L 347, 1992, str. 64.</w:t>
      </w:r>
    </w:p>
  </w:footnote>
  <w:footnote w:id="43">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22.</w:t>
      </w:r>
    </w:p>
  </w:footnote>
  <w:footnote w:id="4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Sud je ovo pitanje smatrao hipotetskim i stoga na isto nije dao odgovor.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46-48.</w:t>
      </w:r>
    </w:p>
  </w:footnote>
  <w:footnote w:id="45">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21(4).</w:t>
      </w:r>
    </w:p>
  </w:footnote>
  <w:footnote w:id="4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(OJ L 258, 1.10.2009.).</w:t>
      </w:r>
    </w:p>
  </w:footnote>
  <w:footnote w:id="4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para 21(5).</w:t>
      </w:r>
    </w:p>
  </w:footnote>
  <w:footnote w:id="4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recital 4. Druge direktive.</w:t>
      </w:r>
    </w:p>
  </w:footnote>
  <w:footnote w:id="4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27.</w:t>
      </w:r>
    </w:p>
  </w:footnote>
  <w:footnote w:id="5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28.</w:t>
      </w:r>
    </w:p>
  </w:footnote>
  <w:footnote w:id="5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29.</w:t>
      </w:r>
    </w:p>
  </w:footnote>
  <w:footnote w:id="5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U konkretnom slučaju radi se, prema stavu Suda, o ugovornoj odgovornosti za štetu. Istu stoga treba razlikovati od odgovornosti zbog povrede odredbi statuta, društvenog ugovora, ali i raznih internih pravilnika društva jer bi se tada radilo o izvanugovornoj odgovornosti za štetu. Ono što bi trebalo dodati na stav Suda o ugovoru kao temelju odgovornosti je i mogućnost postojanja i predugovorne odgovornosti (</w:t>
      </w:r>
      <w:r w:rsidRPr="00CC0298">
        <w:rPr>
          <w:rFonts w:ascii="Adobe Garamond Pro" w:hAnsi="Adobe Garamond Pro"/>
          <w:i/>
          <w:sz w:val="18"/>
          <w:szCs w:val="18"/>
        </w:rPr>
        <w:t>culpa in contrahendo</w:t>
      </w:r>
      <w:r w:rsidRPr="00CC0298">
        <w:rPr>
          <w:rFonts w:ascii="Adobe Garamond Pro" w:hAnsi="Adobe Garamond Pro"/>
          <w:sz w:val="18"/>
          <w:szCs w:val="18"/>
        </w:rPr>
        <w:t>). Naime, i sam Sud govori o nepravilnom postupanju „</w:t>
      </w:r>
      <w:r w:rsidRPr="00CC0298">
        <w:rPr>
          <w:rFonts w:ascii="Adobe Garamond Pro" w:hAnsi="Adobe Garamond Pro"/>
          <w:i/>
          <w:sz w:val="18"/>
          <w:szCs w:val="18"/>
        </w:rPr>
        <w:t>prior</w:t>
      </w:r>
      <w:r w:rsidRPr="00CC0298">
        <w:rPr>
          <w:rFonts w:ascii="Adobe Garamond Pro" w:hAnsi="Adobe Garamond Pro"/>
          <w:sz w:val="18"/>
          <w:szCs w:val="18"/>
        </w:rPr>
        <w:t xml:space="preserve"> or at the time of purchase (…)“, što bi dalo naslutiti da bi se moglo raditi i o povredi obvezi na transparentnost u pregovorima. Budući da i Zakon o obveznim odnosima (Narodne novine, br. 35/05, 41/08, 125/11, dalje kao: ZOO, uz navođenje članka) u čl. 251. st. 2. predviđa posebna pravila za predugovornu odgovornost, nije nebitno kako će se ista okvalificirati, pogotovo ako bi se radilo o sporu s međunarodnim obilježjem, budući da se po raznim nacionalnim pravima predugovorna odgovornost različito kvalificira. </w:t>
      </w:r>
    </w:p>
  </w:footnote>
  <w:footnote w:id="5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30.</w:t>
      </w:r>
    </w:p>
  </w:footnote>
  <w:footnote w:id="5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čl. 42. Druge direktive. Vidi presudu suda o ovom načelu u predmetu C-101/08, </w:t>
      </w:r>
      <w:r w:rsidRPr="00CC0298">
        <w:rPr>
          <w:rFonts w:ascii="Adobe Garamond Pro" w:hAnsi="Adobe Garamond Pro"/>
          <w:i/>
          <w:sz w:val="18"/>
          <w:szCs w:val="18"/>
        </w:rPr>
        <w:t>Audiolux SA and Others v Groupe Bruxelles Lambert SA and Others and Bertlesmann AG and Others</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2009</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ECR I-9823, </w:t>
      </w:r>
      <w:r w:rsidRPr="00CC0298">
        <w:rPr>
          <w:rFonts w:ascii="Adobe Garamond Pro" w:hAnsi="Adobe Garamond Pro"/>
          <w:i/>
          <w:sz w:val="18"/>
          <w:szCs w:val="18"/>
        </w:rPr>
        <w:t xml:space="preserve">paras </w:t>
      </w:r>
      <w:r w:rsidRPr="00CC0298">
        <w:rPr>
          <w:rFonts w:ascii="Adobe Garamond Pro" w:hAnsi="Adobe Garamond Pro"/>
          <w:sz w:val="18"/>
          <w:szCs w:val="18"/>
        </w:rPr>
        <w:t>37-42.</w:t>
      </w:r>
    </w:p>
  </w:footnote>
  <w:footnote w:id="5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31.</w:t>
      </w:r>
    </w:p>
  </w:footnote>
  <w:footnote w:id="5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čl. 233. st. 3. t. 3. Zakona o trgovačkim društvima (NN, br. 111/93, 34/99, 121/99 – vjerodostojno tumačenje, 52/00 – Odluka Ustavnog suda RH, 118/03, 107/07, 146/08, 137/09, 152/11 – pročišćeni tekst, 111/12 i 68/13). Dalje kao: ZTD, uz navođenje članka. O pravnim posljedicama nedopuštenog stjecanja vlastitih dionica v. više u Markovinović, Hrvoje, </w:t>
      </w:r>
      <w:r w:rsidRPr="00CC0298">
        <w:rPr>
          <w:rFonts w:ascii="Adobe Garamond Pro" w:hAnsi="Adobe Garamond Pro"/>
          <w:i/>
          <w:sz w:val="18"/>
          <w:szCs w:val="18"/>
        </w:rPr>
        <w:t>Pravne posljedice nedopuštenog stjecanja vlastitih dionica</w:t>
      </w:r>
      <w:r w:rsidRPr="00CC0298">
        <w:rPr>
          <w:rFonts w:ascii="Adobe Garamond Pro" w:hAnsi="Adobe Garamond Pro"/>
          <w:sz w:val="18"/>
          <w:szCs w:val="18"/>
        </w:rPr>
        <w:t>, Zbornik radova s II. skopsko-zagrebačkog pravnog kolokvija, Skopje, 2009, str. 75-90.</w:t>
      </w:r>
    </w:p>
  </w:footnote>
  <w:footnote w:id="5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32.</w:t>
      </w:r>
    </w:p>
  </w:footnote>
  <w:footnote w:id="5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čl. 25(1) Direktive o prospektu, čl. 28(1) Direktive o transparentnosti i čl. 14(1) Direktive o zlouporabi tržišta.</w:t>
      </w:r>
    </w:p>
  </w:footnote>
  <w:footnote w:id="59">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40.</w:t>
      </w:r>
    </w:p>
  </w:footnote>
  <w:footnote w:id="6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spojeni predmeti C-295/04 do C-298/04, </w:t>
      </w:r>
      <w:r w:rsidRPr="00CC0298">
        <w:rPr>
          <w:rFonts w:ascii="Adobe Garamond Pro" w:hAnsi="Adobe Garamond Pro"/>
          <w:i/>
          <w:sz w:val="18"/>
          <w:szCs w:val="18"/>
        </w:rPr>
        <w:t>Manfredi and Others</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2006</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ECR I-6619, </w:t>
      </w:r>
      <w:r w:rsidRPr="00CC0298">
        <w:rPr>
          <w:rFonts w:ascii="Adobe Garamond Pro" w:hAnsi="Adobe Garamond Pro"/>
          <w:i/>
          <w:sz w:val="18"/>
          <w:szCs w:val="18"/>
        </w:rPr>
        <w:t>para</w:t>
      </w:r>
      <w:r w:rsidRPr="00CC0298">
        <w:rPr>
          <w:rFonts w:ascii="Adobe Garamond Pro" w:hAnsi="Adobe Garamond Pro"/>
          <w:sz w:val="18"/>
          <w:szCs w:val="18"/>
        </w:rPr>
        <w:t xml:space="preserve"> 92 te relativno novija presuda u predmetu C-536/11,  </w:t>
      </w:r>
      <w:r w:rsidRPr="00CC0298">
        <w:rPr>
          <w:rFonts w:ascii="Adobe Garamond Pro" w:hAnsi="Adobe Garamond Pro"/>
          <w:i/>
          <w:sz w:val="18"/>
          <w:szCs w:val="18"/>
        </w:rPr>
        <w:t>Donau Chemie and Others</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2013</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ECR I-0000, </w:t>
      </w:r>
      <w:r w:rsidRPr="00CC0298">
        <w:rPr>
          <w:rFonts w:ascii="Adobe Garamond Pro" w:hAnsi="Adobe Garamond Pro"/>
          <w:i/>
          <w:sz w:val="18"/>
          <w:szCs w:val="18"/>
        </w:rPr>
        <w:t>paras</w:t>
      </w:r>
      <w:r w:rsidRPr="00CC0298">
        <w:rPr>
          <w:rFonts w:ascii="Adobe Garamond Pro" w:hAnsi="Adobe Garamond Pro"/>
          <w:sz w:val="18"/>
          <w:szCs w:val="18"/>
        </w:rPr>
        <w:t xml:space="preserve"> 25-27.</w:t>
      </w:r>
    </w:p>
  </w:footnote>
  <w:footnote w:id="6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Engl. </w:t>
      </w:r>
      <w:r w:rsidRPr="00CC0298">
        <w:rPr>
          <w:rFonts w:ascii="Adobe Garamond Pro" w:hAnsi="Adobe Garamond Pro"/>
          <w:i/>
          <w:sz w:val="18"/>
          <w:szCs w:val="18"/>
        </w:rPr>
        <w:t>punitive damages.</w:t>
      </w:r>
    </w:p>
  </w:footnote>
  <w:footnote w:id="62">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41.</w:t>
      </w:r>
    </w:p>
  </w:footnote>
  <w:footnote w:id="63">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42.</w:t>
      </w:r>
    </w:p>
  </w:footnote>
  <w:footnote w:id="64">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 xml:space="preserve">para </w:t>
      </w:r>
      <w:r w:rsidRPr="00CC0298">
        <w:rPr>
          <w:rFonts w:ascii="Adobe Garamond Pro" w:hAnsi="Adobe Garamond Pro"/>
          <w:sz w:val="18"/>
          <w:szCs w:val="18"/>
        </w:rPr>
        <w:t>43.</w:t>
      </w:r>
    </w:p>
  </w:footnote>
  <w:footnote w:id="6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 Mišljenje nezavisnog odvjetnika Sharpstona od 12. rujna 2013., </w:t>
      </w:r>
      <w:r w:rsidRPr="00CC0298">
        <w:rPr>
          <w:rFonts w:ascii="Adobe Garamond Pro" w:hAnsi="Adobe Garamond Pro"/>
          <w:i/>
          <w:sz w:val="18"/>
          <w:szCs w:val="18"/>
        </w:rPr>
        <w:t>para</w:t>
      </w:r>
      <w:r w:rsidRPr="00CC0298">
        <w:rPr>
          <w:rFonts w:ascii="Adobe Garamond Pro" w:hAnsi="Adobe Garamond Pro"/>
          <w:sz w:val="18"/>
          <w:szCs w:val="18"/>
        </w:rPr>
        <w:t xml:space="preserve"> 90.</w:t>
      </w:r>
    </w:p>
  </w:footnote>
  <w:footnote w:id="6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Sud je jasno rekao kako je smisao nacionalnog prava o raskidu u ostvarenju načela restitucije – osigurati da se oštećeni vrati u položaj u kojem se nalazio prije poduzimanja čina koji mu je prouzročio štetu. V. </w:t>
      </w:r>
      <w:r w:rsidRPr="00CC0298">
        <w:rPr>
          <w:rFonts w:ascii="Adobe Garamond Pro" w:hAnsi="Adobe Garamond Pro"/>
          <w:i/>
          <w:sz w:val="18"/>
          <w:szCs w:val="18"/>
        </w:rPr>
        <w:t>Hirmann</w:t>
      </w:r>
      <w:r w:rsidRPr="00CC0298">
        <w:rPr>
          <w:rFonts w:ascii="Adobe Garamond Pro" w:hAnsi="Adobe Garamond Pro"/>
          <w:sz w:val="18"/>
          <w:szCs w:val="18"/>
        </w:rPr>
        <w:t xml:space="preserve">, </w:t>
      </w:r>
      <w:r w:rsidRPr="00CC0298">
        <w:rPr>
          <w:rFonts w:ascii="Adobe Garamond Pro" w:hAnsi="Adobe Garamond Pro"/>
          <w:i/>
          <w:sz w:val="18"/>
          <w:szCs w:val="18"/>
        </w:rPr>
        <w:t>para</w:t>
      </w:r>
      <w:r w:rsidRPr="00CC0298">
        <w:rPr>
          <w:rFonts w:ascii="Adobe Garamond Pro" w:hAnsi="Adobe Garamond Pro"/>
          <w:sz w:val="18"/>
          <w:szCs w:val="18"/>
        </w:rPr>
        <w:t xml:space="preserve"> 53.</w:t>
      </w:r>
    </w:p>
  </w:footnote>
  <w:footnote w:id="6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para 69.</w:t>
      </w:r>
    </w:p>
  </w:footnote>
  <w:footnote w:id="6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Hirmann</w:t>
      </w:r>
      <w:r w:rsidRPr="00CC0298">
        <w:rPr>
          <w:rFonts w:ascii="Adobe Garamond Pro" w:hAnsi="Adobe Garamond Pro"/>
          <w:sz w:val="18"/>
          <w:szCs w:val="18"/>
        </w:rPr>
        <w:t>, para 70.</w:t>
      </w:r>
    </w:p>
  </w:footnote>
  <w:footnote w:id="6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Ako je ugovoreno pravo koje uz raskid veže </w:t>
      </w:r>
      <w:r w:rsidRPr="00CC0298">
        <w:rPr>
          <w:rFonts w:ascii="Adobe Garamond Pro" w:hAnsi="Adobe Garamond Pro"/>
          <w:i/>
          <w:sz w:val="18"/>
          <w:szCs w:val="18"/>
        </w:rPr>
        <w:t>ex tunc</w:t>
      </w:r>
      <w:r w:rsidRPr="00CC0298">
        <w:rPr>
          <w:rFonts w:ascii="Adobe Garamond Pro" w:hAnsi="Adobe Garamond Pro"/>
          <w:sz w:val="18"/>
          <w:szCs w:val="18"/>
        </w:rPr>
        <w:t xml:space="preserve"> učinak, tj. obvezu povrata u stanje kakvo je bilo u trenutku sklapanja ugovora, kupac bi imao pravo na izvorno plaćenu cijenu, dok bi prodavatelj morao uzeti natrag vlastite dionice. Ako je pak ugovoreno pravo koje uz raskid veže </w:t>
      </w:r>
      <w:r w:rsidRPr="00CC0298">
        <w:rPr>
          <w:rFonts w:ascii="Adobe Garamond Pro" w:hAnsi="Adobe Garamond Pro"/>
          <w:i/>
          <w:sz w:val="18"/>
          <w:szCs w:val="18"/>
        </w:rPr>
        <w:t>ex nunc</w:t>
      </w:r>
      <w:r w:rsidRPr="00CC0298">
        <w:rPr>
          <w:rFonts w:ascii="Adobe Garamond Pro" w:hAnsi="Adobe Garamond Pro"/>
          <w:sz w:val="18"/>
          <w:szCs w:val="18"/>
        </w:rPr>
        <w:t xml:space="preserve"> učinak, tj. obvezu povrata prema stanju u trenutku kada se tužbom traži raskid ugovora, kupac bi imao pravo na povrat cijene u trenutku podnošenja tužbe, dok bi se prodavatelju vratile dionice. Rizik fluktuacije cijena, tj. rasta ili pada preuzima u biti svaka strana, što je u skladu s načelom koordinacije u obveznom odnosu. U prvom slučaju, ako je izvorna cijena manja od sadašnje, rizik pada na teret kupca, a u drugom slučaju, na teret prodavatelja. </w:t>
      </w:r>
    </w:p>
  </w:footnote>
  <w:footnote w:id="7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Ovdje se ne bi radilo o trajnom obveznom odnosu, pa stoga primjena odredbi o otkazu ne bi došla u obzir. V. čl. 212. ZOO.</w:t>
      </w:r>
    </w:p>
  </w:footnote>
  <w:footnote w:id="7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360.-368. ZOO.</w:t>
      </w:r>
    </w:p>
  </w:footnote>
  <w:footnote w:id="7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više u Klarić, Petar; Vedriš, Martin, </w:t>
      </w:r>
      <w:r w:rsidRPr="00CC0298">
        <w:rPr>
          <w:rFonts w:ascii="Adobe Garamond Pro" w:hAnsi="Adobe Garamond Pro"/>
          <w:i/>
          <w:sz w:val="18"/>
          <w:szCs w:val="18"/>
        </w:rPr>
        <w:t>Građansko pravo</w:t>
      </w:r>
      <w:r w:rsidRPr="00CC0298">
        <w:rPr>
          <w:rFonts w:ascii="Adobe Garamond Pro" w:hAnsi="Adobe Garamond Pro"/>
          <w:sz w:val="18"/>
          <w:szCs w:val="18"/>
        </w:rPr>
        <w:t>, Zagreb, 2009., str. 478-481.</w:t>
      </w:r>
    </w:p>
  </w:footnote>
  <w:footnote w:id="7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Ibid</w:t>
      </w:r>
      <w:r w:rsidRPr="00CC0298">
        <w:rPr>
          <w:rFonts w:ascii="Adobe Garamond Pro" w:hAnsi="Adobe Garamond Pro"/>
          <w:sz w:val="18"/>
          <w:szCs w:val="18"/>
        </w:rPr>
        <w:t>., 481-485.</w:t>
      </w:r>
    </w:p>
  </w:footnote>
  <w:footnote w:id="7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Ibid</w:t>
      </w:r>
      <w:r w:rsidRPr="00CC0298">
        <w:rPr>
          <w:rFonts w:ascii="Adobe Garamond Pro" w:hAnsi="Adobe Garamond Pro"/>
          <w:sz w:val="18"/>
          <w:szCs w:val="18"/>
        </w:rPr>
        <w:t>. 477.</w:t>
      </w:r>
    </w:p>
  </w:footnote>
  <w:footnote w:id="7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284. st. 1. ZOO.</w:t>
      </w:r>
    </w:p>
  </w:footnote>
  <w:footnote w:id="7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330. ZOO.</w:t>
      </w:r>
    </w:p>
  </w:footnote>
  <w:footnote w:id="7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331. st. 1. ZOO. Pri tome treba imati na umu prekluzivni subjektivni rok od 1 godine od saznanja za uzrok pobojnosti, te prekluzivni objektivni rok od 3 godine od dana sklapanja pravnog posla. O zahtjevima u slučaju pobojnosti vidi više u Jerković, Dražen, </w:t>
      </w:r>
      <w:r w:rsidRPr="00CC0298">
        <w:rPr>
          <w:rFonts w:ascii="Adobe Garamond Pro" w:hAnsi="Adobe Garamond Pro"/>
          <w:i/>
          <w:sz w:val="18"/>
          <w:szCs w:val="18"/>
        </w:rPr>
        <w:t>Tužbeni zahtjev u slučaju ništetnosti i pobojnosti</w:t>
      </w:r>
      <w:r w:rsidRPr="00CC0298">
        <w:rPr>
          <w:rFonts w:ascii="Adobe Garamond Pro" w:hAnsi="Adobe Garamond Pro"/>
          <w:sz w:val="18"/>
          <w:szCs w:val="18"/>
        </w:rPr>
        <w:t>, Tradicionalno XXIV. Savjetovanje -  Aktualnosti hrvatskog zakonodavstva i pravne prakse, Zbornik radova - Godišnjak Hrvatskog društva za građanskopravne znanosti i praksu, 20:16/2009., str. 673-678.</w:t>
      </w:r>
    </w:p>
  </w:footnote>
  <w:footnote w:id="7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332. st. 1. ZOO.</w:t>
      </w:r>
    </w:p>
  </w:footnote>
  <w:footnote w:id="7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284. st. 2. ZOO.</w:t>
      </w:r>
    </w:p>
  </w:footnote>
  <w:footnote w:id="8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Iako se u odredbama o poništaju ne govori o pravu na zakonsku zateznu kamatu, stjecatelj bi imao pravo na istu jer posljedice poništaja djeluju </w:t>
      </w:r>
      <w:r w:rsidRPr="00CC0298">
        <w:rPr>
          <w:rFonts w:ascii="Adobe Garamond Pro" w:hAnsi="Adobe Garamond Pro"/>
          <w:i/>
          <w:sz w:val="18"/>
          <w:szCs w:val="18"/>
        </w:rPr>
        <w:t>ex tunc</w:t>
      </w:r>
      <w:r w:rsidRPr="00CC0298">
        <w:rPr>
          <w:rFonts w:ascii="Adobe Garamond Pro" w:hAnsi="Adobe Garamond Pro"/>
          <w:sz w:val="18"/>
          <w:szCs w:val="18"/>
        </w:rPr>
        <w:t xml:space="preserve">, tj. obveza povrata u prijašnje stanje odnosno plaćene cijene postoji od trenutka sklapanja nevaljanog posla. To znači da je obveza na povrat već tada na neki način dospjela, pa se na glavnicu počela obračunavati kamata. Pritom treba imati na umu promjene stope zakonske zatezne kamate u slučaju promjene eskontne stope HNB te u tom smislu precizirati stopu zakonske zatezne kamate na potraživanu glavnicu u tužbenom zahtjevu. O tužbenom zahtjevu kod poništaja v. </w:t>
      </w:r>
      <w:r w:rsidRPr="00CC0298">
        <w:rPr>
          <w:rFonts w:ascii="Adobe Garamond Pro" w:hAnsi="Adobe Garamond Pro"/>
          <w:i/>
          <w:sz w:val="18"/>
          <w:szCs w:val="18"/>
        </w:rPr>
        <w:t>supra</w:t>
      </w:r>
      <w:r w:rsidRPr="00CC0298">
        <w:rPr>
          <w:rFonts w:ascii="Adobe Garamond Pro" w:hAnsi="Adobe Garamond Pro"/>
          <w:sz w:val="18"/>
          <w:szCs w:val="18"/>
        </w:rPr>
        <w:t xml:space="preserve">, ref. 76. </w:t>
      </w:r>
    </w:p>
  </w:footnote>
  <w:footnote w:id="8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332. st. 2. ZOO.</w:t>
      </w:r>
    </w:p>
  </w:footnote>
  <w:footnote w:id="8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Direktiva 2013/50/EU Europskog parlamenta i Vijeća od 22. listopada 2013. kojom se dopunjuje Direktiva 2004/109/EC Europskog parlamenta i Vijeća o usklađivanju zahtjeva za transparentnošću u vezi s podacima o izdavateljima čiji su vrijednosni papiri uvršteni u trgovanje na uređenom tržištu, Direktiva 2003/71/  o prospektu kojeg se treba objaviti pri javnoj ponudu vrijednosnih papira ili kojima se trguje na uređenom tržištu, i Direktiva Komisije 2007/14/EC kojom se propisuju detaljna pravila za provedbu određenih pravila Direktive 2004/109/EC (tekst od značaja za EGP), OJ L 294, str. 13. Dalje u tekstu: Revizijska direktiva.</w:t>
      </w:r>
    </w:p>
  </w:footnote>
  <w:footnote w:id="8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recital 4. Revizijske direktive.</w:t>
      </w:r>
    </w:p>
  </w:footnote>
  <w:footnote w:id="8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recital 2. Revizijske direktive.</w:t>
      </w:r>
    </w:p>
  </w:footnote>
  <w:footnote w:id="8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recital 4. Revizijske direktive. Vidi čl. 1. st. 2. (b), odjeljak 2. Revizijske direktive. </w:t>
      </w:r>
    </w:p>
  </w:footnote>
  <w:footnote w:id="8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Recital 5. Revizijske direktive. Čl. 1. st. 2. (a) Revizijske direktive propisuje: „Država članica pripadnosti može podvrgnuti izdavatelja strožim pravilima od ovih koja su propisana Direktivom (direktiva minimalne harmonizacije, op. a. v. </w:t>
      </w:r>
      <w:r w:rsidRPr="00CC0298">
        <w:rPr>
          <w:rFonts w:ascii="Adobe Garamond Pro" w:hAnsi="Adobe Garamond Pro"/>
          <w:i/>
          <w:sz w:val="18"/>
          <w:szCs w:val="18"/>
        </w:rPr>
        <w:t xml:space="preserve">infra </w:t>
      </w:r>
      <w:r w:rsidRPr="00CC0298">
        <w:rPr>
          <w:rFonts w:ascii="Adobe Garamond Pro" w:hAnsi="Adobe Garamond Pro"/>
          <w:sz w:val="18"/>
          <w:szCs w:val="18"/>
        </w:rPr>
        <w:t>ref. 89.), uz izuzetak da ne može zahtijevati od izdavatelja da objavljuje periodične financijske podatke češće nego na razini godišnjih financijskih izvještaja u skladu s čl. 4. te polugodišnjih financijskih izvještaja u skladu s čl. 5.“  Čl. 1. st. 3. (a) Revizijske direktive propisuje  da će: “izdavatelj javno objaviti svoja godišnja financijska izvješća najkasnije u roku od četiri mjeseca po završetku svake financijske godine i dužan je osigurati da ista ostanu javno objavljena najmanje 10 godina.“ Glede polugodišnjih financijskih izvještaja, izdavatelj dionica ili obveznica javno će objaviti polugodišnja financijska izvješća koja pokrivaju prvih šest mjeseci financijske godine čim prije nakon kraja mjerodavnog perioda, a najkasnije u roku od tri mjeseca. Izdavatelj će osigurati da polugodišnja financijska izvješća ostanu dostupna javnosti najmanje 10 godina.“</w:t>
      </w:r>
    </w:p>
  </w:footnote>
  <w:footnote w:id="8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Prema čl. 1. st. 2. (b) iznimka vrijedi pod uvjetom da objava dodatnih financijskih izvještaja ne predstavlja nerazmjeran financijski teret za izdavatelja u dotičnoj državi članici, posebice za male i srednje izdavatelje, te da sadržaj dodatnih financijskih izvještaja  je razmjeran čimbenicima koji su od utjecaja za donošenje investicijske odluke u dotičnoj državi članici.“  O dostupnosti financijskih izvješća društava temeljem istraživanja provedenog na uzorku od 167 društava v. u Horak Hana; Dumančić, Kosjenka, </w:t>
      </w:r>
      <w:r w:rsidRPr="00CC0298">
        <w:rPr>
          <w:rFonts w:ascii="Adobe Garamond Pro" w:hAnsi="Adobe Garamond Pro"/>
          <w:i/>
          <w:sz w:val="18"/>
          <w:szCs w:val="18"/>
        </w:rPr>
        <w:t>Jačanje prava dioničara i pravo dioničara na informacije</w:t>
      </w:r>
      <w:r w:rsidRPr="00CC0298">
        <w:rPr>
          <w:rFonts w:ascii="Adobe Garamond Pro" w:hAnsi="Adobe Garamond Pro"/>
          <w:sz w:val="18"/>
          <w:szCs w:val="18"/>
        </w:rPr>
        <w:t>, Pravni vjesnik, 27:3-4/2011.</w:t>
      </w:r>
    </w:p>
  </w:footnote>
  <w:footnote w:id="8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Npr. izvedenice. Premda postojeća Direktiva predviđa pragove udjela imatelja članskih prava koje treba doseći da bi nastala obveza notifikacije, iste se odnose na udjele dionica, dok drugi financijski instrumenti kojima se </w:t>
      </w:r>
      <w:r w:rsidRPr="00CC0298">
        <w:rPr>
          <w:rFonts w:ascii="Adobe Garamond Pro" w:hAnsi="Adobe Garamond Pro"/>
          <w:i/>
          <w:sz w:val="18"/>
          <w:szCs w:val="18"/>
        </w:rPr>
        <w:t xml:space="preserve">de facto </w:t>
      </w:r>
      <w:r w:rsidRPr="00CC0298">
        <w:rPr>
          <w:rFonts w:ascii="Adobe Garamond Pro" w:hAnsi="Adobe Garamond Pro"/>
          <w:sz w:val="18"/>
          <w:szCs w:val="18"/>
        </w:rPr>
        <w:t>postiže isti gospodarski učinak tom obvezom nisu obuhvaćeni. Stjecanje takvih instrumenata može dovesti do stjecanja tajnog utjecaja u društvu, što ne samo da može dovesti do zlouporaba tržišta već i nepovjerenja tržišta u društvo. Da bi se tomu doskočilo, Revizijska direktiva sada zahtijeva  od nositelja drugih prava koja mogu dati određeni gospodarski utjecaj u društvu da učine vidljivim držanje većeg broja takvih instrumenata u društvima koje djeluju na tržištu s učinkom jednakim držanju članskih prava. Time se struktura korporativnog članstva čini transparentnijom. Vidi čl. 1. st. 9.a. Revizijske direktive.</w:t>
      </w:r>
    </w:p>
  </w:footnote>
  <w:footnote w:id="8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recital 11-12. Revizijske direktive. Vidi čl. 1. st. 9-10. Revizijske direktive.  Revizijska direktiva ima za cilj harmonizirati pravila o velikim holdinzima glasačkih prava na način da se za doseg pragova notifikacije više ne zbrajaju samo prava koja proizlaze iz klasičnih instrumenata poput dionica već se, upravo zbog činjenice da i drugi instrumenti mogu biti od značajnog gospodarskog utjecaja na samo društvo, ista zbrajaju sa holdinzima drugih gospodarski utjecajnih financijskih instrumenata. I na ovaj način pokušava se doskočiti mogućim zlouporabama te se zahvaćaju i oni nositelji prava koji su dosada uživali „imunitet“ od primjene pravila Direktive o transparentnosti.</w:t>
      </w:r>
    </w:p>
  </w:footnote>
  <w:footnote w:id="9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O različitim tehnikama harmonizacije europskog privatnog prava v. više u Josipović, Tatjana, </w:t>
      </w:r>
      <w:r w:rsidRPr="00CC0298">
        <w:rPr>
          <w:rFonts w:ascii="Adobe Garamond Pro" w:hAnsi="Adobe Garamond Pro"/>
          <w:i/>
          <w:sz w:val="18"/>
          <w:szCs w:val="18"/>
        </w:rPr>
        <w:t>Izazovi harmonizacije građanskog prava putem direktiva</w:t>
      </w:r>
      <w:r w:rsidRPr="00CC0298">
        <w:rPr>
          <w:rFonts w:ascii="Adobe Garamond Pro" w:hAnsi="Adobe Garamond Pro"/>
          <w:sz w:val="18"/>
          <w:szCs w:val="18"/>
        </w:rPr>
        <w:t xml:space="preserve"> u: Forum za građansko pravo za jugoistočnu Evropu. Izbor radova i analiza. Prva regionalna konferencija, Cavtat, 2010. Knjiga 1., Beograd, 2010., str. 291-306.</w:t>
      </w:r>
    </w:p>
  </w:footnote>
  <w:footnote w:id="9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w:t>
      </w:r>
      <w:r w:rsidRPr="00CC0298">
        <w:rPr>
          <w:rFonts w:ascii="Adobe Garamond Pro" w:hAnsi="Adobe Garamond Pro"/>
          <w:i/>
          <w:sz w:val="18"/>
          <w:szCs w:val="18"/>
        </w:rPr>
        <w:t>European Electronic Access Point.</w:t>
      </w:r>
      <w:r w:rsidRPr="00CC0298">
        <w:rPr>
          <w:rFonts w:ascii="Adobe Garamond Pro" w:hAnsi="Adobe Garamond Pro"/>
          <w:sz w:val="18"/>
          <w:szCs w:val="18"/>
        </w:rPr>
        <w:t xml:space="preserve"> Vidi recital 15. Revizijske direktive. Prema čl. 21a. Revizijske direktive radilo bi se u biti o web portalu koji bi trebao biti uspostavljen do 1. siječnja 2018., a koji bi međusobno povezao nacionalne službeno imenovane repozitorije podataka. Sastojao bi se od nacionalnih repozitorija i web portala, a države članice su dužne osigurati pristup središnjim bazama podataka putem Europske ulazne točke.</w:t>
      </w:r>
    </w:p>
  </w:footnote>
  <w:footnote w:id="9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Npr. FINA je službeni repozitorij podataka o financijskom stanju trgovačkih društava u RH dostupnih temeljem godišnjih financijskih izvještaja i konsolidiranih financijskih izvještaja, koja su društva dužna dostavljati, a FINA dužna omogućiti pristup putem sudskog registra. Registar godišnjih financijskih izvještaja dostupan na http://rgfi.fina.hr/IzvjestajiRGFI.web/main/home.jsp. </w:t>
      </w:r>
    </w:p>
  </w:footnote>
  <w:footnote w:id="9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U tom smislu v. relativno recentnu presudu Suda C-418/11, </w:t>
      </w:r>
      <w:r w:rsidRPr="00CC0298">
        <w:rPr>
          <w:rFonts w:ascii="Adobe Garamond Pro" w:hAnsi="Adobe Garamond Pro"/>
          <w:i/>
          <w:sz w:val="18"/>
          <w:szCs w:val="18"/>
        </w:rPr>
        <w:t>Texdata Software GmbH</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2013</w:t>
      </w:r>
      <w:r w:rsidRPr="00CC0298">
        <w:rPr>
          <w:rFonts w:ascii="Adobe Garamond Pro" w:hAnsi="Adobe Garamond Pro"/>
          <w:sz w:val="18"/>
          <w:szCs w:val="18"/>
        </w:rPr>
        <w:sym w:font="Symbol" w:char="F05D"/>
      </w:r>
      <w:r w:rsidRPr="00CC0298">
        <w:rPr>
          <w:rFonts w:ascii="Adobe Garamond Pro" w:hAnsi="Adobe Garamond Pro"/>
          <w:sz w:val="18"/>
          <w:szCs w:val="18"/>
        </w:rPr>
        <w:t>, OJ C 344 str. 10.</w:t>
      </w:r>
    </w:p>
  </w:footnote>
  <w:footnote w:id="9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recital 18. Revizijske direktive. Vidi čl. 1. st. 1. (a)(i) Revizijske direktive.</w:t>
      </w:r>
    </w:p>
  </w:footnote>
  <w:footnote w:id="9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recital 18. Revizijske direktive. Čl. 1. st. 1. (a)(i) Revizijske direktive propisuje kako pojam „izdavatelj“ podrazumijeva fizičku ili pravnu osobu privatnog ili javnog prava, uključujući i državu, čijim se dionicama trguje na uređenom tržištu. </w:t>
      </w:r>
    </w:p>
  </w:footnote>
  <w:footnote w:id="9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Engl. </w:t>
      </w:r>
      <w:r w:rsidRPr="00CC0298">
        <w:rPr>
          <w:rFonts w:ascii="Adobe Garamond Pro" w:hAnsi="Adobe Garamond Pro"/>
          <w:i/>
          <w:sz w:val="18"/>
          <w:szCs w:val="18"/>
        </w:rPr>
        <w:t>home state</w:t>
      </w:r>
      <w:r w:rsidRPr="00CC0298">
        <w:rPr>
          <w:rFonts w:ascii="Adobe Garamond Pro" w:hAnsi="Adobe Garamond Pro"/>
          <w:sz w:val="18"/>
          <w:szCs w:val="18"/>
        </w:rPr>
        <w:t>.</w:t>
      </w:r>
    </w:p>
  </w:footnote>
  <w:footnote w:id="9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Recital 20. Revizijske direktive. Vidi i čl. 1. st. 1. (a)(ii) Revizijske direktive. Treba napomenuti da se ovdje misli na dužničke vrijednosne papire (npr. obveznice) koje glase na iznos manji od 1000 EUR ili dionice. Ako je pak riječ o izdavatelju dužničkih vrijednosnih papira koje glase na iznos od 1000 EUR ili više, izbor države pripadnosti u kojoj ima registrirano sjedište vrijedi tri godine. Ako se u navedenom periodu njegovim vrijednosnim papirima više ne trguje na uređenom tržištu „države članice pripadnosti“, tada bi prije isteka trogodišnjeg roka trebao izabrati neku od drugih država članica kao novu „ državu članicu pripadnosti“ (čl. 1. st. 1. (ii) Revizijske direktive).  Isto bi vrijedilo i za izdavatelje iz trećih zemalja  dužničkih vrijednosnih papira  koje glase na iznos manji od 1000 EUR te za dionice kojima se više ne trguje na uređenom tržištu „države članice pripadnosti“ izdavatelja, ali da na nekom od tržišta drugih država članica EU. Izdavatelj je dužan obavijest o izabranoj „državi članici pripadnosti“ priopćiti nadležnoj državi članici svog sjedišta, nadležnom tijelu „države članice pripadnosti“ te nadležnim tijelima svih drugih država članica EU u kojima se trguje njegovim vrijednosnim papirima (čl. 1. st. 1. (iv) Revizijske direktive).</w:t>
      </w:r>
    </w:p>
  </w:footnote>
  <w:footnote w:id="9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Recital 20. Revizijske direktive. Čl. 1. st. 1. (iv) Revizijske direktive.</w:t>
      </w:r>
    </w:p>
  </w:footnote>
  <w:footnote w:id="9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recital 23. Direktive.</w:t>
      </w:r>
    </w:p>
  </w:footnote>
  <w:footnote w:id="10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Tako se napuštaju odredbe o zahtjevima transparentnosti kod izdavanja novih zajmova iz Direktive o transparentnosti budući da se isti djelomično preklapaju sa zahtjevima iz Direktive o zlouporabi tržišta. Napušta se i zahtjev u pogledu dostave podataka o izmjenama osnivačkog akta društva nadležnim tijelima „države  članice pripadnosti“ jer se isti preklapa sa sličnim zahtjevom iz Direktive o zaštiti dioničara.</w:t>
      </w:r>
    </w:p>
  </w:footnote>
  <w:footnote w:id="10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Recital 26. Revizijske direktive.</w:t>
      </w:r>
    </w:p>
  </w:footnote>
  <w:footnote w:id="10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Tzv. </w:t>
      </w:r>
      <w:r w:rsidRPr="00CC0298">
        <w:rPr>
          <w:rFonts w:ascii="Adobe Garamond Pro" w:hAnsi="Adobe Garamond Pro"/>
          <w:i/>
          <w:sz w:val="18"/>
          <w:szCs w:val="18"/>
        </w:rPr>
        <w:t>country-by-country reporting</w:t>
      </w:r>
      <w:r w:rsidRPr="00CC0298">
        <w:rPr>
          <w:rFonts w:ascii="Adobe Garamond Pro" w:hAnsi="Adobe Garamond Pro"/>
          <w:sz w:val="18"/>
          <w:szCs w:val="18"/>
        </w:rPr>
        <w:t xml:space="preserve"> – CBCR. Prema čl. 1. st. 5. Revizijske direktive, obveza obuhvaća sva trgovačka društva čiji su vrijednosni papiri uvršteni na tržište EU pa i u slučaju da nisu registrirana u Europskom gospodarskom prostoru te ona koja su osnovana u trećim državama.</w:t>
      </w:r>
    </w:p>
  </w:footnote>
  <w:footnote w:id="10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Vidi prijedlog EK o unapređenju poslovne transparentnosti glede socijalnih pitanja i pitanja zaštite okoliša od 16. travnja 2013 (IP/13/330). U veljači 2013. EP usvojio je dvije rezolucije („Korporativna društvena odgovornost: pouzdano, transparentno i odgovorno poslovno ponašanje i održivi razvoj“ i „Korporativna društvena odgovornost: promoviranje društvenih interesa i put ka održivom i uključivom oporavku“). Svemu navedenom su prethodila: Priopćenje o Zakonu o unutarnjem tržištu u travnju 2011. (IP/117/469), Priopćenje „Nova Strategija 2011-2014 u pogledu korporativne društvene odgovornosti“ iz listopada 2011 (IP/11/1238) te u Akcijskom planu o pravu društava i korporativnom upravljanju iz prosinca 2012. (IP/12/1340).  </w:t>
      </w:r>
    </w:p>
  </w:footnote>
  <w:footnote w:id="10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Europska komisija: Izjava 14/29. Objava ne-financijskih podataka od strane određenih velikih trgovačkih društava: Europski parlament i Vijeće postigli dogovor o prijedlogu Komisije  za unapređenje transparentnosti, Bruxelles, 26. veljače 2014. </w:t>
      </w:r>
    </w:p>
  </w:footnote>
  <w:footnote w:id="10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U travnju 2013. Komisija je uputila prijedlog Direktive Europskog parlamenta i Vijeća kojom se dopunjuje Direktiva Vijeća 78/660/EEZ i 83/349/EEZ u pogledu objave ne-financijskih podataka i podataka o raznovrsnosti od strane određenih velikih trgovačkih društava i grupa, COM/2013/0207 final-2013/0110 (COD). Dostupno na http://ec.europa.eu/internal_market/accounting/non-financial_reporting/index_en.htm.[9.4.2014.]. Usvajanje predložene direktive očekuje se u travnju ove godine. Potreba za usvajanjem nove Direktive koja će biti svojevrsni </w:t>
      </w:r>
      <w:r w:rsidRPr="00CC0298">
        <w:rPr>
          <w:rFonts w:ascii="Adobe Garamond Pro" w:hAnsi="Adobe Garamond Pro"/>
          <w:i/>
          <w:sz w:val="18"/>
          <w:szCs w:val="18"/>
        </w:rPr>
        <w:t>lex specialis</w:t>
      </w:r>
      <w:r w:rsidRPr="00CC0298">
        <w:rPr>
          <w:rFonts w:ascii="Adobe Garamond Pro" w:hAnsi="Adobe Garamond Pro"/>
          <w:sz w:val="18"/>
          <w:szCs w:val="18"/>
        </w:rPr>
        <w:t xml:space="preserve"> za pitanja transparentnosti nefinancijskih podataka proizlazi iz činjenice da, prema podacima EK koje je iznijela u svojoj Izjavi, postojeće sekundarno zakonodavstvo nije polučilo dobre rezultate kada je u pitanju transparentnost ne-financijskih podataka. Radi se o Direktivi 2013/34/EU o godišnjim financijskim izvješćima, konsolidiranim financijskim izvješćima i povezanim izvješćima određenih vrsta poduzetnika.</w:t>
      </w:r>
    </w:p>
  </w:footnote>
  <w:footnote w:id="10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Nova pravila trebala bi dopuniti postojeća zakonodavna rješenja samo u odnosu na trgovačka društva sa više od 500 zaposlenih (trgovačka društva čiji su vrijednosni papiri uvršteni na uređeno tržište te financijske institucije poput banaka i osiguravajućih društava) jer ista to mogu financijski podnijeti. Takvih, prema procjenama EK, ima oko 6000 na razini EU. Glede malih i srednjih poduzetnika, ocijenilo se da bi nova pravila imala prouzročila više troškova nego koristi. Treba uzeti kako je to prihvatljivo i zbog toga što velika trgovačka društva sa velikim brojem zaposlenih upravo trebaju imati razvijenu i djelotvornu politiku zaštite socijalnih prava, kod takvih društava pitanje različitosti svake vrste je izraženije, a i veće su mogućnosti utjecaja na okoliš. Kod malih obiteljskih trgovačkih društava u velikom broju slučajeva naprijed navedeno neće postojati, a ako i postoji, pitanje je koliko su ti podaci relevantni za stvaranje šire slike o primjeni politika zaštite okoliša, radnika ili različitosti na nekom promatranom tržištu. Uloga, gospodarski značaj, veličina i količina zaposlenih u velikim trgovačkim društvima, koja imaju nemali utjecaj na društvo u cjelini, čine opravdanim stavljanje  „pod lupu“ proširenih zahtjeva za transparentnošću na ovom području.</w:t>
      </w:r>
    </w:p>
  </w:footnote>
  <w:footnote w:id="10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U Izjavi se posebno spominje upravo raznovrsnost u sastavu upravljačkih tijela trgovačkih društava, pri čemu je naglasak na transparentnosti politike raznovrsnosti, dakle, stavova  mjera koje društvo zauzima i primjenjuje u pogledu dobi, spola, obrazovanja, profesionalnog iskustva te ciljeva takve politike, načina njene implementacije i rezultata nastalih njenom primjenom. Za moguću definiciju pojma ESG (Environmental, Social and Governance Disclosure) v. </w:t>
      </w:r>
      <w:r w:rsidRPr="00CC0298">
        <w:rPr>
          <w:rFonts w:ascii="Adobe Garamond Pro" w:hAnsi="Adobe Garamond Pro"/>
          <w:i/>
          <w:sz w:val="18"/>
          <w:szCs w:val="18"/>
        </w:rPr>
        <w:t xml:space="preserve">inter alia </w:t>
      </w:r>
      <w:r w:rsidRPr="00CC0298">
        <w:rPr>
          <w:rFonts w:ascii="Adobe Garamond Pro" w:hAnsi="Adobe Garamond Pro"/>
          <w:sz w:val="18"/>
          <w:szCs w:val="18"/>
        </w:rPr>
        <w:t xml:space="preserve">Monciardini, D., </w:t>
      </w:r>
      <w:r w:rsidRPr="00CC0298">
        <w:rPr>
          <w:rFonts w:ascii="Adobe Garamond Pro" w:hAnsi="Adobe Garamond Pro"/>
          <w:i/>
          <w:sz w:val="18"/>
          <w:szCs w:val="18"/>
        </w:rPr>
        <w:t>Good Business? The struggles for regulating ESG disclosure, Onati Socio-legal series</w:t>
      </w:r>
      <w:r w:rsidRPr="00CC0298">
        <w:rPr>
          <w:rFonts w:ascii="Adobe Garamond Pro" w:hAnsi="Adobe Garamond Pro"/>
          <w:sz w:val="18"/>
          <w:szCs w:val="18"/>
        </w:rPr>
        <w:t xml:space="preserve"> </w:t>
      </w:r>
      <w:r w:rsidRPr="00CC0298">
        <w:rPr>
          <w:rFonts w:ascii="Adobe Garamond Pro" w:hAnsi="Adobe Garamond Pro"/>
          <w:sz w:val="18"/>
          <w:szCs w:val="18"/>
        </w:rPr>
        <w:sym w:font="Symbol" w:char="F05B"/>
      </w:r>
      <w:r w:rsidRPr="00CC0298">
        <w:rPr>
          <w:rFonts w:ascii="Adobe Garamond Pro" w:hAnsi="Adobe Garamond Pro"/>
          <w:sz w:val="18"/>
          <w:szCs w:val="18"/>
        </w:rPr>
        <w:t>online</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str. 4., dostupan na http://ssrn.com/abstract=2041918, </w:t>
      </w:r>
      <w:r w:rsidRPr="00CC0298">
        <w:rPr>
          <w:rFonts w:ascii="Adobe Garamond Pro" w:hAnsi="Adobe Garamond Pro"/>
          <w:sz w:val="18"/>
          <w:szCs w:val="18"/>
        </w:rPr>
        <w:sym w:font="Symbol" w:char="F05B"/>
      </w:r>
      <w:r w:rsidRPr="00CC0298">
        <w:rPr>
          <w:rFonts w:ascii="Adobe Garamond Pro" w:hAnsi="Adobe Garamond Pro"/>
          <w:sz w:val="18"/>
          <w:szCs w:val="18"/>
        </w:rPr>
        <w:t>14.3.2014.</w:t>
      </w:r>
      <w:r w:rsidRPr="00CC0298">
        <w:rPr>
          <w:rFonts w:ascii="Adobe Garamond Pro" w:hAnsi="Adobe Garamond Pro"/>
          <w:sz w:val="18"/>
          <w:szCs w:val="18"/>
        </w:rPr>
        <w:sym w:font="Symbol" w:char="F05D"/>
      </w:r>
      <w:r w:rsidRPr="00CC0298">
        <w:rPr>
          <w:rFonts w:ascii="Adobe Garamond Pro" w:hAnsi="Adobe Garamond Pro"/>
          <w:sz w:val="18"/>
          <w:szCs w:val="18"/>
        </w:rPr>
        <w:t>.</w:t>
      </w:r>
    </w:p>
  </w:footnote>
  <w:footnote w:id="10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Povijesno gledano, korporativno upravljanje je primarno bilo usmjereno na unutarnje djelovanje društva, a društveno odgovorno poslovanje  na odnos društva prema sredini u kojoj posluje, npr. okoliš. No, s vremenom se ta dva aspekta djelovanja društava povezuju, odnosno ideja društveno odgovornog upravljanja sve se više integrira u kodekse korporativnog upravljanja te su vanjska, socijalna pitanja poput različitosti, zaštite radnika, rodne ravnopravnosti, doprinosa očuvanju okoliša, borbe protiv korupcije postala sastavni dio korporativnog upravljanja. Ono što povezuje društveno odgovorno upravljanje te klasično korporativno upravljanje jest načelo transparentnosti, samoregulacija i dobrovoljnost. O evoluciji društveno odgovornog poslovanja i integraciji sa korporativnim upravljanjem v. Gergely Szabó, Dániel, </w:t>
      </w:r>
      <w:r w:rsidRPr="00CC0298">
        <w:rPr>
          <w:rFonts w:ascii="Adobe Garamond Pro" w:hAnsi="Adobe Garamond Pro"/>
          <w:i/>
          <w:sz w:val="18"/>
          <w:szCs w:val="18"/>
        </w:rPr>
        <w:t>Disclosure of material CSR information in the periodic reports – comparison of the mandatory CSR disclosure systems for listed companies in the EU and the US</w:t>
      </w:r>
      <w:r w:rsidRPr="00CC0298">
        <w:rPr>
          <w:rFonts w:ascii="Adobe Garamond Pro" w:hAnsi="Adobe Garamond Pro"/>
          <w:sz w:val="18"/>
          <w:szCs w:val="18"/>
        </w:rPr>
        <w:t xml:space="preserve">, LSN Research Paper Series, No. 10-20, str. 3-7, dostupno na: http://ssrn.com/abstract=1927232, </w:t>
      </w:r>
      <w:r w:rsidRPr="00CC0298">
        <w:rPr>
          <w:rFonts w:ascii="Adobe Garamond Pro" w:hAnsi="Adobe Garamond Pro"/>
          <w:sz w:val="18"/>
          <w:szCs w:val="18"/>
        </w:rPr>
        <w:sym w:font="Symbol" w:char="F05B"/>
      </w:r>
      <w:r w:rsidRPr="00CC0298">
        <w:rPr>
          <w:rFonts w:ascii="Adobe Garamond Pro" w:hAnsi="Adobe Garamond Pro"/>
          <w:sz w:val="18"/>
          <w:szCs w:val="18"/>
        </w:rPr>
        <w:t>7.4.2014.</w:t>
      </w:r>
      <w:r w:rsidRPr="00CC0298">
        <w:rPr>
          <w:rFonts w:ascii="Adobe Garamond Pro" w:hAnsi="Adobe Garamond Pro"/>
          <w:sz w:val="18"/>
          <w:szCs w:val="18"/>
        </w:rPr>
        <w:sym w:font="Symbol" w:char="F05D"/>
      </w:r>
      <w:r w:rsidRPr="00CC0298">
        <w:rPr>
          <w:rFonts w:ascii="Adobe Garamond Pro" w:hAnsi="Adobe Garamond Pro"/>
          <w:sz w:val="18"/>
          <w:szCs w:val="18"/>
        </w:rPr>
        <w:t xml:space="preserve">. O podjelama korporativnog upravljanja na unutarnje i vanjsko te raznim modelima korporativnog upravljanja v. detaljno u Horak, Hana; Dumančić, Kosjenka; Pecotić Kaufman, Jasminka, </w:t>
      </w:r>
      <w:r w:rsidRPr="00CC0298">
        <w:rPr>
          <w:rFonts w:ascii="Adobe Garamond Pro" w:hAnsi="Adobe Garamond Pro"/>
          <w:i/>
          <w:sz w:val="18"/>
          <w:szCs w:val="18"/>
        </w:rPr>
        <w:t>Uvod u europsko…</w:t>
      </w:r>
      <w:r w:rsidRPr="00CC0298">
        <w:rPr>
          <w:rFonts w:ascii="Adobe Garamond Pro" w:hAnsi="Adobe Garamond Pro"/>
          <w:sz w:val="18"/>
          <w:szCs w:val="18"/>
        </w:rPr>
        <w:t xml:space="preserve">, </w:t>
      </w:r>
      <w:r w:rsidRPr="00CC0298">
        <w:rPr>
          <w:rFonts w:ascii="Adobe Garamond Pro" w:hAnsi="Adobe Garamond Pro"/>
          <w:i/>
          <w:sz w:val="18"/>
          <w:szCs w:val="18"/>
        </w:rPr>
        <w:t>cit.</w:t>
      </w:r>
      <w:r w:rsidRPr="00CC0298">
        <w:rPr>
          <w:rFonts w:ascii="Adobe Garamond Pro" w:hAnsi="Adobe Garamond Pro"/>
          <w:sz w:val="18"/>
          <w:szCs w:val="18"/>
        </w:rPr>
        <w:t xml:space="preserve"> str. 39-84. </w:t>
      </w:r>
    </w:p>
  </w:footnote>
  <w:footnote w:id="10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Do sada, ovo načelo nije dobilo svoje mjesto u pravilima društveno odgovornog upravljanja. Tako, Gergely Szabó, </w:t>
      </w:r>
      <w:r w:rsidRPr="00CC0298">
        <w:rPr>
          <w:rFonts w:ascii="Adobe Garamond Pro" w:hAnsi="Adobe Garamond Pro"/>
          <w:i/>
          <w:sz w:val="18"/>
          <w:szCs w:val="18"/>
        </w:rPr>
        <w:t>ibid</w:t>
      </w:r>
      <w:r w:rsidRPr="00CC0298">
        <w:rPr>
          <w:rFonts w:ascii="Adobe Garamond Pro" w:hAnsi="Adobe Garamond Pro"/>
          <w:sz w:val="18"/>
          <w:szCs w:val="18"/>
        </w:rPr>
        <w:t xml:space="preserve">., str. 10. O budućnosti načela </w:t>
      </w:r>
      <w:r w:rsidRPr="00CC0298">
        <w:rPr>
          <w:rFonts w:ascii="Adobe Garamond Pro" w:hAnsi="Adobe Garamond Pro"/>
          <w:i/>
          <w:sz w:val="18"/>
          <w:szCs w:val="18"/>
        </w:rPr>
        <w:t>comply or explain</w:t>
      </w:r>
      <w:r w:rsidRPr="00CC0298">
        <w:rPr>
          <w:rFonts w:ascii="Adobe Garamond Pro" w:hAnsi="Adobe Garamond Pro"/>
          <w:sz w:val="18"/>
          <w:szCs w:val="18"/>
        </w:rPr>
        <w:t xml:space="preserve"> u području reguliranja izvještavanja o politici društveno odgovornog upravljanja v. </w:t>
      </w:r>
      <w:r w:rsidRPr="00CC0298">
        <w:rPr>
          <w:rFonts w:ascii="Adobe Garamond Pro" w:hAnsi="Adobe Garamond Pro"/>
          <w:i/>
          <w:sz w:val="18"/>
          <w:szCs w:val="18"/>
        </w:rPr>
        <w:t>ibid</w:t>
      </w:r>
      <w:r w:rsidRPr="00CC0298">
        <w:rPr>
          <w:rFonts w:ascii="Adobe Garamond Pro" w:hAnsi="Adobe Garamond Pro"/>
          <w:sz w:val="18"/>
          <w:szCs w:val="18"/>
        </w:rPr>
        <w:t>., str. 40-42.</w:t>
      </w:r>
    </w:p>
  </w:footnote>
  <w:footnote w:id="11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Po sadašnjem prijedlogu, trgovačka društva bi to činila na način kako smatraju najkorisnijim ili pak u posebnom izvještaju.</w:t>
      </w:r>
    </w:p>
  </w:footnote>
  <w:footnote w:id="11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Dopušta se upotreba nacionalnih, europskih i međunarodnih smjernica (npr. </w:t>
      </w:r>
      <w:r w:rsidRPr="00CC0298">
        <w:rPr>
          <w:rFonts w:ascii="Adobe Garamond Pro" w:hAnsi="Adobe Garamond Pro"/>
          <w:i/>
          <w:sz w:val="18"/>
          <w:szCs w:val="18"/>
        </w:rPr>
        <w:t>UN Global Compact</w:t>
      </w:r>
      <w:r w:rsidRPr="00CC0298">
        <w:rPr>
          <w:rFonts w:ascii="Adobe Garamond Pro" w:hAnsi="Adobe Garamond Pro"/>
          <w:sz w:val="18"/>
          <w:szCs w:val="18"/>
        </w:rPr>
        <w:t xml:space="preserve">, </w:t>
      </w:r>
      <w:r w:rsidRPr="00CC0298">
        <w:rPr>
          <w:rFonts w:ascii="Adobe Garamond Pro" w:hAnsi="Adobe Garamond Pro"/>
          <w:i/>
          <w:sz w:val="18"/>
          <w:szCs w:val="18"/>
        </w:rPr>
        <w:t>German Sustainability Code</w:t>
      </w:r>
      <w:r w:rsidRPr="00CC0298">
        <w:rPr>
          <w:rFonts w:ascii="Adobe Garamond Pro" w:hAnsi="Adobe Garamond Pro"/>
          <w:sz w:val="18"/>
          <w:szCs w:val="18"/>
        </w:rPr>
        <w:t>). No, sama EK bi trebala temeljem buduće Direktive razviti vlastite smjernice koje bi olakšale objavu takvih podataka.</w:t>
      </w:r>
    </w:p>
  </w:footnote>
  <w:footnote w:id="11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NN, 148/13. Zakon o sudskom registru (pročišćeni tekst, NN,1/95, 57/96, 1/98, 30/99, 45/99, 54/05, 40/07, 91/10, 90/11, 148/13). Dalje kao: ZSR.</w:t>
      </w:r>
    </w:p>
  </w:footnote>
  <w:footnote w:id="11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Tako treba izdvojiti da je uređen postupak brisanja subjekata upisa bez likvidacije po službenoj dužnosti u slučajevima kada gospodarski subjekti ne ispunjavaju svoje osnovne zakonske obveze, odnosno tri godine za redom nisu objavili svoja godišnja financijska izvješća kada je zakonom propisana obveza njihovog objavljivanja (čl. 70. ZSR), uvedeno je općenito navođenje skupina djelatnosti radi pojednostavnjenja postupka upisa predmeta poslovanja (čl. 51. st. 1. ZSR), proširenje opsega ovlasti sudskih savjetnika (čl. 12. st. 5. ZSR), uvođenjem instituta ovlaštenih registarskih referenata (čl. 12. a ZSR), uvedena su rješenja za postupanje suda u situaciji kada se nakon brisanja subjekta upisa pokaže da ono ima imovinu koju treba podijeliti (čl. 70. st. 17. ZSR), proširena uloga elektroničkih prijava u registarskim stvarima (čl. 39. ZSR).</w:t>
      </w:r>
    </w:p>
  </w:footnote>
  <w:footnote w:id="11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1. a. ZSR. Riječ je o Jedanaestoj direktivi Vijeća 89/666/EEZ od 21. prosinca 1989. o zahtjevima objavljivanja podataka u vezi s podružnicama koje su u nekoj državi članici otvorile određene vrste trgovačkih društava na koje se primjenjuje pravo druge države (OJ L 395, 30.12.1989),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(OJ L 258, 1.10.2009.), Direktiva 2012/30/EU Europskog parlamenta i Vijeća od 25. listopada 2012. o usklađivanju zaštitnih mjera koje, radi zaštite interesa članova i trećih osoba, države članice zahtijevaju od trgovačkih društava u smislu drugog stavka članka 54. Ugovora o funkcioniranju Europske unije, u pogledu osnivanja javnih društava s ograničenom odgovornošću i održavanja i promjene njihovog kapitala, s ciljem ujednačavanja tih zaštitnih mjera (OJ L 315, 14. 11. 2012.), i Direktiva Vijeća 2013/24/EU od 13 svibnja 2013. o prilagođavanju određenih direktiva u području trgovačkog prava radi pristupanja Republike Hrvatske (OJ L 158, 10. 6. 2013.).</w:t>
      </w:r>
    </w:p>
  </w:footnote>
  <w:footnote w:id="115">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Radi se o odredbama čl. 549. a do 549. k. ZTD, a koje su stupile na snagu danom pristupanja RH u EU.</w:t>
      </w:r>
    </w:p>
  </w:footnote>
  <w:footnote w:id="116">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O europskoj zadruzi v. detaljno u Horak, Hana; Dumančić, Kosjenka; Pecotić Kaufman, Jasminka, </w:t>
      </w:r>
      <w:r w:rsidRPr="00CC0298">
        <w:rPr>
          <w:rFonts w:ascii="Adobe Garamond Pro" w:hAnsi="Adobe Garamond Pro"/>
          <w:i/>
          <w:sz w:val="18"/>
          <w:szCs w:val="18"/>
        </w:rPr>
        <w:t>Uvod u europsko</w:t>
      </w:r>
      <w:r w:rsidRPr="00CC0298">
        <w:rPr>
          <w:rFonts w:ascii="Adobe Garamond Pro" w:hAnsi="Adobe Garamond Pro"/>
          <w:sz w:val="18"/>
          <w:szCs w:val="18"/>
        </w:rPr>
        <w:t xml:space="preserve">…, </w:t>
      </w:r>
      <w:r w:rsidRPr="00CC0298">
        <w:rPr>
          <w:rFonts w:ascii="Adobe Garamond Pro" w:hAnsi="Adobe Garamond Pro"/>
          <w:i/>
          <w:sz w:val="18"/>
          <w:szCs w:val="18"/>
        </w:rPr>
        <w:t>cit</w:t>
      </w:r>
      <w:r w:rsidRPr="00CC0298">
        <w:rPr>
          <w:rFonts w:ascii="Adobe Garamond Pro" w:hAnsi="Adobe Garamond Pro"/>
          <w:sz w:val="18"/>
          <w:szCs w:val="18"/>
        </w:rPr>
        <w:t>., str. 203-244.</w:t>
      </w:r>
    </w:p>
  </w:footnote>
  <w:footnote w:id="11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549. i i 549. j  ZTD.</w:t>
      </w:r>
    </w:p>
  </w:footnote>
  <w:footnote w:id="11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Prema čl. 74. a. st. 2. ZSR, domaći sud nadzire: 1. da je zajednički plan pripajanja najmanje mjesec dana prije sazivanja skupštine dostavljen u registar i uredno objavljen, osim ako je cijelo vrijeme bio dostupan na internetskoj stranici društva, 2. da je prijavu za upis pripajanja podnijela uprava, odnosno izvršni direktori pripojenog društva s potrebnim ispravama (zapisnikom glavne skupštine s odlukom o davanju suglasnosti na pripajanje te dokaz da traju postupci sudskog ispitivanja omjera zamjene dionica, odnosno poslovnih udjela i o ostvarivanju posebnih prava dioničara odnosno članova društva).</w:t>
      </w:r>
    </w:p>
  </w:footnote>
  <w:footnote w:id="11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74. a, st. 3. ZSR.</w:t>
      </w:r>
    </w:p>
  </w:footnote>
  <w:footnote w:id="120">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74. a, st. 7. ZSR propisuje: „Nakon što od nadležnog tijela u državi u kojoj je registrirano sjedište društva preuzimatelja primi obavijest da su nastupile pravne posljedice pripajanja, registarski sud bez odgađanja po službenoj dužnosti upisuje u registar zabilježbu kada je pripajanje upisano i kod kojeg nadležnog tijela sjedišta društva preuzimatelja (…).“</w:t>
      </w:r>
    </w:p>
  </w:footnote>
  <w:footnote w:id="121">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74. a, st. 4. ZSR u objavi upisa pripajanja registarski sud mora navesti: da traju postupci sudskog ispitivanja zamjene dionica, odnosno poslovnih djela i podatke  ostvarivanju posebnih prava dioničara, odnosno članova društva te da će pripajanje biti valjano tek uz ispunjenje uvjeta koje propisuje pravo države preuzimatelja. Prema čl. 74. a, st. 5. ZSR, objava upisa pripajanja smatra se potvrdom da su valjano i i potpunosti obavljene sve potrebne radnje u postupku pripajanja pripojenog društva sa sjedištem u RH. Tu potvrdu pripojeno društvo, sukladno članku 74. a, st. 6. ZSR mora najkasnije u roku od 6 mjeseci dostaviti nadležnom tijelu u državi registriranog sjedišta društva preuzimatelja.</w:t>
      </w:r>
    </w:p>
  </w:footnote>
  <w:footnote w:id="122">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74. b. ZSR. Pritom osobito mora voditi računa o da su društva koja sudjeluju u pripajanju valjano usvojila zajednički plan pripajanja te da su uređena pitanja suodlučivanja zaposlenih.</w:t>
      </w:r>
    </w:p>
  </w:footnote>
  <w:footnote w:id="123">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Prema čl. 74. b., st. 2. ZSR, prijavu za upis pripajanja podnosi uprava društva, odnosno izvršni direktori i predsjednik nadzornog odbora ako društvo ima taj organ, a prijavi se prema čl. 74. st. 3. ZSR-a moraju priložiti: 1. zajednički plan pripajanja, potvrde nadležnog tijela u državi u kojoj je registrirano sjedište društva koje se pripaja, zapisnik glavne skupštine s odlukom o davanju suglasnosti na pripajanje, izvješće o pripajanju s izvješćem radnika, ako su ga radnici ili njihovi predstavnici dali te izvadak ili potvrdu nadležnog tijela o tvrtki, pravnom obliku i broju pod kojim se u očevidniku vodi pripojeno društvo.</w:t>
      </w:r>
    </w:p>
  </w:footnote>
  <w:footnote w:id="124">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74. b. ZSR. </w:t>
      </w:r>
    </w:p>
  </w:footnote>
  <w:footnote w:id="125">
    <w:p w:rsidR="00CC0298" w:rsidRPr="00CC0298" w:rsidRDefault="00CC0298" w:rsidP="00CC0298">
      <w:pPr>
        <w:pStyle w:val="FootnoteText"/>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Zakon o uvođenju europske zadruge – Societas Cooperativa Europea (SCE)(NN, 63/2008). Dalje kao: Zakon o SCE.</w:t>
      </w:r>
    </w:p>
  </w:footnote>
  <w:footnote w:id="126">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Čl. 35. b. ZSR.</w:t>
      </w:r>
    </w:p>
  </w:footnote>
  <w:footnote w:id="127">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Riječ je o općenitim podacima iz čl. 24. ZSR („podaci koji se upisuju u registar“), imenu i prezimenu, prebivalištu, OIB-u upravitelja zadruge, i njegovim ovlastima u zastupanju, imenima i prezimenima, prebivalištu i OIB-u članova nadzornog odbora, ako ga zadruga ima, odgovornosti zadrugara, datumu osnivačke skupštine i odluke o usvajanju pravila zadruge, izmjeni upisanih podataka,u slučaju promjene sjedišta u RH dosadašnja tvrtka, dosadašnje sjedište, naziv registra u kojem se europska zadruga vodila i dosadašnji broj upisa u tom registru, namjeravana promjena sjedišta u drugu državu članicu te za članove organa upravljanja odgovarajuća funkcija.</w:t>
      </w:r>
    </w:p>
  </w:footnote>
  <w:footnote w:id="128">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Empirijska istraživanja provedena kako bi se dokazala teza da je implementacijom Direktive o transparentnosti i Direktive o zlouporabi položaja došlo do povećanja likvidnosti na tržištima kapitala pokazala su da države članice koje su i do implementacije dviju direktiva imale efikasnu provedbu prava i nakon tog trenutka imaju višu razinu likvidnosti. Razlog navedenog leži u činjenici da države koje su inače efikasnije u provedbi prava takve ostaju i kada je u pitanju provedba ovih dviju direktiva. Države koje su u prošlosti bile manje efikasne (zbog nedostatka sredstava, trome birokracije, političkih pritisaka </w:t>
      </w:r>
      <w:r w:rsidRPr="00CC0298">
        <w:rPr>
          <w:rFonts w:ascii="Adobe Garamond Pro" w:hAnsi="Adobe Garamond Pro"/>
          <w:i/>
          <w:sz w:val="18"/>
          <w:szCs w:val="18"/>
        </w:rPr>
        <w:t>etc</w:t>
      </w:r>
      <w:r w:rsidRPr="00CC0298">
        <w:rPr>
          <w:rFonts w:ascii="Adobe Garamond Pro" w:hAnsi="Adobe Garamond Pro"/>
          <w:sz w:val="18"/>
          <w:szCs w:val="18"/>
        </w:rPr>
        <w:t xml:space="preserve">.) glede provedbe prava, pokazuju manju efikasnost i kada je u pitanju implementacija ovih dviju direktiva. Takvi rezultati zapravo pokazuju kako nakon harmonizacije zapravo pravni poreci ne samo da ne konvergiraju već se još i više udaljuju. O ovoj ekonomskoj analizi učinaka implementacije navedenih direktiva v. detaljno u Christensen, </w:t>
      </w:r>
      <w:r w:rsidRPr="00CC0298">
        <w:rPr>
          <w:rFonts w:ascii="Adobe Garamond Pro" w:hAnsi="Adobe Garamond Pro"/>
          <w:i/>
          <w:sz w:val="18"/>
          <w:szCs w:val="18"/>
        </w:rPr>
        <w:t>op. cit</w:t>
      </w:r>
      <w:r w:rsidRPr="00CC0298">
        <w:rPr>
          <w:rFonts w:ascii="Adobe Garamond Pro" w:hAnsi="Adobe Garamond Pro"/>
          <w:sz w:val="18"/>
          <w:szCs w:val="18"/>
        </w:rPr>
        <w:t>. (ref. 30), str. 6, te Appendix B, tablica 4. istog rada.</w:t>
      </w:r>
    </w:p>
  </w:footnote>
  <w:footnote w:id="129">
    <w:p w:rsidR="00CC0298" w:rsidRPr="00CC0298" w:rsidRDefault="00CC0298" w:rsidP="00CC0298">
      <w:pPr>
        <w:pStyle w:val="FootnoteText"/>
        <w:jc w:val="both"/>
        <w:rPr>
          <w:rFonts w:ascii="Adobe Garamond Pro" w:hAnsi="Adobe Garamond Pro"/>
          <w:sz w:val="18"/>
          <w:szCs w:val="18"/>
        </w:rPr>
      </w:pPr>
      <w:r w:rsidRPr="00CC0298">
        <w:rPr>
          <w:rStyle w:val="FootnoteReference"/>
          <w:rFonts w:ascii="Adobe Garamond Pro" w:hAnsi="Adobe Garamond Pro"/>
          <w:sz w:val="18"/>
          <w:szCs w:val="18"/>
        </w:rPr>
        <w:footnoteRef/>
      </w:r>
      <w:r w:rsidRPr="00CC0298">
        <w:rPr>
          <w:rFonts w:ascii="Adobe Garamond Pro" w:hAnsi="Adobe Garamond Pro"/>
          <w:sz w:val="18"/>
          <w:szCs w:val="18"/>
        </w:rPr>
        <w:t xml:space="preserve"> O implementaciji načela transparentnosti u pravu RH v. Horak; Dumančić, </w:t>
      </w:r>
      <w:r w:rsidRPr="00CC0298">
        <w:rPr>
          <w:rFonts w:ascii="Adobe Garamond Pro" w:hAnsi="Adobe Garamond Pro"/>
          <w:i/>
          <w:sz w:val="18"/>
          <w:szCs w:val="18"/>
        </w:rPr>
        <w:t>Harmonisation of the Croatian Company Law</w:t>
      </w:r>
      <w:r w:rsidRPr="00CC0298">
        <w:rPr>
          <w:rFonts w:ascii="Adobe Garamond Pro" w:hAnsi="Adobe Garamond Pro"/>
          <w:sz w:val="18"/>
          <w:szCs w:val="18"/>
        </w:rPr>
        <w:t xml:space="preserve">…, </w:t>
      </w:r>
      <w:r w:rsidRPr="00CC0298">
        <w:rPr>
          <w:rFonts w:ascii="Adobe Garamond Pro" w:hAnsi="Adobe Garamond Pro"/>
          <w:i/>
          <w:sz w:val="18"/>
          <w:szCs w:val="18"/>
        </w:rPr>
        <w:t>cit</w:t>
      </w:r>
      <w:r w:rsidRPr="00CC0298">
        <w:rPr>
          <w:rFonts w:ascii="Adobe Garamond Pro" w:hAnsi="Adobe Garamond Pro"/>
          <w:sz w:val="18"/>
          <w:szCs w:val="18"/>
        </w:rPr>
        <w:t xml:space="preserve">., str. 16-18 te kod Gažić, </w:t>
      </w:r>
      <w:r w:rsidRPr="00CC0298">
        <w:rPr>
          <w:rFonts w:ascii="Adobe Garamond Pro" w:hAnsi="Adobe Garamond Pro"/>
          <w:i/>
          <w:sz w:val="18"/>
          <w:szCs w:val="18"/>
        </w:rPr>
        <w:t>op. cit</w:t>
      </w:r>
      <w:r w:rsidRPr="00CC0298">
        <w:rPr>
          <w:rFonts w:ascii="Adobe Garamond Pro" w:hAnsi="Adobe Garamond Pro"/>
          <w:sz w:val="18"/>
          <w:szCs w:val="18"/>
        </w:rPr>
        <w:t>. (ref. 5), str. 46-50.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06E3A" w:rsidRDefault="004F0F91" w:rsidP="004F0F91">
    <w:pPr>
      <w:autoSpaceDE w:val="0"/>
      <w:autoSpaceDN w:val="0"/>
      <w:adjustRightInd w:val="0"/>
      <w:spacing w:after="0" w:line="240" w:lineRule="auto"/>
      <w:rPr>
        <w:rFonts w:ascii="Adobe Garamond Pro" w:eastAsia="Times New Roman" w:hAnsi="Adobe Garamond Pro" w:cs="Garamond"/>
        <w:b/>
        <w:color w:val="000000"/>
        <w:lang w:val="bs-Latn-BA"/>
      </w:rPr>
    </w:pPr>
    <w:r w:rsidRPr="004F0F91">
      <w:rPr>
        <w:rFonts w:ascii="Adobe Garamond Pro" w:eastAsia="Times New Roman" w:hAnsi="Adobe Garamond Pro" w:cs="Garamond"/>
        <w:color w:val="000000"/>
        <w:sz w:val="20"/>
        <w:szCs w:val="20"/>
        <w:lang w:val="bs-Latn-BA"/>
      </w:rPr>
      <w:t>Hana Horak, Kosjenka Duman</w:t>
    </w:r>
    <w:r>
      <w:rPr>
        <w:rFonts w:ascii="Adobe Garamond Pro" w:eastAsia="Times New Roman" w:hAnsi="Adobe Garamond Pro" w:cs="Garamond"/>
        <w:color w:val="000000"/>
        <w:sz w:val="20"/>
        <w:szCs w:val="20"/>
        <w:lang w:val="bs-Latn-BA"/>
      </w:rPr>
      <w:t>č</w:t>
    </w:r>
    <w:r w:rsidRPr="004F0F91">
      <w:rPr>
        <w:rFonts w:ascii="Adobe Garamond Pro" w:eastAsia="Times New Roman" w:hAnsi="Adobe Garamond Pro" w:cs="Garamond"/>
        <w:color w:val="000000"/>
        <w:sz w:val="20"/>
        <w:szCs w:val="20"/>
        <w:lang w:val="bs-Latn-BA"/>
      </w:rPr>
      <w:t>i</w:t>
    </w:r>
    <w:r>
      <w:rPr>
        <w:rFonts w:ascii="Adobe Garamond Pro" w:eastAsia="Times New Roman" w:hAnsi="Adobe Garamond Pro" w:cs="Garamond"/>
        <w:color w:val="000000"/>
        <w:sz w:val="20"/>
        <w:szCs w:val="20"/>
        <w:lang w:val="bs-Latn-BA"/>
      </w:rPr>
      <w:t>ć</w:t>
    </w:r>
    <w:r w:rsidRPr="004F0F91">
      <w:rPr>
        <w:rFonts w:ascii="Adobe Garamond Pro" w:eastAsia="Times New Roman" w:hAnsi="Adobe Garamond Pro" w:cs="Garamond"/>
        <w:color w:val="000000"/>
        <w:sz w:val="20"/>
        <w:szCs w:val="20"/>
        <w:lang w:val="bs-Latn-BA"/>
      </w:rPr>
      <w:t>, Krist</w:t>
    </w:r>
    <w:r w:rsidR="00193ADC">
      <w:rPr>
        <w:rFonts w:ascii="Adobe Garamond Pro" w:eastAsia="Times New Roman" w:hAnsi="Adobe Garamond Pro" w:cs="Garamond"/>
        <w:color w:val="000000"/>
        <w:sz w:val="20"/>
        <w:szCs w:val="20"/>
        <w:lang w:val="bs-Latn-BA"/>
      </w:rPr>
      <w:t>jan</w:t>
    </w:r>
    <w:r w:rsidRPr="004F0F91">
      <w:rPr>
        <w:rFonts w:ascii="Adobe Garamond Pro" w:eastAsia="Times New Roman" w:hAnsi="Adobe Garamond Pro" w:cs="Garamond"/>
        <w:color w:val="000000"/>
        <w:sz w:val="20"/>
        <w:szCs w:val="20"/>
        <w:lang w:val="bs-Latn-BA"/>
      </w:rPr>
      <w:t xml:space="preserve"> Poljanec</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91" w:rsidRPr="004F0F91" w:rsidRDefault="004F0F91" w:rsidP="004F0F91">
    <w:pPr>
      <w:pBdr>
        <w:bottom w:val="single" w:sz="4" w:space="1" w:color="auto"/>
      </w:pBdr>
      <w:spacing w:after="0" w:line="240" w:lineRule="auto"/>
      <w:jc w:val="right"/>
      <w:rPr>
        <w:rFonts w:ascii="Adobe Garamond Pro" w:hAnsi="Adobe Garamond Pro" w:cs="Times New Roman"/>
        <w:sz w:val="20"/>
        <w:szCs w:val="20"/>
      </w:rPr>
    </w:pPr>
    <w:r w:rsidRPr="004F0F91">
      <w:rPr>
        <w:rFonts w:ascii="Adobe Garamond Pro" w:hAnsi="Adobe Garamond Pro" w:cs="Times New Roman"/>
        <w:sz w:val="20"/>
        <w:szCs w:val="20"/>
      </w:rPr>
      <w:t>Modernizacija i usklađivanje prava društava u Republici Hrvatskoj sa pravnom stečevinom Europske unije i načelo transparentnosti podataka</w:t>
    </w:r>
  </w:p>
  <w:p w:rsidR="00960254" w:rsidRPr="004F0F91" w:rsidRDefault="00960254" w:rsidP="004F0F91">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7C20AB"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4F0F91">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4F0F91" w:rsidRPr="004F0F91" w:rsidRDefault="004F0F91" w:rsidP="004F0F91">
    <w:pPr>
      <w:spacing w:after="0" w:line="240" w:lineRule="auto"/>
      <w:jc w:val="right"/>
      <w:rPr>
        <w:rFonts w:ascii="Adobe Garamond Pro" w:hAnsi="Adobe Garamond Pro" w:cs="Times New Roman"/>
        <w:sz w:val="20"/>
        <w:szCs w:val="20"/>
      </w:rPr>
    </w:pPr>
    <w:r w:rsidRPr="004F0F91">
      <w:rPr>
        <w:rFonts w:ascii="Adobe Garamond Pro" w:hAnsi="Adobe Garamond Pro" w:cs="Times New Roman"/>
        <w:sz w:val="20"/>
        <w:szCs w:val="20"/>
      </w:rPr>
      <w:t>UDK 347.72(497.5)]34:061.1EU</w:t>
    </w:r>
  </w:p>
  <w:p w:rsidR="00960254" w:rsidRPr="0068636F" w:rsidRDefault="00960254" w:rsidP="004F0F91">
    <w:pPr>
      <w:pStyle w:val="Header"/>
      <w:jc w:val="right"/>
      <w:rPr>
        <w:rFonts w:ascii="Adobe Garamond Pro" w:hAnsi="Adobe Garamond Pr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1A8"/>
    <w:multiLevelType w:val="hybridMultilevel"/>
    <w:tmpl w:val="779C0DC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30F7478"/>
    <w:multiLevelType w:val="multilevel"/>
    <w:tmpl w:val="3AF8868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BCB1135"/>
    <w:multiLevelType w:val="hybridMultilevel"/>
    <w:tmpl w:val="72221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BB0382"/>
    <w:multiLevelType w:val="hybridMultilevel"/>
    <w:tmpl w:val="6B8695DA"/>
    <w:lvl w:ilvl="0" w:tplc="041A000F">
      <w:start w:val="1"/>
      <w:numFmt w:val="decimal"/>
      <w:lvlText w:val="%1."/>
      <w:lvlJc w:val="left"/>
      <w:pPr>
        <w:tabs>
          <w:tab w:val="num" w:pos="360"/>
        </w:tabs>
        <w:ind w:left="360"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
    <w:nsid w:val="14FE785C"/>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196ABB"/>
    <w:multiLevelType w:val="hybridMultilevel"/>
    <w:tmpl w:val="8A76350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CB50890"/>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531377"/>
    <w:multiLevelType w:val="hybridMultilevel"/>
    <w:tmpl w:val="0486C91A"/>
    <w:lvl w:ilvl="0" w:tplc="04090001">
      <w:start w:val="1"/>
      <w:numFmt w:val="bullet"/>
      <w:lvlText w:val=""/>
      <w:lvlJc w:val="left"/>
      <w:pPr>
        <w:tabs>
          <w:tab w:val="num" w:pos="1068"/>
        </w:tabs>
        <w:ind w:left="1068" w:hanging="360"/>
      </w:pPr>
      <w:rPr>
        <w:rFonts w:ascii="Symbol" w:hAnsi="Symbol"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8">
    <w:nsid w:val="27C0251D"/>
    <w:multiLevelType w:val="multilevel"/>
    <w:tmpl w:val="EC2290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D891627"/>
    <w:multiLevelType w:val="hybridMultilevel"/>
    <w:tmpl w:val="A542435A"/>
    <w:lvl w:ilvl="0" w:tplc="334C73F2">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873315"/>
    <w:multiLevelType w:val="hybridMultilevel"/>
    <w:tmpl w:val="52BC4646"/>
    <w:lvl w:ilvl="0" w:tplc="A68E3C2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nsid w:val="2F3370F3"/>
    <w:multiLevelType w:val="multilevel"/>
    <w:tmpl w:val="BEB48A88"/>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992ABF"/>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7B742B"/>
    <w:multiLevelType w:val="multilevel"/>
    <w:tmpl w:val="046AB3F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824685"/>
    <w:multiLevelType w:val="hybridMultilevel"/>
    <w:tmpl w:val="E0DCF6A4"/>
    <w:lvl w:ilvl="0" w:tplc="92487690">
      <w:start w:val="1"/>
      <w:numFmt w:val="decimal"/>
      <w:lvlText w:val="%1."/>
      <w:lvlJc w:val="left"/>
      <w:pPr>
        <w:ind w:left="360" w:hanging="360"/>
      </w:pPr>
      <w:rPr>
        <w:rFonts w:hint="default"/>
        <w:b/>
      </w:rPr>
    </w:lvl>
    <w:lvl w:ilvl="1" w:tplc="041A0019">
      <w:start w:val="1"/>
      <w:numFmt w:val="lowerLetter"/>
      <w:lvlText w:val="%2."/>
      <w:lvlJc w:val="left"/>
      <w:pPr>
        <w:ind w:left="36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06504D"/>
    <w:multiLevelType w:val="multilevel"/>
    <w:tmpl w:val="E1369212"/>
    <w:lvl w:ilvl="0">
      <w:start w:val="4"/>
      <w:numFmt w:val="decimal"/>
      <w:lvlText w:val="%1."/>
      <w:lvlJc w:val="left"/>
      <w:pPr>
        <w:ind w:left="495" w:hanging="495"/>
      </w:pPr>
      <w:rPr>
        <w:rFonts w:hint="default"/>
      </w:rPr>
    </w:lvl>
    <w:lvl w:ilvl="1">
      <w:start w:val="6"/>
      <w:numFmt w:val="decimal"/>
      <w:lvlText w:val="%1.%2."/>
      <w:lvlJc w:val="left"/>
      <w:pPr>
        <w:ind w:left="1434" w:hanging="72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6">
    <w:nsid w:val="3A2F50CA"/>
    <w:multiLevelType w:val="multilevel"/>
    <w:tmpl w:val="3A1EE4D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357" w:hanging="108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nsid w:val="3C315B1F"/>
    <w:multiLevelType w:val="hybridMultilevel"/>
    <w:tmpl w:val="63A8AF06"/>
    <w:lvl w:ilvl="0" w:tplc="3056A3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C832673"/>
    <w:multiLevelType w:val="multilevel"/>
    <w:tmpl w:val="24C064C0"/>
    <w:lvl w:ilvl="0">
      <w:start w:val="2"/>
      <w:numFmt w:val="decimal"/>
      <w:lvlText w:val="%1."/>
      <w:lvlJc w:val="left"/>
      <w:pPr>
        <w:ind w:left="660" w:hanging="660"/>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9">
    <w:nsid w:val="3EBA18EF"/>
    <w:multiLevelType w:val="multilevel"/>
    <w:tmpl w:val="A10A839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sz w:val="24"/>
      </w:rPr>
    </w:lvl>
    <w:lvl w:ilvl="5">
      <w:start w:val="1"/>
      <w:numFmt w:val="decimal"/>
      <w:isLgl/>
      <w:lvlText w:val="%1.%2.%3.%4.%5.%6."/>
      <w:lvlJc w:val="left"/>
      <w:pPr>
        <w:ind w:left="3600" w:hanging="1440"/>
      </w:pPr>
      <w:rPr>
        <w:rFonts w:hint="default"/>
        <w:b/>
        <w:sz w:val="24"/>
      </w:rPr>
    </w:lvl>
    <w:lvl w:ilvl="6">
      <w:start w:val="1"/>
      <w:numFmt w:val="decimal"/>
      <w:isLgl/>
      <w:lvlText w:val="%1.%2.%3.%4.%5.%6.%7."/>
      <w:lvlJc w:val="left"/>
      <w:pPr>
        <w:ind w:left="3960" w:hanging="1440"/>
      </w:pPr>
      <w:rPr>
        <w:rFonts w:hint="default"/>
        <w:b/>
        <w:sz w:val="24"/>
      </w:rPr>
    </w:lvl>
    <w:lvl w:ilvl="7">
      <w:start w:val="1"/>
      <w:numFmt w:val="decimal"/>
      <w:isLgl/>
      <w:lvlText w:val="%1.%2.%3.%4.%5.%6.%7.%8."/>
      <w:lvlJc w:val="left"/>
      <w:pPr>
        <w:ind w:left="4680" w:hanging="1800"/>
      </w:pPr>
      <w:rPr>
        <w:rFonts w:hint="default"/>
        <w:b/>
        <w:sz w:val="24"/>
      </w:rPr>
    </w:lvl>
    <w:lvl w:ilvl="8">
      <w:start w:val="1"/>
      <w:numFmt w:val="decimal"/>
      <w:isLgl/>
      <w:lvlText w:val="%1.%2.%3.%4.%5.%6.%7.%8.%9."/>
      <w:lvlJc w:val="left"/>
      <w:pPr>
        <w:ind w:left="5040" w:hanging="1800"/>
      </w:pPr>
      <w:rPr>
        <w:rFonts w:hint="default"/>
        <w:b/>
        <w:sz w:val="24"/>
      </w:rPr>
    </w:lvl>
  </w:abstractNum>
  <w:abstractNum w:abstractNumId="20">
    <w:nsid w:val="43F6718C"/>
    <w:multiLevelType w:val="hybridMultilevel"/>
    <w:tmpl w:val="70E47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4180BB3"/>
    <w:multiLevelType w:val="hybridMultilevel"/>
    <w:tmpl w:val="D1B215F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7E32AA"/>
    <w:multiLevelType w:val="hybridMultilevel"/>
    <w:tmpl w:val="B07E532C"/>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nsid w:val="45A510D3"/>
    <w:multiLevelType w:val="hybridMultilevel"/>
    <w:tmpl w:val="459613B4"/>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nsid w:val="46224D04"/>
    <w:multiLevelType w:val="hybridMultilevel"/>
    <w:tmpl w:val="197C081E"/>
    <w:lvl w:ilvl="0" w:tplc="CEFC3CB0">
      <w:start w:val="1"/>
      <w:numFmt w:val="decimal"/>
      <w:lvlText w:val="%1."/>
      <w:lvlJc w:val="left"/>
      <w:pPr>
        <w:tabs>
          <w:tab w:val="num" w:pos="1080"/>
        </w:tabs>
        <w:ind w:left="1080" w:hanging="360"/>
      </w:pPr>
      <w:rPr>
        <w:rFonts w:ascii="Times New Roman" w:eastAsia="Times New Roman" w:hAnsi="Times New Roman" w:cs="Times New Roman" w:hint="default"/>
        <w:i w:val="0"/>
      </w:rPr>
    </w:lvl>
    <w:lvl w:ilvl="1" w:tplc="916EC610">
      <w:start w:val="10"/>
      <w:numFmt w:val="decimal"/>
      <w:lvlText w:val="%2"/>
      <w:lvlJc w:val="left"/>
      <w:pPr>
        <w:tabs>
          <w:tab w:val="num" w:pos="1440"/>
        </w:tabs>
        <w:ind w:left="1440" w:hanging="360"/>
      </w:pPr>
      <w:rPr>
        <w:rFonts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5">
    <w:nsid w:val="46C71491"/>
    <w:multiLevelType w:val="hybridMultilevel"/>
    <w:tmpl w:val="ECCAB4BE"/>
    <w:lvl w:ilvl="0" w:tplc="8620076E">
      <w:start w:val="1"/>
      <w:numFmt w:val="decimal"/>
      <w:lvlText w:val="%1."/>
      <w:lvlJc w:val="left"/>
      <w:pPr>
        <w:tabs>
          <w:tab w:val="num" w:pos="1080"/>
        </w:tabs>
        <w:ind w:left="1080" w:hanging="360"/>
      </w:pPr>
      <w:rPr>
        <w:rFonts w:hint="default"/>
      </w:rPr>
    </w:lvl>
    <w:lvl w:ilvl="1" w:tplc="6290A736">
      <w:numFmt w:val="none"/>
      <w:lvlText w:val=""/>
      <w:lvlJc w:val="left"/>
      <w:pPr>
        <w:tabs>
          <w:tab w:val="num" w:pos="360"/>
        </w:tabs>
      </w:pPr>
    </w:lvl>
    <w:lvl w:ilvl="2" w:tplc="7222DE8C">
      <w:numFmt w:val="none"/>
      <w:lvlText w:val=""/>
      <w:lvlJc w:val="left"/>
      <w:pPr>
        <w:tabs>
          <w:tab w:val="num" w:pos="360"/>
        </w:tabs>
      </w:pPr>
    </w:lvl>
    <w:lvl w:ilvl="3" w:tplc="287C75BA">
      <w:numFmt w:val="none"/>
      <w:lvlText w:val=""/>
      <w:lvlJc w:val="left"/>
      <w:pPr>
        <w:tabs>
          <w:tab w:val="num" w:pos="360"/>
        </w:tabs>
      </w:pPr>
    </w:lvl>
    <w:lvl w:ilvl="4" w:tplc="D5E41CDE">
      <w:numFmt w:val="none"/>
      <w:lvlText w:val=""/>
      <w:lvlJc w:val="left"/>
      <w:pPr>
        <w:tabs>
          <w:tab w:val="num" w:pos="360"/>
        </w:tabs>
      </w:pPr>
    </w:lvl>
    <w:lvl w:ilvl="5" w:tplc="DB8666F8">
      <w:numFmt w:val="none"/>
      <w:lvlText w:val=""/>
      <w:lvlJc w:val="left"/>
      <w:pPr>
        <w:tabs>
          <w:tab w:val="num" w:pos="360"/>
        </w:tabs>
      </w:pPr>
    </w:lvl>
    <w:lvl w:ilvl="6" w:tplc="AE823C0C">
      <w:numFmt w:val="none"/>
      <w:lvlText w:val=""/>
      <w:lvlJc w:val="left"/>
      <w:pPr>
        <w:tabs>
          <w:tab w:val="num" w:pos="360"/>
        </w:tabs>
      </w:pPr>
    </w:lvl>
    <w:lvl w:ilvl="7" w:tplc="E684D908">
      <w:numFmt w:val="none"/>
      <w:lvlText w:val=""/>
      <w:lvlJc w:val="left"/>
      <w:pPr>
        <w:tabs>
          <w:tab w:val="num" w:pos="360"/>
        </w:tabs>
      </w:pPr>
    </w:lvl>
    <w:lvl w:ilvl="8" w:tplc="A116743E">
      <w:numFmt w:val="none"/>
      <w:lvlText w:val=""/>
      <w:lvlJc w:val="left"/>
      <w:pPr>
        <w:tabs>
          <w:tab w:val="num" w:pos="360"/>
        </w:tabs>
      </w:pPr>
    </w:lvl>
  </w:abstractNum>
  <w:abstractNum w:abstractNumId="26">
    <w:nsid w:val="47AD0129"/>
    <w:multiLevelType w:val="hybridMultilevel"/>
    <w:tmpl w:val="B2BC7386"/>
    <w:lvl w:ilvl="0" w:tplc="EEF86A7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nsid w:val="4BBD5574"/>
    <w:multiLevelType w:val="multilevel"/>
    <w:tmpl w:val="D55E2436"/>
    <w:lvl w:ilvl="0">
      <w:start w:val="1"/>
      <w:numFmt w:val="decimal"/>
      <w:lvlText w:val="%1."/>
      <w:lvlJc w:val="left"/>
      <w:pPr>
        <w:ind w:left="70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42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8">
    <w:nsid w:val="4BE252C7"/>
    <w:multiLevelType w:val="multilevel"/>
    <w:tmpl w:val="193A24E4"/>
    <w:lvl w:ilvl="0">
      <w:start w:val="2"/>
      <w:numFmt w:val="decimal"/>
      <w:lvlText w:val="%1."/>
      <w:lvlJc w:val="left"/>
      <w:pPr>
        <w:ind w:left="495" w:hanging="49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9">
    <w:nsid w:val="4E763F72"/>
    <w:multiLevelType w:val="hybridMultilevel"/>
    <w:tmpl w:val="50FE89E2"/>
    <w:lvl w:ilvl="0" w:tplc="DC88ED18">
      <w:start w:val="1"/>
      <w:numFmt w:val="decimal"/>
      <w:lvlText w:val="%1."/>
      <w:lvlJc w:val="left"/>
      <w:pPr>
        <w:tabs>
          <w:tab w:val="num" w:pos="540"/>
        </w:tabs>
        <w:ind w:left="540" w:hanging="360"/>
      </w:pPr>
      <w:rPr>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59931FB6"/>
    <w:multiLevelType w:val="hybridMultilevel"/>
    <w:tmpl w:val="5F06D5B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5C127763"/>
    <w:multiLevelType w:val="multilevel"/>
    <w:tmpl w:val="1E50620A"/>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i/>
      </w:rPr>
    </w:lvl>
    <w:lvl w:ilvl="3">
      <w:start w:val="1"/>
      <w:numFmt w:val="decimal"/>
      <w:isLgl/>
      <w:lvlText w:val="%1.%2.%3.%4."/>
      <w:lvlJc w:val="left"/>
      <w:pPr>
        <w:ind w:left="2215" w:hanging="1080"/>
      </w:pPr>
      <w:rPr>
        <w:rFonts w:hint="default"/>
        <w:i/>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2">
    <w:nsid w:val="5F493A20"/>
    <w:multiLevelType w:val="multilevel"/>
    <w:tmpl w:val="2E0AC3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34A6703"/>
    <w:multiLevelType w:val="hybridMultilevel"/>
    <w:tmpl w:val="E4E83CB2"/>
    <w:lvl w:ilvl="0" w:tplc="DEF6475E">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766AC9"/>
    <w:multiLevelType w:val="multilevel"/>
    <w:tmpl w:val="D3A6320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7190806"/>
    <w:multiLevelType w:val="hybridMultilevel"/>
    <w:tmpl w:val="8946D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336DDB"/>
    <w:multiLevelType w:val="multilevel"/>
    <w:tmpl w:val="56E4D60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AB73E4F"/>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040206C"/>
    <w:multiLevelType w:val="multilevel"/>
    <w:tmpl w:val="0F466CAC"/>
    <w:lvl w:ilvl="0">
      <w:start w:val="1"/>
      <w:numFmt w:val="decimal"/>
      <w:lvlText w:val="%1."/>
      <w:lvlJc w:val="left"/>
      <w:pPr>
        <w:ind w:left="420" w:hanging="4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9">
    <w:nsid w:val="71576789"/>
    <w:multiLevelType w:val="hybridMultilevel"/>
    <w:tmpl w:val="129C71B4"/>
    <w:lvl w:ilvl="0" w:tplc="5F0A7BE0">
      <w:start w:val="1"/>
      <w:numFmt w:val="decimal"/>
      <w:lvlText w:val="%1."/>
      <w:lvlJc w:val="left"/>
      <w:pPr>
        <w:ind w:left="1070" w:hanging="360"/>
      </w:pPr>
      <w:rPr>
        <w:rFonts w:hint="default"/>
        <w:i w:val="0"/>
        <w:color w:val="auto"/>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0">
    <w:nsid w:val="729F134B"/>
    <w:multiLevelType w:val="hybridMultilevel"/>
    <w:tmpl w:val="A3187C12"/>
    <w:lvl w:ilvl="0" w:tplc="041A0001">
      <w:start w:val="1"/>
      <w:numFmt w:val="bullet"/>
      <w:lvlText w:val=""/>
      <w:lvlJc w:val="left"/>
      <w:pPr>
        <w:ind w:left="1484" w:hanging="360"/>
      </w:pPr>
      <w:rPr>
        <w:rFonts w:ascii="Symbol" w:hAnsi="Symbol" w:hint="default"/>
      </w:rPr>
    </w:lvl>
    <w:lvl w:ilvl="1" w:tplc="041A0003" w:tentative="1">
      <w:start w:val="1"/>
      <w:numFmt w:val="bullet"/>
      <w:lvlText w:val="o"/>
      <w:lvlJc w:val="left"/>
      <w:pPr>
        <w:ind w:left="2204" w:hanging="360"/>
      </w:pPr>
      <w:rPr>
        <w:rFonts w:ascii="Courier New" w:hAnsi="Courier New" w:cs="Courier New" w:hint="default"/>
      </w:rPr>
    </w:lvl>
    <w:lvl w:ilvl="2" w:tplc="041A0005" w:tentative="1">
      <w:start w:val="1"/>
      <w:numFmt w:val="bullet"/>
      <w:lvlText w:val=""/>
      <w:lvlJc w:val="left"/>
      <w:pPr>
        <w:ind w:left="2924" w:hanging="360"/>
      </w:pPr>
      <w:rPr>
        <w:rFonts w:ascii="Wingdings" w:hAnsi="Wingdings" w:hint="default"/>
      </w:rPr>
    </w:lvl>
    <w:lvl w:ilvl="3" w:tplc="041A0001" w:tentative="1">
      <w:start w:val="1"/>
      <w:numFmt w:val="bullet"/>
      <w:lvlText w:val=""/>
      <w:lvlJc w:val="left"/>
      <w:pPr>
        <w:ind w:left="3644" w:hanging="360"/>
      </w:pPr>
      <w:rPr>
        <w:rFonts w:ascii="Symbol" w:hAnsi="Symbol" w:hint="default"/>
      </w:rPr>
    </w:lvl>
    <w:lvl w:ilvl="4" w:tplc="041A0003" w:tentative="1">
      <w:start w:val="1"/>
      <w:numFmt w:val="bullet"/>
      <w:lvlText w:val="o"/>
      <w:lvlJc w:val="left"/>
      <w:pPr>
        <w:ind w:left="4364" w:hanging="360"/>
      </w:pPr>
      <w:rPr>
        <w:rFonts w:ascii="Courier New" w:hAnsi="Courier New" w:cs="Courier New" w:hint="default"/>
      </w:rPr>
    </w:lvl>
    <w:lvl w:ilvl="5" w:tplc="041A0005" w:tentative="1">
      <w:start w:val="1"/>
      <w:numFmt w:val="bullet"/>
      <w:lvlText w:val=""/>
      <w:lvlJc w:val="left"/>
      <w:pPr>
        <w:ind w:left="5084" w:hanging="360"/>
      </w:pPr>
      <w:rPr>
        <w:rFonts w:ascii="Wingdings" w:hAnsi="Wingdings" w:hint="default"/>
      </w:rPr>
    </w:lvl>
    <w:lvl w:ilvl="6" w:tplc="041A0001" w:tentative="1">
      <w:start w:val="1"/>
      <w:numFmt w:val="bullet"/>
      <w:lvlText w:val=""/>
      <w:lvlJc w:val="left"/>
      <w:pPr>
        <w:ind w:left="5804" w:hanging="360"/>
      </w:pPr>
      <w:rPr>
        <w:rFonts w:ascii="Symbol" w:hAnsi="Symbol" w:hint="default"/>
      </w:rPr>
    </w:lvl>
    <w:lvl w:ilvl="7" w:tplc="041A0003" w:tentative="1">
      <w:start w:val="1"/>
      <w:numFmt w:val="bullet"/>
      <w:lvlText w:val="o"/>
      <w:lvlJc w:val="left"/>
      <w:pPr>
        <w:ind w:left="6524" w:hanging="360"/>
      </w:pPr>
      <w:rPr>
        <w:rFonts w:ascii="Courier New" w:hAnsi="Courier New" w:cs="Courier New" w:hint="default"/>
      </w:rPr>
    </w:lvl>
    <w:lvl w:ilvl="8" w:tplc="041A0005" w:tentative="1">
      <w:start w:val="1"/>
      <w:numFmt w:val="bullet"/>
      <w:lvlText w:val=""/>
      <w:lvlJc w:val="left"/>
      <w:pPr>
        <w:ind w:left="7244" w:hanging="360"/>
      </w:pPr>
      <w:rPr>
        <w:rFonts w:ascii="Wingdings" w:hAnsi="Wingdings" w:hint="default"/>
      </w:rPr>
    </w:lvl>
  </w:abstractNum>
  <w:abstractNum w:abstractNumId="41">
    <w:nsid w:val="74094890"/>
    <w:multiLevelType w:val="hybridMultilevel"/>
    <w:tmpl w:val="F1EA4BC0"/>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D8527D"/>
    <w:multiLevelType w:val="hybridMultilevel"/>
    <w:tmpl w:val="BA365F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nsid w:val="7F4C518B"/>
    <w:multiLevelType w:val="hybridMultilevel"/>
    <w:tmpl w:val="0DAE08D6"/>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22"/>
  </w:num>
  <w:num w:numId="4">
    <w:abstractNumId w:val="23"/>
  </w:num>
  <w:num w:numId="5">
    <w:abstractNumId w:val="29"/>
  </w:num>
  <w:num w:numId="6">
    <w:abstractNumId w:val="18"/>
  </w:num>
  <w:num w:numId="7">
    <w:abstractNumId w:val="0"/>
  </w:num>
  <w:num w:numId="8">
    <w:abstractNumId w:val="25"/>
  </w:num>
  <w:num w:numId="9">
    <w:abstractNumId w:val="31"/>
  </w:num>
  <w:num w:numId="10">
    <w:abstractNumId w:val="26"/>
  </w:num>
  <w:num w:numId="11">
    <w:abstractNumId w:val="2"/>
  </w:num>
  <w:num w:numId="12">
    <w:abstractNumId w:val="10"/>
  </w:num>
  <w:num w:numId="13">
    <w:abstractNumId w:val="27"/>
  </w:num>
  <w:num w:numId="14">
    <w:abstractNumId w:val="38"/>
  </w:num>
  <w:num w:numId="15">
    <w:abstractNumId w:val="28"/>
  </w:num>
  <w:num w:numId="16">
    <w:abstractNumId w:val="11"/>
  </w:num>
  <w:num w:numId="17">
    <w:abstractNumId w:val="42"/>
  </w:num>
  <w:num w:numId="18">
    <w:abstractNumId w:val="35"/>
  </w:num>
  <w:num w:numId="19">
    <w:abstractNumId w:val="40"/>
  </w:num>
  <w:num w:numId="20">
    <w:abstractNumId w:val="15"/>
  </w:num>
  <w:num w:numId="21">
    <w:abstractNumId w:val="39"/>
  </w:num>
  <w:num w:numId="22">
    <w:abstractNumId w:val="7"/>
  </w:num>
  <w:num w:numId="23">
    <w:abstractNumId w:val="41"/>
  </w:num>
  <w:num w:numId="24">
    <w:abstractNumId w:val="17"/>
  </w:num>
  <w:num w:numId="25">
    <w:abstractNumId w:val="33"/>
  </w:num>
  <w:num w:numId="26">
    <w:abstractNumId w:val="9"/>
  </w:num>
  <w:num w:numId="27">
    <w:abstractNumId w:val="5"/>
  </w:num>
  <w:num w:numId="28">
    <w:abstractNumId w:val="3"/>
  </w:num>
  <w:num w:numId="29">
    <w:abstractNumId w:val="19"/>
  </w:num>
  <w:num w:numId="30">
    <w:abstractNumId w:val="4"/>
  </w:num>
  <w:num w:numId="31">
    <w:abstractNumId w:val="36"/>
  </w:num>
  <w:num w:numId="32">
    <w:abstractNumId w:val="1"/>
  </w:num>
  <w:num w:numId="33">
    <w:abstractNumId w:val="16"/>
  </w:num>
  <w:num w:numId="34">
    <w:abstractNumId w:val="6"/>
  </w:num>
  <w:num w:numId="35">
    <w:abstractNumId w:val="12"/>
  </w:num>
  <w:num w:numId="36">
    <w:abstractNumId w:val="37"/>
  </w:num>
  <w:num w:numId="37">
    <w:abstractNumId w:val="34"/>
  </w:num>
  <w:num w:numId="38">
    <w:abstractNumId w:val="8"/>
  </w:num>
  <w:num w:numId="39">
    <w:abstractNumId w:val="24"/>
  </w:num>
  <w:num w:numId="40">
    <w:abstractNumId w:val="21"/>
  </w:num>
  <w:num w:numId="41">
    <w:abstractNumId w:val="14"/>
  </w:num>
  <w:num w:numId="42">
    <w:abstractNumId w:val="32"/>
  </w:num>
  <w:num w:numId="43">
    <w:abstractNumId w:val="13"/>
  </w:num>
  <w:num w:numId="44">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hyphenationZone w:val="425"/>
  <w:evenAndOddHeaders/>
  <w:drawingGridHorizontalSpacing w:val="110"/>
  <w:displayHorizontalDrawingGridEvery w:val="2"/>
  <w:characterSpacingControl w:val="doNotCompress"/>
  <w:hdrShapeDefaults>
    <o:shapedefaults v:ext="edit" spidmax="167938">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206C"/>
    <w:rsid w:val="00044C5F"/>
    <w:rsid w:val="000503BE"/>
    <w:rsid w:val="000530A5"/>
    <w:rsid w:val="00053AA9"/>
    <w:rsid w:val="0005550E"/>
    <w:rsid w:val="000672FF"/>
    <w:rsid w:val="000733F7"/>
    <w:rsid w:val="00077FF9"/>
    <w:rsid w:val="000A16A2"/>
    <w:rsid w:val="000A61F6"/>
    <w:rsid w:val="000B01A3"/>
    <w:rsid w:val="000C0BA7"/>
    <w:rsid w:val="000C691C"/>
    <w:rsid w:val="000D0406"/>
    <w:rsid w:val="000E1571"/>
    <w:rsid w:val="000F0373"/>
    <w:rsid w:val="000F1949"/>
    <w:rsid w:val="0011022A"/>
    <w:rsid w:val="001148AA"/>
    <w:rsid w:val="00115821"/>
    <w:rsid w:val="00120375"/>
    <w:rsid w:val="00131146"/>
    <w:rsid w:val="001346DE"/>
    <w:rsid w:val="001374C4"/>
    <w:rsid w:val="00144A6F"/>
    <w:rsid w:val="00147E16"/>
    <w:rsid w:val="0016554A"/>
    <w:rsid w:val="00170728"/>
    <w:rsid w:val="001863AC"/>
    <w:rsid w:val="00193ADC"/>
    <w:rsid w:val="001959A4"/>
    <w:rsid w:val="001A4B4E"/>
    <w:rsid w:val="001B0A65"/>
    <w:rsid w:val="001C6DC9"/>
    <w:rsid w:val="001D4039"/>
    <w:rsid w:val="001D505E"/>
    <w:rsid w:val="001F0AD6"/>
    <w:rsid w:val="002002DE"/>
    <w:rsid w:val="00205247"/>
    <w:rsid w:val="0023078B"/>
    <w:rsid w:val="00230AB1"/>
    <w:rsid w:val="0024728F"/>
    <w:rsid w:val="002478E7"/>
    <w:rsid w:val="00260E15"/>
    <w:rsid w:val="00263D3E"/>
    <w:rsid w:val="00264C3A"/>
    <w:rsid w:val="00266546"/>
    <w:rsid w:val="002675B4"/>
    <w:rsid w:val="002715B8"/>
    <w:rsid w:val="00295E18"/>
    <w:rsid w:val="002A04A4"/>
    <w:rsid w:val="002A4A58"/>
    <w:rsid w:val="002D2430"/>
    <w:rsid w:val="002D5F3F"/>
    <w:rsid w:val="002E55E2"/>
    <w:rsid w:val="00306F6C"/>
    <w:rsid w:val="00323B9C"/>
    <w:rsid w:val="003328EE"/>
    <w:rsid w:val="00346C37"/>
    <w:rsid w:val="00351FA0"/>
    <w:rsid w:val="003619F7"/>
    <w:rsid w:val="00373213"/>
    <w:rsid w:val="003811A8"/>
    <w:rsid w:val="003866F8"/>
    <w:rsid w:val="00391C9A"/>
    <w:rsid w:val="00394B5C"/>
    <w:rsid w:val="003B1F07"/>
    <w:rsid w:val="003B4EB9"/>
    <w:rsid w:val="003C23CF"/>
    <w:rsid w:val="003D5794"/>
    <w:rsid w:val="003F7405"/>
    <w:rsid w:val="004014D9"/>
    <w:rsid w:val="004048D6"/>
    <w:rsid w:val="00415616"/>
    <w:rsid w:val="0041608E"/>
    <w:rsid w:val="00420112"/>
    <w:rsid w:val="00424836"/>
    <w:rsid w:val="00425200"/>
    <w:rsid w:val="00431A2E"/>
    <w:rsid w:val="004406AB"/>
    <w:rsid w:val="0044666F"/>
    <w:rsid w:val="00447F34"/>
    <w:rsid w:val="00447FE0"/>
    <w:rsid w:val="004624E6"/>
    <w:rsid w:val="004725BF"/>
    <w:rsid w:val="00472D53"/>
    <w:rsid w:val="00491974"/>
    <w:rsid w:val="00493C49"/>
    <w:rsid w:val="004A242E"/>
    <w:rsid w:val="004A54A8"/>
    <w:rsid w:val="004A6567"/>
    <w:rsid w:val="004B37E4"/>
    <w:rsid w:val="004B3A89"/>
    <w:rsid w:val="004B6972"/>
    <w:rsid w:val="004C4A36"/>
    <w:rsid w:val="004D6203"/>
    <w:rsid w:val="004E12C9"/>
    <w:rsid w:val="004F0F91"/>
    <w:rsid w:val="004F170C"/>
    <w:rsid w:val="004F71F6"/>
    <w:rsid w:val="00530415"/>
    <w:rsid w:val="005346A2"/>
    <w:rsid w:val="00552896"/>
    <w:rsid w:val="00556080"/>
    <w:rsid w:val="00560AF8"/>
    <w:rsid w:val="005706BE"/>
    <w:rsid w:val="00571462"/>
    <w:rsid w:val="0057627F"/>
    <w:rsid w:val="00592DA0"/>
    <w:rsid w:val="00596A8C"/>
    <w:rsid w:val="005A01AE"/>
    <w:rsid w:val="005B3CF2"/>
    <w:rsid w:val="005B43FA"/>
    <w:rsid w:val="005C0F1F"/>
    <w:rsid w:val="005D698D"/>
    <w:rsid w:val="005E23E9"/>
    <w:rsid w:val="00602D3F"/>
    <w:rsid w:val="0060537C"/>
    <w:rsid w:val="00605E5F"/>
    <w:rsid w:val="00613D8A"/>
    <w:rsid w:val="00613E74"/>
    <w:rsid w:val="00620829"/>
    <w:rsid w:val="0063245A"/>
    <w:rsid w:val="006510A9"/>
    <w:rsid w:val="006529B1"/>
    <w:rsid w:val="006663D5"/>
    <w:rsid w:val="00676F1F"/>
    <w:rsid w:val="0068169D"/>
    <w:rsid w:val="0068313D"/>
    <w:rsid w:val="0068636F"/>
    <w:rsid w:val="006969FE"/>
    <w:rsid w:val="00697EAB"/>
    <w:rsid w:val="006A5DB5"/>
    <w:rsid w:val="006B0527"/>
    <w:rsid w:val="006B1CD1"/>
    <w:rsid w:val="006C081B"/>
    <w:rsid w:val="006E1427"/>
    <w:rsid w:val="006E45FF"/>
    <w:rsid w:val="006E52D9"/>
    <w:rsid w:val="006E622C"/>
    <w:rsid w:val="006E7B9B"/>
    <w:rsid w:val="006F2712"/>
    <w:rsid w:val="00705BAA"/>
    <w:rsid w:val="0071078B"/>
    <w:rsid w:val="00713C82"/>
    <w:rsid w:val="00713CAD"/>
    <w:rsid w:val="00714555"/>
    <w:rsid w:val="00717940"/>
    <w:rsid w:val="007236FD"/>
    <w:rsid w:val="0074603D"/>
    <w:rsid w:val="00747375"/>
    <w:rsid w:val="00780596"/>
    <w:rsid w:val="0079057C"/>
    <w:rsid w:val="007933BA"/>
    <w:rsid w:val="007A561A"/>
    <w:rsid w:val="007B3197"/>
    <w:rsid w:val="007B51BE"/>
    <w:rsid w:val="007B7B96"/>
    <w:rsid w:val="007C20AB"/>
    <w:rsid w:val="007C24B3"/>
    <w:rsid w:val="007C52C4"/>
    <w:rsid w:val="007D053A"/>
    <w:rsid w:val="007D1016"/>
    <w:rsid w:val="007D6BA9"/>
    <w:rsid w:val="007E3554"/>
    <w:rsid w:val="007E4538"/>
    <w:rsid w:val="0081074D"/>
    <w:rsid w:val="00810B71"/>
    <w:rsid w:val="00815E51"/>
    <w:rsid w:val="00821579"/>
    <w:rsid w:val="008225F3"/>
    <w:rsid w:val="008358CA"/>
    <w:rsid w:val="00850431"/>
    <w:rsid w:val="00851020"/>
    <w:rsid w:val="00860F7D"/>
    <w:rsid w:val="008627D2"/>
    <w:rsid w:val="00866181"/>
    <w:rsid w:val="0087038B"/>
    <w:rsid w:val="008945B7"/>
    <w:rsid w:val="008A1803"/>
    <w:rsid w:val="008B1D50"/>
    <w:rsid w:val="008C4302"/>
    <w:rsid w:val="009063AF"/>
    <w:rsid w:val="00932021"/>
    <w:rsid w:val="00942EF2"/>
    <w:rsid w:val="009469F4"/>
    <w:rsid w:val="00946D5B"/>
    <w:rsid w:val="009548B8"/>
    <w:rsid w:val="00960254"/>
    <w:rsid w:val="00970A7F"/>
    <w:rsid w:val="00970BEB"/>
    <w:rsid w:val="00977EC3"/>
    <w:rsid w:val="00977F0F"/>
    <w:rsid w:val="0098360C"/>
    <w:rsid w:val="009866B4"/>
    <w:rsid w:val="0099111C"/>
    <w:rsid w:val="00994CB2"/>
    <w:rsid w:val="00996510"/>
    <w:rsid w:val="009C1E88"/>
    <w:rsid w:val="009D12E0"/>
    <w:rsid w:val="009D2D9A"/>
    <w:rsid w:val="009E3956"/>
    <w:rsid w:val="009F6487"/>
    <w:rsid w:val="00A1095F"/>
    <w:rsid w:val="00A14817"/>
    <w:rsid w:val="00A40D8E"/>
    <w:rsid w:val="00A4564B"/>
    <w:rsid w:val="00A458A5"/>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14CD"/>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72E98"/>
    <w:rsid w:val="00C91AFD"/>
    <w:rsid w:val="00CA41A4"/>
    <w:rsid w:val="00CB5B2F"/>
    <w:rsid w:val="00CC0298"/>
    <w:rsid w:val="00CD2F2F"/>
    <w:rsid w:val="00CD34F5"/>
    <w:rsid w:val="00CD4D07"/>
    <w:rsid w:val="00CD7B71"/>
    <w:rsid w:val="00D02705"/>
    <w:rsid w:val="00D106B5"/>
    <w:rsid w:val="00D12AEB"/>
    <w:rsid w:val="00D13677"/>
    <w:rsid w:val="00D40931"/>
    <w:rsid w:val="00D53755"/>
    <w:rsid w:val="00D54356"/>
    <w:rsid w:val="00D56704"/>
    <w:rsid w:val="00D75987"/>
    <w:rsid w:val="00D76604"/>
    <w:rsid w:val="00D85967"/>
    <w:rsid w:val="00D86118"/>
    <w:rsid w:val="00D92C4B"/>
    <w:rsid w:val="00D93FE7"/>
    <w:rsid w:val="00D9549C"/>
    <w:rsid w:val="00D97725"/>
    <w:rsid w:val="00DA7331"/>
    <w:rsid w:val="00DA7527"/>
    <w:rsid w:val="00DB73D7"/>
    <w:rsid w:val="00DC3D12"/>
    <w:rsid w:val="00DC55CE"/>
    <w:rsid w:val="00DD0343"/>
    <w:rsid w:val="00DE357D"/>
    <w:rsid w:val="00DF646E"/>
    <w:rsid w:val="00E02286"/>
    <w:rsid w:val="00E030D6"/>
    <w:rsid w:val="00E1458F"/>
    <w:rsid w:val="00E178B6"/>
    <w:rsid w:val="00E25C98"/>
    <w:rsid w:val="00E35914"/>
    <w:rsid w:val="00E47911"/>
    <w:rsid w:val="00E606B1"/>
    <w:rsid w:val="00E61646"/>
    <w:rsid w:val="00E66AEC"/>
    <w:rsid w:val="00E7368D"/>
    <w:rsid w:val="00E74C96"/>
    <w:rsid w:val="00E7679D"/>
    <w:rsid w:val="00E8374E"/>
    <w:rsid w:val="00E920F2"/>
    <w:rsid w:val="00E96B26"/>
    <w:rsid w:val="00EA34D8"/>
    <w:rsid w:val="00EB05E2"/>
    <w:rsid w:val="00EC400A"/>
    <w:rsid w:val="00EC61EB"/>
    <w:rsid w:val="00ED2049"/>
    <w:rsid w:val="00EE383B"/>
    <w:rsid w:val="00EE50AB"/>
    <w:rsid w:val="00EF689E"/>
    <w:rsid w:val="00F03719"/>
    <w:rsid w:val="00F22211"/>
    <w:rsid w:val="00F471A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79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customStyle="1" w:styleId="A3">
    <w:name w:val="A3"/>
    <w:uiPriority w:val="99"/>
    <w:rsid w:val="0068636F"/>
    <w:rPr>
      <w:color w:val="000000"/>
      <w:sz w:val="14"/>
      <w:szCs w:val="14"/>
    </w:rPr>
  </w:style>
  <w:style w:type="character" w:customStyle="1" w:styleId="A10">
    <w:name w:val="A1"/>
    <w:uiPriority w:val="99"/>
    <w:rsid w:val="0068636F"/>
    <w:rPr>
      <w:color w:val="000000"/>
      <w:sz w:val="22"/>
      <w:szCs w:val="22"/>
    </w:rPr>
  </w:style>
  <w:style w:type="paragraph" w:customStyle="1" w:styleId="Pa0">
    <w:name w:val="Pa0"/>
    <w:basedOn w:val="Default"/>
    <w:next w:val="Default"/>
    <w:uiPriority w:val="99"/>
    <w:rsid w:val="0068636F"/>
    <w:pPr>
      <w:tabs>
        <w:tab w:val="clear" w:pos="709"/>
      </w:tabs>
      <w:suppressAutoHyphens w:val="0"/>
      <w:autoSpaceDE w:val="0"/>
      <w:autoSpaceDN w:val="0"/>
      <w:adjustRightInd w:val="0"/>
      <w:spacing w:after="0" w:line="161" w:lineRule="atLeast"/>
    </w:pPr>
    <w:rPr>
      <w:rFonts w:ascii="Times New Roman" w:eastAsia="Calibri" w:hAnsi="Times New Roman" w:cs="Times New Roman"/>
      <w:color w:val="auto"/>
      <w:lang w:val="hr-HR" w:eastAsia="hr-HR"/>
    </w:rPr>
  </w:style>
  <w:style w:type="character" w:customStyle="1" w:styleId="apple-style-span">
    <w:name w:val="apple-style-span"/>
    <w:basedOn w:val="DefaultParagraphFont"/>
    <w:rsid w:val="0068636F"/>
  </w:style>
  <w:style w:type="character" w:customStyle="1" w:styleId="FontStyle116">
    <w:name w:val="Font Style116"/>
    <w:basedOn w:val="DefaultParagraphFont"/>
    <w:rsid w:val="0068636F"/>
    <w:rPr>
      <w:rFonts w:ascii="Times New Roman" w:hAnsi="Times New Roman" w:cs="Times New Roman"/>
      <w:sz w:val="22"/>
      <w:szCs w:val="22"/>
    </w:rPr>
  </w:style>
  <w:style w:type="character" w:customStyle="1" w:styleId="hpsatn">
    <w:name w:val="hps atn"/>
    <w:basedOn w:val="DefaultParagraphFont"/>
    <w:rsid w:val="0068636F"/>
  </w:style>
  <w:style w:type="paragraph" w:customStyle="1" w:styleId="Pa8">
    <w:name w:val="Pa8"/>
    <w:basedOn w:val="Default"/>
    <w:next w:val="Default"/>
    <w:uiPriority w:val="99"/>
    <w:rsid w:val="0068636F"/>
    <w:pPr>
      <w:tabs>
        <w:tab w:val="clear" w:pos="709"/>
      </w:tabs>
      <w:suppressAutoHyphens w:val="0"/>
      <w:autoSpaceDE w:val="0"/>
      <w:autoSpaceDN w:val="0"/>
      <w:adjustRightInd w:val="0"/>
      <w:spacing w:after="0" w:line="181" w:lineRule="atLeast"/>
    </w:pPr>
    <w:rPr>
      <w:rFonts w:ascii="Times New Roman" w:eastAsia="Calibri" w:hAnsi="Times New Roman" w:cs="Times New Roman"/>
      <w:color w:val="auto"/>
      <w:lang w:val="en-CA" w:eastAsia="en-CA"/>
    </w:rPr>
  </w:style>
  <w:style w:type="character" w:customStyle="1" w:styleId="http">
    <w:name w:val="http"/>
    <w:basedOn w:val="DefaultParagraphFont"/>
    <w:rsid w:val="0068636F"/>
  </w:style>
  <w:style w:type="character" w:customStyle="1" w:styleId="hpsalt-edited">
    <w:name w:val="hps alt-edited"/>
    <w:basedOn w:val="DefaultParagraphFont"/>
    <w:rsid w:val="0068636F"/>
  </w:style>
  <w:style w:type="character" w:customStyle="1" w:styleId="atn">
    <w:name w:val="atn"/>
    <w:basedOn w:val="DefaultParagraphFont"/>
    <w:rsid w:val="0068636F"/>
  </w:style>
  <w:style w:type="paragraph" w:customStyle="1" w:styleId="CM1">
    <w:name w:val="CM1"/>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3">
    <w:name w:val="CM3"/>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s73alineacentregras">
    <w:name w:val="s73alineacentregras"/>
    <w:basedOn w:val="Normal"/>
    <w:rsid w:val="006863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2">
    <w:name w:val="Body Text 2"/>
    <w:basedOn w:val="Normal"/>
    <w:link w:val="BodyText2Char"/>
    <w:rsid w:val="0068636F"/>
    <w:pPr>
      <w:spacing w:after="0" w:line="240" w:lineRule="auto"/>
      <w:jc w:val="both"/>
    </w:pPr>
    <w:rPr>
      <w:rFonts w:ascii="Tahoma" w:eastAsia="Times New Roman" w:hAnsi="Tahoma" w:cs="Tahoma"/>
      <w:sz w:val="20"/>
      <w:szCs w:val="20"/>
    </w:rPr>
  </w:style>
  <w:style w:type="character" w:customStyle="1" w:styleId="BodyText2Char">
    <w:name w:val="Body Text 2 Char"/>
    <w:basedOn w:val="DefaultParagraphFont"/>
    <w:link w:val="BodyText2"/>
    <w:rsid w:val="0068636F"/>
    <w:rPr>
      <w:rFonts w:ascii="Tahoma" w:eastAsia="Times New Roman" w:hAnsi="Tahoma" w:cs="Tahoma"/>
      <w:sz w:val="20"/>
      <w:szCs w:val="20"/>
      <w:lang w:val="hr-HR"/>
    </w:rPr>
  </w:style>
  <w:style w:type="paragraph" w:customStyle="1" w:styleId="CM4">
    <w:name w:val="CM4"/>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character" w:customStyle="1" w:styleId="A0">
    <w:name w:val="A0"/>
    <w:uiPriority w:val="99"/>
    <w:rsid w:val="0068636F"/>
    <w:rPr>
      <w:rFonts w:cs="Minion Pro"/>
      <w:color w:val="000000"/>
      <w:sz w:val="20"/>
      <w:szCs w:val="20"/>
    </w:rPr>
  </w:style>
  <w:style w:type="character" w:customStyle="1" w:styleId="italic1">
    <w:name w:val="italic1"/>
    <w:basedOn w:val="DefaultParagraphFont"/>
    <w:rsid w:val="0068636F"/>
    <w:rPr>
      <w:i/>
      <w:iCs/>
    </w:rPr>
  </w:style>
  <w:style w:type="character" w:styleId="HTMLCite">
    <w:name w:val="HTML Cite"/>
    <w:basedOn w:val="DefaultParagraphFont"/>
    <w:rsid w:val="0068636F"/>
    <w:rPr>
      <w:i/>
      <w:iCs/>
    </w:rPr>
  </w:style>
  <w:style w:type="character" w:customStyle="1" w:styleId="longtext">
    <w:name w:val="long_text"/>
    <w:basedOn w:val="DefaultParagraphFont"/>
    <w:rsid w:val="0068636F"/>
  </w:style>
  <w:style w:type="paragraph" w:customStyle="1" w:styleId="t-9-8">
    <w:name w:val="t-9-8"/>
    <w:basedOn w:val="Normal"/>
    <w:rsid w:val="004F0F9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5978</Words>
  <Characters>34076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56</cp:revision>
  <dcterms:created xsi:type="dcterms:W3CDTF">2014-04-10T20:22:00Z</dcterms:created>
  <dcterms:modified xsi:type="dcterms:W3CDTF">2014-04-30T12:44:00Z</dcterms:modified>
</cp:coreProperties>
</file>