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38" w:rsidRDefault="003A1838" w:rsidP="003A1838">
      <w:pPr>
        <w:jc w:val="right"/>
        <w:rPr>
          <w:rFonts w:asciiTheme="majorBidi" w:hAnsiTheme="majorBidi" w:cstheme="majorBidi"/>
          <w:sz w:val="22"/>
          <w:szCs w:val="22"/>
        </w:rPr>
      </w:pPr>
      <w:r w:rsidRPr="003A1838">
        <w:rPr>
          <w:rFonts w:asciiTheme="majorBidi" w:hAnsiTheme="majorBidi" w:cstheme="majorBidi"/>
          <w:sz w:val="22"/>
          <w:szCs w:val="22"/>
        </w:rPr>
        <w:t>Pregledni naučni rad</w:t>
      </w:r>
    </w:p>
    <w:p w:rsidR="003A1838" w:rsidRPr="003A1838" w:rsidRDefault="003A1838" w:rsidP="003A1838">
      <w:pPr>
        <w:rPr>
          <w:rFonts w:asciiTheme="majorBidi" w:hAnsiTheme="majorBidi" w:cstheme="majorBidi"/>
          <w:b/>
          <w:sz w:val="22"/>
          <w:szCs w:val="22"/>
        </w:rPr>
      </w:pPr>
    </w:p>
    <w:p w:rsidR="003A1838" w:rsidRPr="003A1838" w:rsidRDefault="003A1838" w:rsidP="003A1838">
      <w:pPr>
        <w:rPr>
          <w:rFonts w:asciiTheme="majorBidi" w:hAnsiTheme="majorBidi" w:cstheme="majorBidi"/>
          <w:bCs/>
          <w:sz w:val="22"/>
          <w:szCs w:val="22"/>
        </w:rPr>
      </w:pPr>
      <w:r w:rsidRPr="003A1838">
        <w:rPr>
          <w:rFonts w:asciiTheme="majorBidi" w:hAnsiTheme="majorBidi" w:cstheme="majorBidi"/>
          <w:bCs/>
          <w:sz w:val="22"/>
          <w:szCs w:val="22"/>
        </w:rPr>
        <w:t>Izv.prof.dr.sc. Mirela Župan, Pravni fakultet Osijek</w:t>
      </w:r>
    </w:p>
    <w:p w:rsidR="003A1838" w:rsidRPr="003A1838" w:rsidRDefault="003A1838" w:rsidP="003A1838">
      <w:pPr>
        <w:rPr>
          <w:rFonts w:asciiTheme="majorBidi" w:hAnsiTheme="majorBidi" w:cstheme="majorBidi"/>
          <w:bCs/>
          <w:sz w:val="22"/>
          <w:szCs w:val="22"/>
        </w:rPr>
      </w:pPr>
      <w:r w:rsidRPr="003A1838">
        <w:rPr>
          <w:rFonts w:asciiTheme="majorBidi" w:hAnsiTheme="majorBidi" w:cstheme="majorBidi"/>
          <w:bCs/>
          <w:sz w:val="22"/>
          <w:szCs w:val="22"/>
        </w:rPr>
        <w:t>Martina Drventić, mag. iur.</w:t>
      </w:r>
    </w:p>
    <w:p w:rsidR="003A1838" w:rsidRPr="003A1838" w:rsidRDefault="003A1838" w:rsidP="003A1838">
      <w:pPr>
        <w:jc w:val="both"/>
        <w:rPr>
          <w:rFonts w:asciiTheme="majorBidi" w:eastAsia="Times New Roman" w:hAnsiTheme="majorBidi" w:cstheme="majorBidi"/>
          <w:b/>
          <w:i/>
          <w:iCs/>
          <w:color w:val="000000"/>
          <w:sz w:val="22"/>
          <w:szCs w:val="22"/>
        </w:rPr>
      </w:pPr>
    </w:p>
    <w:p w:rsidR="003A1838" w:rsidRPr="003A1838" w:rsidRDefault="003A1838" w:rsidP="003A1838">
      <w:pPr>
        <w:jc w:val="center"/>
        <w:rPr>
          <w:rFonts w:asciiTheme="majorBidi" w:eastAsia="Times New Roman" w:hAnsiTheme="majorBidi" w:cstheme="majorBidi"/>
          <w:b/>
          <w:color w:val="000000"/>
          <w:sz w:val="24"/>
          <w:szCs w:val="24"/>
        </w:rPr>
      </w:pPr>
      <w:r w:rsidRPr="003A1838">
        <w:rPr>
          <w:rFonts w:asciiTheme="majorBidi" w:eastAsia="Times New Roman" w:hAnsiTheme="majorBidi" w:cstheme="majorBidi"/>
          <w:b/>
          <w:iCs/>
          <w:color w:val="000000"/>
          <w:sz w:val="24"/>
          <w:szCs w:val="24"/>
        </w:rPr>
        <w:t>SUSTAV SREDIŠNJIH TIJELA KROZ EUROPSKI MODEL NAPLATE PREKOGRANIČNOG UZDRŽAVANJA</w:t>
      </w:r>
    </w:p>
    <w:p w:rsidR="003A1838" w:rsidRPr="003A1838" w:rsidRDefault="003A1838" w:rsidP="003A1838">
      <w:pPr>
        <w:jc w:val="both"/>
        <w:rPr>
          <w:rFonts w:asciiTheme="majorBidi" w:eastAsiaTheme="minorHAnsi" w:hAnsiTheme="majorBidi" w:cstheme="majorBidi"/>
          <w:sz w:val="22"/>
          <w:szCs w:val="22"/>
          <w:lang w:eastAsia="en-US"/>
        </w:rPr>
      </w:pPr>
    </w:p>
    <w:p w:rsidR="003A1838" w:rsidRPr="003A1838" w:rsidRDefault="003A1838" w:rsidP="003A1838">
      <w:pPr>
        <w:ind w:firstLine="708"/>
        <w:jc w:val="both"/>
        <w:rPr>
          <w:rFonts w:asciiTheme="majorBidi" w:hAnsiTheme="majorBidi" w:cstheme="majorBidi"/>
          <w:sz w:val="22"/>
          <w:szCs w:val="22"/>
        </w:rPr>
      </w:pPr>
      <w:r w:rsidRPr="003A1838">
        <w:rPr>
          <w:rFonts w:asciiTheme="majorBidi" w:hAnsiTheme="majorBidi" w:cstheme="majorBidi"/>
          <w:b/>
          <w:sz w:val="22"/>
          <w:szCs w:val="22"/>
        </w:rPr>
        <w:t>Sažetak</w:t>
      </w:r>
      <w:r>
        <w:rPr>
          <w:rFonts w:asciiTheme="majorBidi" w:hAnsiTheme="majorBidi" w:cstheme="majorBidi"/>
          <w:b/>
          <w:sz w:val="22"/>
          <w:szCs w:val="22"/>
        </w:rPr>
        <w:t xml:space="preserve">: </w:t>
      </w:r>
      <w:r w:rsidRPr="003A1838">
        <w:rPr>
          <w:rFonts w:asciiTheme="majorBidi" w:hAnsiTheme="majorBidi" w:cstheme="majorBidi"/>
          <w:sz w:val="22"/>
          <w:szCs w:val="22"/>
        </w:rPr>
        <w:t xml:space="preserve">Jedna od konzekvencija suvremene intenzivne mobilnosti je značajno povećanje broja  prekograničnih obiteljskih predmeta. Pravni sustavi na ovu pojavu odgovaraju normiranjem (kako na nacionalnoj, tako i na međunarodnoj razini), u okviru kojega se u području pravne zaštite najranjivijih, prije svega djece, naglasak stavlja na rad i funkcioniranje sustava središnjih tijela. Sustav središnjih tijela ima presudnu ulogu u prekograničnoj naplati uzdržavanja, te time čini jednu od ključnih poluga u smanjenju siromaštva vjerovnika uzdržavanja. Predmetom je ovoga rada pozicioniranje sustava središnjih tijela u rješavanju međunarodno obilježenih obiteljskih predmeta, pojašnjenje djelokruga njihova rada u predmetima uzdržavanja te u kontekstu Hrvatske konkretna obrada relevantnih propisa, poglavito Uredbe br. 4/2009. </w:t>
      </w:r>
    </w:p>
    <w:p w:rsidR="003A1838" w:rsidRPr="003A1838" w:rsidRDefault="003A1838" w:rsidP="003A1838">
      <w:pPr>
        <w:ind w:firstLine="360"/>
        <w:jc w:val="both"/>
        <w:rPr>
          <w:rFonts w:asciiTheme="majorBidi" w:hAnsiTheme="majorBidi" w:cstheme="majorBidi"/>
          <w:b/>
          <w:sz w:val="22"/>
          <w:szCs w:val="22"/>
        </w:rPr>
      </w:pPr>
      <w:r w:rsidRPr="003A1838">
        <w:rPr>
          <w:rFonts w:asciiTheme="majorBidi" w:hAnsiTheme="majorBidi" w:cstheme="majorBidi"/>
          <w:b/>
          <w:sz w:val="22"/>
          <w:szCs w:val="22"/>
        </w:rPr>
        <w:t>Ključne riječi:</w:t>
      </w:r>
      <w:r w:rsidRPr="003A1838">
        <w:rPr>
          <w:rFonts w:asciiTheme="majorBidi" w:hAnsiTheme="majorBidi" w:cstheme="majorBidi"/>
          <w:sz w:val="22"/>
          <w:szCs w:val="22"/>
        </w:rPr>
        <w:t xml:space="preserve"> sustav središnjih tijela, uzdržavanje,Uredba o uzdržavanju.</w:t>
      </w:r>
    </w:p>
    <w:p w:rsidR="003A1838" w:rsidRPr="003A1838" w:rsidRDefault="003A1838" w:rsidP="003A1838">
      <w:pPr>
        <w:jc w:val="both"/>
        <w:rPr>
          <w:rFonts w:asciiTheme="majorBidi" w:hAnsiTheme="majorBidi" w:cstheme="majorBidi"/>
          <w:b/>
          <w:sz w:val="22"/>
          <w:szCs w:val="22"/>
        </w:rPr>
      </w:pPr>
    </w:p>
    <w:p w:rsidR="003A1838" w:rsidRPr="003A1838" w:rsidRDefault="003A1838" w:rsidP="003A1838">
      <w:pPr>
        <w:pStyle w:val="ListParagraph"/>
        <w:numPr>
          <w:ilvl w:val="0"/>
          <w:numId w:val="18"/>
        </w:numPr>
        <w:ind w:left="360"/>
        <w:jc w:val="both"/>
        <w:rPr>
          <w:rFonts w:asciiTheme="majorBidi" w:hAnsiTheme="majorBidi" w:cstheme="majorBidi"/>
          <w:b/>
          <w:sz w:val="22"/>
          <w:szCs w:val="22"/>
        </w:rPr>
      </w:pPr>
      <w:r w:rsidRPr="003A1838">
        <w:rPr>
          <w:rFonts w:asciiTheme="majorBidi" w:hAnsiTheme="majorBidi" w:cstheme="majorBidi"/>
          <w:b/>
          <w:sz w:val="22"/>
          <w:szCs w:val="22"/>
        </w:rPr>
        <w:t>Uvod</w:t>
      </w:r>
    </w:p>
    <w:p w:rsidR="003A1838" w:rsidRPr="003A1838" w:rsidRDefault="003A1838" w:rsidP="003A1838">
      <w:pPr>
        <w:pStyle w:val="ListParagraph"/>
        <w:ind w:left="360"/>
        <w:jc w:val="both"/>
        <w:rPr>
          <w:rFonts w:asciiTheme="majorBidi" w:hAnsiTheme="majorBidi" w:cstheme="majorBidi"/>
          <w:b/>
          <w:sz w:val="22"/>
          <w:szCs w:val="22"/>
        </w:rPr>
      </w:pPr>
    </w:p>
    <w:p w:rsidR="003A1838" w:rsidRPr="003A1838" w:rsidRDefault="003A1838" w:rsidP="003A1838">
      <w:pPr>
        <w:ind w:firstLine="708"/>
        <w:jc w:val="both"/>
        <w:rPr>
          <w:rFonts w:asciiTheme="majorBidi" w:hAnsiTheme="majorBidi" w:cstheme="majorBidi"/>
          <w:sz w:val="22"/>
          <w:szCs w:val="22"/>
        </w:rPr>
      </w:pPr>
      <w:r w:rsidRPr="003A1838">
        <w:rPr>
          <w:rFonts w:asciiTheme="majorBidi" w:hAnsiTheme="majorBidi" w:cstheme="majorBidi"/>
          <w:sz w:val="22"/>
          <w:szCs w:val="22"/>
        </w:rPr>
        <w:t>Jedna od konzekvencija suvremene intenzivne mobilnosti je značajno povećanje broja prekograničnih obiteljskih predmeta, uključivo i predmeta uzdržavanja. Pravni sustavi na ovu pojavu odgovaraju normiranjem: usvajaju se moderniji nacionalni zakoni o međunarodnom privatnom i procesnom pravu,</w:t>
      </w:r>
      <w:r w:rsidRPr="003A1838">
        <w:rPr>
          <w:rStyle w:val="FootnoteReference"/>
          <w:rFonts w:asciiTheme="majorBidi" w:hAnsiTheme="majorBidi" w:cstheme="majorBidi"/>
          <w:sz w:val="22"/>
          <w:szCs w:val="22"/>
        </w:rPr>
        <w:footnoteReference w:id="1"/>
      </w:r>
      <w:r w:rsidRPr="003A1838">
        <w:rPr>
          <w:rFonts w:asciiTheme="majorBidi" w:hAnsiTheme="majorBidi" w:cstheme="majorBidi"/>
          <w:sz w:val="22"/>
          <w:szCs w:val="22"/>
        </w:rPr>
        <w:t xml:space="preserve"> dok se u okviru rada međunarodnih organizacija iznalaze i donose novi pravni okviri. Vodeći globalni akter za međunarodne konvencije u području međunarodnog privatnog prava je Haška konferencija za međunarodno privatno pravo,</w:t>
      </w:r>
      <w:r w:rsidRPr="003A1838">
        <w:rPr>
          <w:rStyle w:val="FootnoteReference"/>
          <w:rFonts w:asciiTheme="majorBidi" w:hAnsiTheme="majorBidi" w:cstheme="majorBidi"/>
          <w:sz w:val="22"/>
          <w:szCs w:val="22"/>
        </w:rPr>
        <w:footnoteReference w:id="2"/>
      </w:r>
      <w:r w:rsidRPr="003A1838">
        <w:rPr>
          <w:rFonts w:asciiTheme="majorBidi" w:hAnsiTheme="majorBidi" w:cstheme="majorBidi"/>
          <w:sz w:val="22"/>
          <w:szCs w:val="22"/>
        </w:rPr>
        <w:t xml:space="preserve"> dok značajnu regionalnu poziciju danas zauzima Europska unija.</w:t>
      </w:r>
      <w:r w:rsidRPr="003A1838">
        <w:rPr>
          <w:rStyle w:val="FootnoteReference"/>
          <w:rFonts w:asciiTheme="majorBidi" w:hAnsiTheme="majorBidi" w:cstheme="majorBidi"/>
          <w:sz w:val="22"/>
          <w:szCs w:val="22"/>
        </w:rPr>
        <w:footnoteReference w:id="3"/>
      </w:r>
      <w:r w:rsidRPr="003A1838">
        <w:rPr>
          <w:rFonts w:asciiTheme="majorBidi" w:hAnsiTheme="majorBidi" w:cstheme="majorBidi"/>
          <w:sz w:val="22"/>
          <w:szCs w:val="22"/>
        </w:rPr>
        <w:t xml:space="preserve">  Normiranje se u svojoj osnovi događa u sferi metoda uvriježenih za rješavanje međunarodno obilježenih situacija: propisivanje pravila o međunarodnoj nadležnosti, propisivanje mjerodavnog prava, uvođenje pravila o međunarodnoj litispendenciji, određivanje postupka i pretpostavki za priznanje i ovrhu stranih odluka. Ipak, u području pravne zaštite najranjivijih, prije svega djece, odavno je na međunarodnoj sceni u okviru rada Ujedinjenih naroda usvojen još jedan pristup: uvođenje sustava središnjih tijela (tada prijemnih i otpremnih). Sustav središnjih tijela danas doživljava svoju renesansu u svim novijim međunarodnim i europskim aktima namijenjenim rješavanju prekograničnih predmeta. Sustav središnjih tijela ima presudnu ulogu u prekograničnoj naplati uzdržavanja, te </w:t>
      </w:r>
      <w:r w:rsidRPr="003A1838">
        <w:rPr>
          <w:rFonts w:asciiTheme="majorBidi" w:hAnsiTheme="majorBidi" w:cstheme="majorBidi"/>
          <w:sz w:val="22"/>
          <w:szCs w:val="22"/>
        </w:rPr>
        <w:lastRenderedPageBreak/>
        <w:t xml:space="preserve">time čini jednu od ključnih poluga u smanjenju siromaštva vjerovnika uzdržavanja. Predmetom je ovoga rada pozicioniranje sustava središnjih tijela u rješavanju međunarodno obilježenih obiteljskih predmeta, pojašnjenje djelokruga njihova rada u predmetima uzdržavanja te konkretna obrada nadležnosti, rada i funkcioniranja u kontekstu Uredbe br. 4/2009. </w:t>
      </w:r>
    </w:p>
    <w:p w:rsidR="003A1838" w:rsidRPr="003A1838" w:rsidRDefault="003A1838" w:rsidP="003A1838">
      <w:pPr>
        <w:jc w:val="both"/>
        <w:rPr>
          <w:rFonts w:asciiTheme="majorBidi" w:hAnsiTheme="majorBidi" w:cstheme="majorBidi"/>
          <w:b/>
          <w:sz w:val="22"/>
          <w:szCs w:val="22"/>
        </w:rPr>
      </w:pPr>
    </w:p>
    <w:p w:rsidR="003A1838" w:rsidRPr="003A1838" w:rsidRDefault="003A1838" w:rsidP="003A1838">
      <w:pPr>
        <w:pStyle w:val="ListParagraph"/>
        <w:numPr>
          <w:ilvl w:val="0"/>
          <w:numId w:val="18"/>
        </w:numPr>
        <w:ind w:left="360"/>
        <w:jc w:val="both"/>
        <w:rPr>
          <w:rFonts w:asciiTheme="majorBidi" w:hAnsiTheme="majorBidi" w:cstheme="majorBidi"/>
          <w:b/>
          <w:sz w:val="22"/>
          <w:szCs w:val="22"/>
        </w:rPr>
      </w:pPr>
      <w:r w:rsidRPr="003A1838">
        <w:rPr>
          <w:rFonts w:asciiTheme="majorBidi" w:hAnsiTheme="majorBidi" w:cstheme="majorBidi"/>
          <w:b/>
          <w:sz w:val="22"/>
          <w:szCs w:val="22"/>
        </w:rPr>
        <w:t xml:space="preserve">Sustavi središnjih tijela – pravni izvori </w:t>
      </w:r>
    </w:p>
    <w:p w:rsidR="003A1838" w:rsidRPr="003A1838" w:rsidRDefault="003A1838" w:rsidP="003A1838">
      <w:pPr>
        <w:jc w:val="both"/>
        <w:rPr>
          <w:rFonts w:asciiTheme="majorBidi" w:hAnsiTheme="majorBidi" w:cstheme="majorBidi"/>
          <w:b/>
          <w:sz w:val="22"/>
          <w:szCs w:val="22"/>
        </w:rPr>
      </w:pPr>
    </w:p>
    <w:p w:rsidR="003A1838" w:rsidRPr="003A1838" w:rsidRDefault="003A1838" w:rsidP="003A1838">
      <w:pPr>
        <w:pStyle w:val="Odlomakpopisa"/>
        <w:spacing w:after="0" w:line="240" w:lineRule="auto"/>
        <w:ind w:left="0" w:firstLine="708"/>
        <w:contextualSpacing w:val="0"/>
        <w:jc w:val="both"/>
        <w:rPr>
          <w:rFonts w:asciiTheme="majorBidi" w:hAnsiTheme="majorBidi" w:cstheme="majorBidi"/>
        </w:rPr>
      </w:pPr>
      <w:r w:rsidRPr="003A1838">
        <w:rPr>
          <w:rFonts w:asciiTheme="majorBidi" w:hAnsiTheme="majorBidi" w:cstheme="majorBidi"/>
        </w:rPr>
        <w:t>Suvremeni trend prema kojem se zbog unapređenja pravosudne suradnje u obiteljskim predmetima prakticira mehanizam središnjih tijela nije inovacija našeg vremena!</w:t>
      </w:r>
      <w:r w:rsidRPr="003A1838">
        <w:rPr>
          <w:rStyle w:val="FootnoteReference"/>
          <w:rFonts w:asciiTheme="majorBidi" w:hAnsiTheme="majorBidi" w:cstheme="majorBidi"/>
        </w:rPr>
        <w:footnoteReference w:id="4"/>
      </w:r>
      <w:r w:rsidRPr="003A1838">
        <w:rPr>
          <w:rFonts w:asciiTheme="majorBidi" w:hAnsiTheme="majorBidi" w:cstheme="majorBidi"/>
        </w:rPr>
        <w:t xml:space="preserve"> UN </w:t>
      </w:r>
      <w:r w:rsidRPr="003A1838">
        <w:rPr>
          <w:rFonts w:asciiTheme="majorBidi" w:eastAsia="Times New Roman" w:hAnsiTheme="majorBidi" w:cstheme="majorBidi"/>
          <w:lang w:eastAsia="hr-HR"/>
        </w:rPr>
        <w:t>Konvencija o ostvarivanju alimentacijskih zahtjeva u inozemstvu iz 1956.</w:t>
      </w:r>
      <w:r w:rsidRPr="003A1838">
        <w:rPr>
          <w:rFonts w:asciiTheme="majorBidi" w:hAnsiTheme="majorBidi" w:cstheme="majorBidi"/>
        </w:rPr>
        <w:t xml:space="preserve"> jedna je od najstarijih konvencija kojom je uspostavljena globalna mreža središnjih tijela.</w:t>
      </w:r>
      <w:r w:rsidRPr="003A1838">
        <w:rPr>
          <w:rStyle w:val="FootnoteReference"/>
          <w:rFonts w:asciiTheme="majorBidi" w:hAnsiTheme="majorBidi" w:cstheme="majorBidi"/>
        </w:rPr>
        <w:footnoteReference w:id="5"/>
      </w:r>
      <w:r w:rsidRPr="003A1838">
        <w:rPr>
          <w:rFonts w:asciiTheme="majorBidi" w:hAnsiTheme="majorBidi" w:cstheme="majorBidi"/>
        </w:rPr>
        <w:t xml:space="preserve"> U radu Vijeća Europe također se koristi ovaj vid pravosudne suradnje u prekograničnim obiteljskim predmetima.</w:t>
      </w:r>
      <w:r w:rsidRPr="003A1838">
        <w:rPr>
          <w:rStyle w:val="FootnoteReference"/>
          <w:rFonts w:asciiTheme="majorBidi" w:hAnsiTheme="majorBidi" w:cstheme="majorBidi"/>
        </w:rPr>
        <w:footnoteReference w:id="6"/>
      </w:r>
      <w:r w:rsidRPr="003A1838">
        <w:rPr>
          <w:rFonts w:asciiTheme="majorBidi" w:hAnsiTheme="majorBidi" w:cstheme="majorBidi"/>
        </w:rPr>
        <w:t xml:space="preserve"> Konvencije Haške konferencije u kojih je korišten mehanizam središnjih tijela</w:t>
      </w:r>
      <w:r w:rsidRPr="003A1838">
        <w:rPr>
          <w:rStyle w:val="FootnoteReference"/>
          <w:rFonts w:asciiTheme="majorBidi" w:hAnsiTheme="majorBidi" w:cstheme="majorBidi"/>
        </w:rPr>
        <w:footnoteReference w:id="7"/>
      </w:r>
      <w:r w:rsidRPr="003A1838">
        <w:rPr>
          <w:rFonts w:asciiTheme="majorBidi" w:hAnsiTheme="majorBidi" w:cstheme="majorBidi"/>
        </w:rPr>
        <w:t xml:space="preserve"> poslužile su kao prototip širokom prakticiranju u instrumentima EU. EU </w:t>
      </w:r>
      <w:r w:rsidRPr="003A1838">
        <w:rPr>
          <w:rFonts w:asciiTheme="majorBidi" w:hAnsiTheme="majorBidi" w:cstheme="majorBidi"/>
          <w:i/>
        </w:rPr>
        <w:t>acquis</w:t>
      </w:r>
      <w:r w:rsidRPr="003A1838">
        <w:rPr>
          <w:rFonts w:asciiTheme="majorBidi" w:hAnsiTheme="majorBidi" w:cstheme="majorBidi"/>
        </w:rPr>
        <w:t xml:space="preserve"> prihvaća ovaj model, štoviše, u domeni pravosudne zaštite djeteta daje prednost mehanizmu međuvladine administrativne suradnje putem središnjih tijela u odnosu na klasične mehanizme međunarodnog privatnog i procesnog prava. Središnja tijela u svakoj su državi članici bazična struktura u učinkovitom pristupu pravnim i upravnim postupcima u kojima se mogu naći djeca i njihovi roditelji, kako u okviru Uredbe 2201/2003 (dalje Brisel II. </w:t>
      </w:r>
      <w:r w:rsidRPr="003A1838">
        <w:rPr>
          <w:rFonts w:asciiTheme="majorBidi" w:hAnsiTheme="majorBidi" w:cstheme="majorBidi"/>
          <w:i/>
        </w:rPr>
        <w:t>bis)</w:t>
      </w:r>
      <w:r w:rsidRPr="003A1838">
        <w:rPr>
          <w:rFonts w:asciiTheme="majorBidi" w:hAnsiTheme="majorBidi" w:cstheme="majorBidi"/>
        </w:rPr>
        <w:t>,</w:t>
      </w:r>
      <w:r w:rsidRPr="003A1838">
        <w:rPr>
          <w:rStyle w:val="FootnoteReference"/>
          <w:rFonts w:asciiTheme="majorBidi" w:hAnsiTheme="majorBidi" w:cstheme="majorBidi"/>
        </w:rPr>
        <w:footnoteReference w:id="8"/>
      </w:r>
      <w:r w:rsidRPr="003A1838">
        <w:rPr>
          <w:rFonts w:asciiTheme="majorBidi" w:hAnsiTheme="majorBidi" w:cstheme="majorBidi"/>
        </w:rPr>
        <w:t xml:space="preserve"> ali i Uredbe br. 4/2009. o </w:t>
      </w:r>
      <w:r w:rsidRPr="003A1838">
        <w:rPr>
          <w:rFonts w:asciiTheme="majorBidi" w:hAnsiTheme="majorBidi" w:cstheme="majorBidi"/>
        </w:rPr>
        <w:lastRenderedPageBreak/>
        <w:t>uzdržavanju.</w:t>
      </w:r>
      <w:r w:rsidRPr="003A1838">
        <w:rPr>
          <w:rStyle w:val="FootnoteReference"/>
          <w:rFonts w:asciiTheme="majorBidi" w:hAnsiTheme="majorBidi" w:cstheme="majorBidi"/>
        </w:rPr>
        <w:footnoteReference w:id="9"/>
      </w:r>
      <w:r w:rsidRPr="003A1838">
        <w:rPr>
          <w:rFonts w:asciiTheme="majorBidi" w:hAnsiTheme="majorBidi" w:cstheme="majorBidi"/>
        </w:rPr>
        <w:t xml:space="preserve"> Sukladno čl. 53. Brisel II. </w:t>
      </w:r>
      <w:r w:rsidRPr="003A1838">
        <w:rPr>
          <w:rFonts w:asciiTheme="majorBidi" w:hAnsiTheme="majorBidi" w:cstheme="majorBidi"/>
          <w:i/>
        </w:rPr>
        <w:t>bis</w:t>
      </w:r>
      <w:r w:rsidRPr="003A1838">
        <w:rPr>
          <w:rFonts w:asciiTheme="majorBidi" w:hAnsiTheme="majorBidi" w:cstheme="majorBidi"/>
        </w:rPr>
        <w:t>, odnosno članku 49. Uredbe o uzdržavanju svaka država članica određuje središnje tijelo kojemu su povjerene brojne opće i posebne zadaće. U načelu ova tijela promiču razmjenu informacija o nacionalnom zakonodavstvu i postupcima, međusobnu surađuju u primjeni odnosnih uredaba; olakšavaju komunikaciju između sudova, i drugo.</w:t>
      </w:r>
    </w:p>
    <w:p w:rsidR="003A1838" w:rsidRPr="003A1838" w:rsidRDefault="003A1838" w:rsidP="003A1838">
      <w:pPr>
        <w:pStyle w:val="Odlomakpopisa"/>
        <w:spacing w:after="0" w:line="240" w:lineRule="auto"/>
        <w:ind w:left="0"/>
        <w:contextualSpacing w:val="0"/>
        <w:jc w:val="both"/>
        <w:rPr>
          <w:rFonts w:asciiTheme="majorBidi" w:hAnsiTheme="majorBidi" w:cstheme="majorBidi"/>
        </w:rPr>
      </w:pPr>
    </w:p>
    <w:p w:rsidR="003A1838" w:rsidRPr="003A1838" w:rsidRDefault="003A1838" w:rsidP="003A1838">
      <w:pPr>
        <w:pStyle w:val="Odlomakpopisa"/>
        <w:spacing w:after="0" w:line="240" w:lineRule="auto"/>
        <w:ind w:left="0"/>
        <w:contextualSpacing w:val="0"/>
        <w:jc w:val="both"/>
        <w:rPr>
          <w:rFonts w:asciiTheme="majorBidi" w:hAnsiTheme="majorBidi" w:cstheme="majorBidi"/>
          <w:b/>
        </w:rPr>
      </w:pPr>
      <w:r w:rsidRPr="003A1838">
        <w:rPr>
          <w:rFonts w:asciiTheme="majorBidi" w:hAnsiTheme="majorBidi" w:cstheme="majorBidi"/>
          <w:b/>
        </w:rPr>
        <w:t>3.  Središnja tijela u prekograničnim postupcima uzdržavanja sukladno Uredbi o uzdržavanju</w:t>
      </w:r>
    </w:p>
    <w:p w:rsidR="003A1838" w:rsidRDefault="003A1838" w:rsidP="003A1838">
      <w:pPr>
        <w:pStyle w:val="Odlomakpopisa"/>
        <w:spacing w:after="0" w:line="240" w:lineRule="auto"/>
        <w:contextualSpacing w:val="0"/>
        <w:jc w:val="both"/>
        <w:rPr>
          <w:rFonts w:asciiTheme="majorBidi" w:hAnsiTheme="majorBidi" w:cstheme="majorBidi"/>
          <w:b/>
        </w:rPr>
      </w:pPr>
    </w:p>
    <w:p w:rsidR="003A1838" w:rsidRPr="003A1838" w:rsidRDefault="003A1838" w:rsidP="003A1838">
      <w:pPr>
        <w:pStyle w:val="Odlomakpopisa"/>
        <w:spacing w:after="0" w:line="240" w:lineRule="auto"/>
        <w:contextualSpacing w:val="0"/>
        <w:jc w:val="both"/>
        <w:rPr>
          <w:rFonts w:asciiTheme="majorBidi" w:hAnsiTheme="majorBidi" w:cstheme="majorBidi"/>
          <w:b/>
          <w:i/>
          <w:iCs/>
        </w:rPr>
      </w:pPr>
      <w:r w:rsidRPr="003A1838">
        <w:rPr>
          <w:rFonts w:asciiTheme="majorBidi" w:hAnsiTheme="majorBidi" w:cstheme="majorBidi"/>
          <w:b/>
          <w:i/>
          <w:iCs/>
        </w:rPr>
        <w:t>3.1. Prekogranična suradnja u predmetima uzdržavanja</w:t>
      </w:r>
    </w:p>
    <w:p w:rsidR="003A1838" w:rsidRDefault="003A1838" w:rsidP="003A1838">
      <w:pPr>
        <w:pStyle w:val="Odlomakpopisa"/>
        <w:spacing w:after="0" w:line="240" w:lineRule="auto"/>
        <w:ind w:left="0" w:firstLine="708"/>
        <w:contextualSpacing w:val="0"/>
        <w:jc w:val="both"/>
        <w:rPr>
          <w:rFonts w:asciiTheme="majorBidi" w:hAnsiTheme="majorBidi" w:cstheme="majorBidi"/>
        </w:rPr>
      </w:pPr>
    </w:p>
    <w:p w:rsidR="003A1838" w:rsidRPr="003A1838" w:rsidRDefault="003A1838" w:rsidP="003A1838">
      <w:pPr>
        <w:pStyle w:val="Odlomakpopisa"/>
        <w:spacing w:after="0" w:line="240" w:lineRule="auto"/>
        <w:ind w:left="0" w:firstLine="708"/>
        <w:contextualSpacing w:val="0"/>
        <w:jc w:val="both"/>
        <w:rPr>
          <w:rFonts w:asciiTheme="majorBidi" w:hAnsiTheme="majorBidi" w:cstheme="majorBidi"/>
        </w:rPr>
      </w:pPr>
      <w:r w:rsidRPr="003A1838">
        <w:rPr>
          <w:rFonts w:asciiTheme="majorBidi" w:hAnsiTheme="majorBidi" w:cstheme="majorBidi"/>
        </w:rPr>
        <w:t>Sam se sustav središnjih prijemnih i otpremnih tijela prvo pojavio u kontekstu predmeta uzdržavanja kroz New Yoršku konvenciju.</w:t>
      </w:r>
      <w:r w:rsidRPr="003A1838">
        <w:rPr>
          <w:rStyle w:val="FootnoteReference"/>
          <w:rFonts w:asciiTheme="majorBidi" w:hAnsiTheme="majorBidi" w:cstheme="majorBidi"/>
        </w:rPr>
        <w:footnoteReference w:id="10"/>
      </w:r>
      <w:r w:rsidRPr="003A1838">
        <w:rPr>
          <w:rFonts w:asciiTheme="majorBidi" w:hAnsiTheme="majorBidi" w:cstheme="majorBidi"/>
        </w:rPr>
        <w:t xml:space="preserve"> Mehanizam je prihvaćen i bitno pojačan kroz sustav Haških konvencija.</w:t>
      </w:r>
      <w:r w:rsidRPr="003A1838">
        <w:rPr>
          <w:rStyle w:val="FootnoteReference"/>
          <w:rFonts w:asciiTheme="majorBidi" w:hAnsiTheme="majorBidi" w:cstheme="majorBidi"/>
        </w:rPr>
        <w:footnoteReference w:id="11"/>
      </w:r>
      <w:r w:rsidRPr="003A1838">
        <w:rPr>
          <w:rFonts w:asciiTheme="majorBidi" w:hAnsiTheme="majorBidi" w:cstheme="majorBidi"/>
        </w:rPr>
        <w:t xml:space="preserve"> Ključna je pregovaračka točka kod usvajanja HK o uzdržavanju 2007</w:t>
      </w:r>
      <w:r w:rsidRPr="003A1838">
        <w:rPr>
          <w:rStyle w:val="FootnoteReference"/>
          <w:rFonts w:asciiTheme="majorBidi" w:hAnsiTheme="majorBidi" w:cstheme="majorBidi"/>
        </w:rPr>
        <w:footnoteReference w:id="12"/>
      </w:r>
      <w:r w:rsidRPr="003A1838">
        <w:rPr>
          <w:rFonts w:asciiTheme="majorBidi" w:hAnsiTheme="majorBidi" w:cstheme="majorBidi"/>
        </w:rPr>
        <w:t xml:space="preserve"> bila upravo u općim i posebnim zadacima povjerenim središnjim tijelima, u kontekstu nužnih promjena nacionalnih sustava koji bi trebali osigurati takav sveobuhvatan, brz i učinkovit rad središnjih tijela.</w:t>
      </w:r>
      <w:r w:rsidRPr="003A1838">
        <w:rPr>
          <w:rStyle w:val="FootnoteReference"/>
          <w:rFonts w:asciiTheme="majorBidi" w:hAnsiTheme="majorBidi" w:cstheme="majorBidi"/>
        </w:rPr>
        <w:footnoteReference w:id="13"/>
      </w:r>
    </w:p>
    <w:p w:rsidR="003A1838" w:rsidRPr="003A1838" w:rsidRDefault="003A1838" w:rsidP="003A1838">
      <w:pPr>
        <w:pStyle w:val="Odlomakpopisa"/>
        <w:spacing w:after="0" w:line="240" w:lineRule="auto"/>
        <w:ind w:left="0" w:firstLine="708"/>
        <w:contextualSpacing w:val="0"/>
        <w:jc w:val="both"/>
        <w:rPr>
          <w:rFonts w:asciiTheme="majorBidi" w:hAnsiTheme="majorBidi" w:cstheme="majorBidi"/>
        </w:rPr>
      </w:pPr>
      <w:r w:rsidRPr="003A1838">
        <w:rPr>
          <w:rFonts w:asciiTheme="majorBidi" w:hAnsiTheme="majorBidi" w:cstheme="majorBidi"/>
        </w:rPr>
        <w:t xml:space="preserve">U okvirima </w:t>
      </w:r>
      <w:r w:rsidRPr="003A1838">
        <w:rPr>
          <w:rFonts w:asciiTheme="majorBidi" w:hAnsiTheme="majorBidi" w:cstheme="majorBidi"/>
          <w:i/>
        </w:rPr>
        <w:t>acquisa</w:t>
      </w:r>
      <w:r w:rsidRPr="003A1838">
        <w:rPr>
          <w:rFonts w:asciiTheme="majorBidi" w:hAnsiTheme="majorBidi" w:cstheme="majorBidi"/>
        </w:rPr>
        <w:t>, Uredba o uzdržavanju do sada je najsveobuhvatnije normirala rad središnjih tijela.</w:t>
      </w:r>
      <w:r w:rsidRPr="003A1838">
        <w:rPr>
          <w:rStyle w:val="FootnoteReference"/>
          <w:rFonts w:asciiTheme="majorBidi" w:hAnsiTheme="majorBidi" w:cstheme="majorBidi"/>
        </w:rPr>
        <w:footnoteReference w:id="14"/>
      </w:r>
      <w:r w:rsidRPr="003A1838">
        <w:rPr>
          <w:rFonts w:asciiTheme="majorBidi" w:hAnsiTheme="majorBidi" w:cstheme="majorBidi"/>
        </w:rPr>
        <w:t xml:space="preserve"> Posebne zadaće u okviru Uredbe o uzdržavanju odnose se na prijem i prijenos zahtjeva, pokretanje postupaka za donošenje odluke ili izmjenu odluke o uzdržavanju ili za ovrhu odluke o uzdržavanju, pomoć u nalaženju dužnika ili vjerovnika, i drugo (članak 50. – 53.). U prvoj je godini primjene Uredbe o uzdržavanju na razini EU zaprimljeno više od 4000 zahtjeva putem središnjih tijela.</w:t>
      </w:r>
      <w:r w:rsidRPr="003A1838">
        <w:rPr>
          <w:rStyle w:val="FootnoteReference"/>
          <w:rFonts w:asciiTheme="majorBidi" w:hAnsiTheme="majorBidi" w:cstheme="majorBidi"/>
        </w:rPr>
        <w:footnoteReference w:id="15"/>
      </w:r>
      <w:r w:rsidRPr="003A1838">
        <w:rPr>
          <w:rFonts w:asciiTheme="majorBidi" w:hAnsiTheme="majorBidi" w:cstheme="majorBidi"/>
        </w:rPr>
        <w:t xml:space="preserve"> Ipak, isto je istraživanje pokazalo da se sve države članice teško nose s kratkim rokovima koje Uredba predviđa ili ih ne uspijevaju ispoštovati.</w:t>
      </w:r>
      <w:r w:rsidRPr="003A1838">
        <w:rPr>
          <w:rStyle w:val="FootnoteReference"/>
          <w:rFonts w:asciiTheme="majorBidi" w:hAnsiTheme="majorBidi" w:cstheme="majorBidi"/>
        </w:rPr>
        <w:footnoteReference w:id="16"/>
      </w:r>
    </w:p>
    <w:p w:rsidR="003A1838" w:rsidRPr="003A1838" w:rsidRDefault="003A1838" w:rsidP="003A1838">
      <w:pPr>
        <w:pStyle w:val="Odlomakpopisa"/>
        <w:spacing w:after="0" w:line="240" w:lineRule="auto"/>
        <w:ind w:left="0"/>
        <w:contextualSpacing w:val="0"/>
        <w:jc w:val="both"/>
        <w:rPr>
          <w:rFonts w:asciiTheme="majorBidi" w:hAnsiTheme="majorBidi" w:cstheme="majorBidi"/>
        </w:rPr>
      </w:pPr>
    </w:p>
    <w:p w:rsidR="003A1838" w:rsidRPr="003A1838" w:rsidRDefault="003A1838" w:rsidP="003A1838">
      <w:pPr>
        <w:ind w:firstLine="708"/>
        <w:jc w:val="both"/>
        <w:rPr>
          <w:rFonts w:asciiTheme="majorBidi" w:hAnsiTheme="majorBidi" w:cstheme="majorBidi"/>
          <w:b/>
          <w:i/>
          <w:iCs/>
          <w:sz w:val="22"/>
          <w:szCs w:val="22"/>
        </w:rPr>
      </w:pPr>
      <w:r w:rsidRPr="003A1838">
        <w:rPr>
          <w:rFonts w:asciiTheme="majorBidi" w:hAnsiTheme="majorBidi" w:cstheme="majorBidi"/>
          <w:b/>
          <w:i/>
          <w:iCs/>
          <w:sz w:val="22"/>
          <w:szCs w:val="22"/>
        </w:rPr>
        <w:t xml:space="preserve">3.2. Postupanje središnjih tijela povodom zahtjeva po Uredbi o uzdržavanju </w:t>
      </w:r>
    </w:p>
    <w:p w:rsidR="003A1838" w:rsidRPr="003A1838" w:rsidRDefault="003A1838" w:rsidP="003A1838">
      <w:pPr>
        <w:jc w:val="both"/>
        <w:rPr>
          <w:rFonts w:asciiTheme="majorBidi" w:hAnsiTheme="majorBidi" w:cstheme="majorBidi"/>
          <w:b/>
          <w:sz w:val="22"/>
          <w:szCs w:val="22"/>
        </w:rPr>
      </w:pPr>
    </w:p>
    <w:p w:rsidR="003A1838" w:rsidRPr="003A1838" w:rsidRDefault="003A1838" w:rsidP="003A1838">
      <w:pPr>
        <w:ind w:firstLine="708"/>
        <w:jc w:val="both"/>
        <w:rPr>
          <w:rFonts w:asciiTheme="majorBidi" w:hAnsiTheme="majorBidi" w:cstheme="majorBidi"/>
          <w:i/>
          <w:iCs/>
          <w:sz w:val="22"/>
          <w:szCs w:val="22"/>
        </w:rPr>
      </w:pPr>
      <w:r w:rsidRPr="003A1838">
        <w:rPr>
          <w:rFonts w:asciiTheme="majorBidi" w:hAnsiTheme="majorBidi" w:cstheme="majorBidi"/>
          <w:i/>
          <w:iCs/>
          <w:sz w:val="22"/>
          <w:szCs w:val="22"/>
        </w:rPr>
        <w:t>3.2.1. Zahtjevi putem središnjih tijela</w:t>
      </w:r>
    </w:p>
    <w:p w:rsidR="003A1838" w:rsidRPr="003A1838" w:rsidRDefault="003A1838" w:rsidP="003A1838">
      <w:pPr>
        <w:jc w:val="both"/>
        <w:rPr>
          <w:rFonts w:asciiTheme="majorBidi" w:hAnsiTheme="majorBidi" w:cstheme="majorBidi"/>
          <w:sz w:val="22"/>
          <w:szCs w:val="22"/>
        </w:rPr>
      </w:pPr>
    </w:p>
    <w:p w:rsidR="003A1838" w:rsidRPr="003A1838" w:rsidRDefault="003A1838" w:rsidP="003A1838">
      <w:pPr>
        <w:pStyle w:val="CM1"/>
        <w:ind w:firstLine="708"/>
        <w:jc w:val="both"/>
        <w:rPr>
          <w:rFonts w:asciiTheme="majorBidi" w:hAnsiTheme="majorBidi" w:cstheme="majorBidi"/>
          <w:sz w:val="22"/>
          <w:szCs w:val="22"/>
        </w:rPr>
      </w:pPr>
      <w:r w:rsidRPr="003A1838">
        <w:rPr>
          <w:rFonts w:asciiTheme="majorBidi" w:hAnsiTheme="majorBidi" w:cstheme="majorBidi"/>
          <w:sz w:val="22"/>
          <w:szCs w:val="22"/>
        </w:rPr>
        <w:t>Opće i posebne funkcije središnjih tijela utvrđene u člancima 50. i 51. Uredbe o uzdržavanju u praksi se ponajviše ostvaruju kroz zahtjeve utvrđene u članku 56. Zahtjevi se ulažu preko središnjeg tijela države članice u kojoj podnositelj zahtjeva boravi središnjem tijelu zamoljene države članice. U Republici Hrvatskoj kao središnje tijelo za provedbu Uredbe o uzdržavanju određeno je ministarstvo nadležno za poslove socijalne skrbi.</w:t>
      </w:r>
      <w:r w:rsidRPr="003A1838">
        <w:rPr>
          <w:rStyle w:val="FootnoteReference"/>
          <w:rFonts w:asciiTheme="majorBidi" w:hAnsiTheme="majorBidi" w:cstheme="majorBidi"/>
          <w:sz w:val="22"/>
          <w:szCs w:val="22"/>
        </w:rPr>
        <w:footnoteReference w:id="17"/>
      </w:r>
    </w:p>
    <w:p w:rsidR="003A1838" w:rsidRPr="003A1838" w:rsidRDefault="003A1838" w:rsidP="003A1838">
      <w:pPr>
        <w:pStyle w:val="CM1"/>
        <w:ind w:firstLine="708"/>
        <w:jc w:val="both"/>
        <w:rPr>
          <w:rFonts w:asciiTheme="majorBidi" w:hAnsiTheme="majorBidi" w:cstheme="majorBidi"/>
          <w:color w:val="000000"/>
          <w:sz w:val="22"/>
          <w:szCs w:val="22"/>
        </w:rPr>
      </w:pPr>
      <w:r w:rsidRPr="003A1838">
        <w:rPr>
          <w:rFonts w:asciiTheme="majorBidi" w:hAnsiTheme="majorBidi" w:cstheme="majorBidi"/>
          <w:color w:val="000000"/>
          <w:sz w:val="22"/>
          <w:szCs w:val="22"/>
        </w:rPr>
        <w:t xml:space="preserve">Uzdržavanoj osobi koja nastoji naplatiti uzdržavanje na raspolaganju stoji šest vrsta zahtjeva: (a) zahtjev za priznavanje ili za priznavanje i proglašenje izvršivosti sudske odluke; (b) zahtjev za izvršni postupak sudske odluke donesene ili priznate u zamoljenoj državi članici; (c) zahtjev za izdavanjem sudske odluke u zamoljenoj državi članici kad nema odluke, uključujući prema potrebi utvrđivanje roditeljstva; (d) zahtjev za izdavanjem sudske odluke u zamoljenoj državi članici kad priznavanje i izvršivost sudske odluke donesene u državi koja nije zamoljena država članica, nije moguće; (e) zahtjev za izmjenom sudske odluke donesene u zamoljenoj državi članici; (f) zahtjev za izmjenom sudske odluke donesene u državi koja nije zamoljena država članica. Dok obveznik uzdržavanja protiv kojeg je donesena postojeća odluka o uzdržavanju može uložiti zahtjev za: (a) priznavanje sudske odluke na temelju koje se izvršenje prethodne sudske odluke suspendira ili ograničuje u zamoljenoj državi članici; (b) izmjenu sudske odluke donesene u zamoljenoj državi članici; (c) izmjenu sudske odluke donesene u državi koja nije zamoljena država članica. </w:t>
      </w:r>
    </w:p>
    <w:p w:rsidR="003A1838" w:rsidRPr="003A1838" w:rsidRDefault="003A1838" w:rsidP="003A1838">
      <w:pPr>
        <w:pStyle w:val="CM3"/>
        <w:ind w:firstLine="708"/>
        <w:jc w:val="both"/>
        <w:rPr>
          <w:rFonts w:asciiTheme="majorBidi" w:hAnsiTheme="majorBidi" w:cstheme="majorBidi"/>
          <w:sz w:val="22"/>
          <w:szCs w:val="22"/>
        </w:rPr>
      </w:pPr>
      <w:r w:rsidRPr="003A1838">
        <w:rPr>
          <w:rFonts w:asciiTheme="majorBidi" w:hAnsiTheme="majorBidi" w:cstheme="majorBidi"/>
          <w:sz w:val="22"/>
          <w:szCs w:val="22"/>
        </w:rPr>
        <w:t>Očekivano je da će glavninu postupaka po ovoj Uredbi činiti zahtjevi</w:t>
      </w:r>
      <w:r w:rsidRPr="003A1838">
        <w:rPr>
          <w:rFonts w:asciiTheme="majorBidi" w:hAnsiTheme="majorBidi" w:cstheme="majorBidi"/>
          <w:color w:val="000000"/>
          <w:sz w:val="22"/>
          <w:szCs w:val="22"/>
        </w:rPr>
        <w:t xml:space="preserve"> za priznavanje ili za priznavanje i proglašenje izvršivosti sudske odluke. Ovaj zahtjev primjenjiv je u slučajevima u kojima p</w:t>
      </w:r>
      <w:r w:rsidRPr="003A1838">
        <w:rPr>
          <w:rFonts w:asciiTheme="majorBidi" w:hAnsiTheme="majorBidi" w:cstheme="majorBidi"/>
          <w:sz w:val="22"/>
          <w:szCs w:val="22"/>
        </w:rPr>
        <w:t xml:space="preserve">odnositelj zahtjeva posjeduje odluku o uzdržavanju i želi njezino priznanje ili izvršenje u zamoljenoj državi članici. Zahtjev uklanja potrebu za donošenjem nove odluke u zamoljenoj državi članici i omogućuje da postojeća odluka o uzdržavanju bude priznata u zamoljenoj državi članici na istom pravnom temelju na kojem je donesena u državi porijekla. </w:t>
      </w:r>
      <w:r w:rsidRPr="003A1838">
        <w:rPr>
          <w:rFonts w:asciiTheme="majorBidi" w:hAnsiTheme="majorBidi" w:cstheme="majorBidi"/>
          <w:color w:val="000000"/>
          <w:sz w:val="22"/>
          <w:szCs w:val="22"/>
        </w:rPr>
        <w:t xml:space="preserve">Kao primjer ćemo navesti majku koja ima uobičajeno boravište u državi članici A i posjeduje odluku o uzdržavanju kojom se utvrđuje obaveza njezinog bivšeg supruga na plaćanje uzdržavanja za njihovo troje djece. Bivši suprug ima uobičajeno boravište na području države članice B. Država A proslijedit će zahtjev za priznavanjem i proglašenjem izvršivosti sudske odluke državi B. Središnje tijelo države B proslijedit će zahtjev tijelu nadležnom za </w:t>
      </w:r>
      <w:r w:rsidRPr="003A1838">
        <w:rPr>
          <w:rFonts w:asciiTheme="majorBidi" w:hAnsiTheme="majorBidi" w:cstheme="majorBidi"/>
          <w:color w:val="000000"/>
          <w:sz w:val="22"/>
          <w:szCs w:val="22"/>
        </w:rPr>
        <w:lastRenderedPageBreak/>
        <w:t>priznavanje i izvršenje sudske odluke. Bivši suprug bit će obaviješten o pokrenutom postupku priznavanja i proglašenja izvršivosti te će imati priliku osporiti takvu odluku sredstvima koje mu na raspolaganje daje Uredba. Ukoliko bivši suprug dobrovoljno ne pristane na plaćanje uzdržavanja, nadležno tijelo države B poduzet će potrebne mjere za izvršenje odluke i u konačnici proslijediti naplaćenu novčanu tražbinu državi A.</w:t>
      </w:r>
      <w:r w:rsidRPr="003A1838">
        <w:rPr>
          <w:rStyle w:val="FootnoteReference"/>
          <w:rFonts w:asciiTheme="majorBidi" w:hAnsiTheme="majorBidi" w:cstheme="majorBidi"/>
          <w:color w:val="000000"/>
          <w:sz w:val="22"/>
          <w:szCs w:val="22"/>
        </w:rPr>
        <w:footnoteReference w:id="18"/>
      </w:r>
      <w:r w:rsidRPr="003A1838">
        <w:rPr>
          <w:rFonts w:asciiTheme="majorBidi" w:hAnsiTheme="majorBidi" w:cstheme="majorBidi"/>
          <w:color w:val="000000"/>
          <w:sz w:val="22"/>
          <w:szCs w:val="22"/>
        </w:rPr>
        <w:t xml:space="preserve"> U Republici Hrvatskoj tijela nadležna za postupanje na području primjene Uredbe o uzdržavanju su sudovi i centri za socijalnu skrb, sukladno s propisanim djelokrugom i nadležnostima tih tijela.</w:t>
      </w:r>
      <w:r w:rsidRPr="003A1838">
        <w:rPr>
          <w:rStyle w:val="FootnoteReference"/>
          <w:rFonts w:asciiTheme="majorBidi" w:hAnsiTheme="majorBidi" w:cstheme="majorBidi"/>
          <w:color w:val="000000"/>
          <w:sz w:val="22"/>
          <w:szCs w:val="22"/>
        </w:rPr>
        <w:footnoteReference w:id="19"/>
      </w:r>
      <w:r w:rsidRPr="003A1838">
        <w:rPr>
          <w:rFonts w:asciiTheme="majorBidi" w:hAnsiTheme="majorBidi" w:cstheme="majorBidi"/>
          <w:color w:val="000000"/>
          <w:sz w:val="22"/>
          <w:szCs w:val="22"/>
        </w:rPr>
        <w:t xml:space="preserve"> Tako će, postupajući po ovakvom zahtjevu, središnje tijelo Republike Hrvatske potpuni zahtjev proslijediti nadležnom centru za socijalnu skrb koje će o okolnostima obavijestiti obveznika uzdržavanja i proslijediti zahtjev nadležnom sudu. </w:t>
      </w:r>
      <w:r w:rsidRPr="003A1838">
        <w:rPr>
          <w:rFonts w:asciiTheme="majorBidi" w:hAnsiTheme="majorBidi" w:cstheme="majorBidi"/>
          <w:sz w:val="22"/>
          <w:szCs w:val="22"/>
        </w:rPr>
        <w:t>Zahtjev za priznavanje ili priznavanje i proglašenje izvršivosti sudske odluke podnosi se na obrascu iz Priloga VI Uredbe o uzdržavanju. Ostalu potrebnu dokumentaciju Uredba utvrđuje u Poglavlju IV kojim je uređeno priznavanje, izvršivost i izvršenje sudskih odluka pri čemu se dokumentacija razlikuje s obzirom na to je li odluka donesene u državi članici koju obvezuje Haški protokol iz 2007. godine ili u državi koju ne obvezuje Haški protokol iz 2007. godine.</w:t>
      </w:r>
      <w:r w:rsidRPr="003A1838">
        <w:rPr>
          <w:rStyle w:val="FootnoteReference"/>
          <w:rFonts w:asciiTheme="majorBidi" w:hAnsiTheme="majorBidi" w:cstheme="majorBidi"/>
          <w:sz w:val="22"/>
          <w:szCs w:val="22"/>
        </w:rPr>
        <w:footnoteReference w:id="20"/>
      </w:r>
    </w:p>
    <w:p w:rsidR="003A1838" w:rsidRPr="003A1838" w:rsidRDefault="003A1838" w:rsidP="003A1838">
      <w:pPr>
        <w:jc w:val="both"/>
        <w:rPr>
          <w:rFonts w:asciiTheme="majorBidi" w:hAnsiTheme="majorBidi" w:cstheme="majorBidi"/>
          <w:sz w:val="22"/>
          <w:szCs w:val="22"/>
        </w:rPr>
      </w:pPr>
      <w:r w:rsidRPr="003A1838">
        <w:rPr>
          <w:rFonts w:asciiTheme="majorBidi" w:hAnsiTheme="majorBidi" w:cstheme="majorBidi"/>
          <w:sz w:val="22"/>
          <w:szCs w:val="22"/>
        </w:rPr>
        <w:t xml:space="preserve">Druga je vrsta zahtjeva za </w:t>
      </w:r>
      <w:r w:rsidRPr="003A1838">
        <w:rPr>
          <w:rFonts w:asciiTheme="majorBidi" w:hAnsiTheme="majorBidi" w:cstheme="majorBidi"/>
          <w:color w:val="000000"/>
          <w:sz w:val="22"/>
          <w:szCs w:val="22"/>
        </w:rPr>
        <w:t>izvršni postupak sudske odluke donesene ili priznate u zamoljenoj državi članici. Radi se o</w:t>
      </w:r>
      <w:r w:rsidRPr="003A1838">
        <w:rPr>
          <w:rFonts w:asciiTheme="majorBidi" w:hAnsiTheme="majorBidi" w:cstheme="majorBidi"/>
          <w:sz w:val="22"/>
          <w:szCs w:val="22"/>
        </w:rPr>
        <w:t xml:space="preserve"> najjednostavnijem zahtjevu na temelju Uredbe. Njime se želi ostvariti da zamoljena država članica izvrši vlastitu sudsku odluku ili odluku koju je ranije priznala. Uredba na ovaj način omogućuje podnositelju zahtjeva ishođenje izvršenja odluke, bez odlaska u državu koja je donijela ili priznala odluku, podnošenjem zahtjeva putem središnjeg tijela države u kojoj ima uobičajeno boravište. I u ovom slučaju, ukoliko obveznik uzdržavanja dobrovoljno ne pristane ispuniti svoju obvezu, zamoljeno će središnje tijelo poduzeti mjere potrebne za izvršenje sudske odluke. Zahtjev se također podnosi putem obrasca iz Priloga VI i dokumentacije utvrđene u Poglavlju IV Uredbe. </w:t>
      </w:r>
    </w:p>
    <w:p w:rsidR="003A1838" w:rsidRPr="003A1838" w:rsidRDefault="003A1838" w:rsidP="003A1838">
      <w:pPr>
        <w:ind w:firstLine="708"/>
        <w:jc w:val="both"/>
        <w:rPr>
          <w:rFonts w:asciiTheme="majorBidi" w:hAnsiTheme="majorBidi" w:cstheme="majorBidi"/>
          <w:sz w:val="22"/>
          <w:szCs w:val="22"/>
        </w:rPr>
      </w:pPr>
      <w:r w:rsidRPr="003A1838">
        <w:rPr>
          <w:rFonts w:asciiTheme="majorBidi" w:hAnsiTheme="majorBidi" w:cstheme="majorBidi"/>
          <w:sz w:val="22"/>
          <w:szCs w:val="22"/>
        </w:rPr>
        <w:t xml:space="preserve">Zahtjev za izdavanjem sudske odluke u zamoljenoj državi članici podnosi se u svrhu ishođenja odluke o uzdržavanju. Podnositelj zahtjeva se obraća središnjem tijelu države u kojem ima uobičajeno boravište koje njegov zahtjev prosljeđuje središnjem tijelu države u kojoj obveznik uzdržavanja ima uobičajeno boravište, s ciljem donošenja odluke o uzdržavanju u toj državi, što po potrebi uključuje i utvrđivanje očinstva. Uredba poznaje dva razloga za podnošenje ovog zahtjeva – kada nema odluke o uzdržavanju i kada postoji </w:t>
      </w:r>
      <w:r w:rsidRPr="003A1838">
        <w:rPr>
          <w:rFonts w:asciiTheme="majorBidi" w:hAnsiTheme="majorBidi" w:cstheme="majorBidi"/>
          <w:sz w:val="22"/>
          <w:szCs w:val="22"/>
        </w:rPr>
        <w:lastRenderedPageBreak/>
        <w:t>odluka o uzdržavanju donesena u državi članici koja nije zamoljena državi, ali postoje razlozi zbog kojih nije moguće njezino priznavanje i izvršivost u zamoljenoj državi članici. Uzmimo za primjer majku maloljetnog djeteta koja ima uobičajeno boravište na području države članice A. Majka nije bila udana za oca djeteta i isto tako očinstvo maloljetnog djeteta nikada nije utvrđeno. Otac djeteta ima uobičajeno boravište na području države članice B. Majka  želi ostvariti pravo na uzdržavanje maloljetnog djeteta od strane oca te se obraća središnjem tijelu države članice A. Središnje tijelo države A proslijedit će zahtjev za izdavanjem odluke o uzdržavanju državi B. Središnje tijelo države B poduzeti će sve potrebne mjere s ciljem izdavanja sudske odluke što će svakako uključivati prosljeđivanje zahtjeva nadležnom tijelu. Nadležno tijelo u državi B poduzet će potrebne radnje za utvrđivanje očinstva. Nakon donošenja odluke središnje tijelo države B će se pobrinuti i za njezino izvršenje te u konačnici proslijediti naplaćenu novčanu tražbinu državi A. U ovako provedenom postupku više neće biti potrebe za podnošenjem dodatnih zahtjeva od strane majke.</w:t>
      </w:r>
      <w:r w:rsidRPr="003A1838">
        <w:rPr>
          <w:rStyle w:val="FootnoteReference"/>
          <w:rFonts w:asciiTheme="majorBidi" w:hAnsiTheme="majorBidi" w:cstheme="majorBidi"/>
          <w:sz w:val="22"/>
          <w:szCs w:val="22"/>
        </w:rPr>
        <w:footnoteReference w:id="21"/>
      </w:r>
      <w:r w:rsidRPr="003A1838">
        <w:rPr>
          <w:rFonts w:asciiTheme="majorBidi" w:hAnsiTheme="majorBidi" w:cstheme="majorBidi"/>
          <w:sz w:val="22"/>
          <w:szCs w:val="22"/>
        </w:rPr>
        <w:t>Kod podnošenja ovog zahtjeva u slučajevima kada odluka o uzdržavanju postoji ali nije moguće njezino priznavanje ili izvršivost, postupak je isti osim što je isključena potreba utvrđivanja očinstva. Razlozi za odbijanje priznanja uređeni su u članku 24. Uredbe o uzdržavanju, a temelje se na Uredbi Vijeća (EZ) br. 44/2001 od 22. prosinca 2000. o nadležnosti, priznavanju i izvršenju sudskih odluka u građanskim i trgovačkim stvarima. Ovaj se zahtjev podnosi putem obrasca iz Priloga VII uz koji se prilažu svi drugi potrebni podaci ili dokazi o pravu podnositelja na pravnu pomoć.</w:t>
      </w:r>
    </w:p>
    <w:p w:rsidR="003A1838" w:rsidRPr="003A1838" w:rsidRDefault="003A1838" w:rsidP="003A1838">
      <w:pPr>
        <w:ind w:firstLine="708"/>
        <w:jc w:val="both"/>
        <w:rPr>
          <w:rFonts w:asciiTheme="majorBidi" w:hAnsiTheme="majorBidi" w:cstheme="majorBidi"/>
          <w:sz w:val="22"/>
          <w:szCs w:val="22"/>
        </w:rPr>
      </w:pPr>
      <w:r w:rsidRPr="003A1838">
        <w:rPr>
          <w:rFonts w:asciiTheme="majorBidi" w:hAnsiTheme="majorBidi" w:cstheme="majorBidi"/>
          <w:sz w:val="22"/>
          <w:szCs w:val="22"/>
        </w:rPr>
        <w:t>Zahtjev za izmjenom sudske odluke primjenjiv je u slučajevima kada postoji odluka o uzdržavanju, ali podnositelj zahtjeva želi njezinu izmjenu. Razlozi podnošenja zahtjeva su promjena životnih potreba na strani vjerovnika, ili pak promjena financijske sposobnosti na strani obveznika uzdržavanja. Podnositelj zahtjeva (vjerovnik ili obveznik uzdržavanja) zahtjev podnosi putem središnjeg tijela države u kojoj ima uobičajeno boravište središnjem tijelu države članice u kojoj druga strana ima uobičajeno boravište. Za primjer uzmimo majku koja posjeduje odluku o uzdržavanju donesenu u državi A kojom se određuje uzdržavanje za njeno dvoje djece od strane njenog bivšeg supruga. Bivši suprug boravi u državi B. Odluka o uzdržavanju priznata je u državi B. Majka želi povećanje iznosa uzdržavanja budući da su se primanja njezinog bivšeg supruga povećala nakon donošenja odluke. Majka će putem središnjeg tijela države A proslijediti za zahtjev za izmjenom odluke središnjem tijelu države B. Bivši suprug bit će o svemu obaviješten te saslušan pred nadležnim tijelom u državi B. Nakon donošenja, izmijenjena odluka biti će izvršiva u državi B.</w:t>
      </w:r>
      <w:r w:rsidRPr="003A1838">
        <w:rPr>
          <w:rStyle w:val="FootnoteReference"/>
          <w:rFonts w:asciiTheme="majorBidi" w:hAnsiTheme="majorBidi" w:cstheme="majorBidi"/>
          <w:sz w:val="22"/>
          <w:szCs w:val="22"/>
        </w:rPr>
        <w:footnoteReference w:id="22"/>
      </w:r>
      <w:r w:rsidRPr="003A1838">
        <w:rPr>
          <w:rFonts w:asciiTheme="majorBidi" w:hAnsiTheme="majorBidi" w:cstheme="majorBidi"/>
          <w:sz w:val="22"/>
          <w:szCs w:val="22"/>
        </w:rPr>
        <w:t xml:space="preserve"> Zahtjev za izmjenom sudske odluke također se podnosi putem obrasca iz Priloga VII.</w:t>
      </w:r>
    </w:p>
    <w:p w:rsidR="003A1838" w:rsidRPr="003A1838" w:rsidRDefault="003A1838" w:rsidP="003A1838">
      <w:pPr>
        <w:jc w:val="both"/>
        <w:rPr>
          <w:rFonts w:asciiTheme="majorBidi" w:hAnsiTheme="majorBidi" w:cstheme="majorBidi"/>
          <w:sz w:val="22"/>
          <w:szCs w:val="22"/>
        </w:rPr>
      </w:pPr>
    </w:p>
    <w:p w:rsidR="003A1838" w:rsidRPr="003A1838" w:rsidRDefault="003A1838" w:rsidP="003A1838">
      <w:pPr>
        <w:jc w:val="both"/>
        <w:rPr>
          <w:rFonts w:asciiTheme="majorBidi" w:hAnsiTheme="majorBidi" w:cstheme="majorBidi"/>
          <w:sz w:val="22"/>
          <w:szCs w:val="22"/>
        </w:rPr>
      </w:pPr>
      <w:r w:rsidRPr="003A1838">
        <w:rPr>
          <w:rFonts w:asciiTheme="majorBidi" w:hAnsiTheme="majorBidi" w:cstheme="majorBidi"/>
          <w:sz w:val="22"/>
          <w:szCs w:val="22"/>
        </w:rPr>
        <w:t>3. 2. 2. Zahtjevi za posebne mjere</w:t>
      </w:r>
    </w:p>
    <w:p w:rsidR="003A1838" w:rsidRPr="003A1838" w:rsidRDefault="003A1838" w:rsidP="003A1838">
      <w:pPr>
        <w:ind w:firstLine="708"/>
        <w:jc w:val="both"/>
        <w:rPr>
          <w:rFonts w:asciiTheme="majorBidi" w:hAnsiTheme="majorBidi" w:cstheme="majorBidi"/>
          <w:sz w:val="22"/>
          <w:szCs w:val="22"/>
        </w:rPr>
      </w:pPr>
    </w:p>
    <w:p w:rsidR="003A1838" w:rsidRPr="003A1838" w:rsidRDefault="003A1838" w:rsidP="003A1838">
      <w:pPr>
        <w:ind w:firstLine="708"/>
        <w:jc w:val="both"/>
        <w:rPr>
          <w:rFonts w:asciiTheme="majorBidi" w:hAnsiTheme="majorBidi" w:cstheme="majorBidi"/>
          <w:color w:val="000000"/>
          <w:sz w:val="22"/>
          <w:szCs w:val="22"/>
        </w:rPr>
      </w:pPr>
      <w:r w:rsidRPr="003A1838">
        <w:rPr>
          <w:rFonts w:asciiTheme="majorBidi" w:hAnsiTheme="majorBidi" w:cstheme="majorBidi"/>
          <w:sz w:val="22"/>
          <w:szCs w:val="22"/>
        </w:rPr>
        <w:lastRenderedPageBreak/>
        <w:t xml:space="preserve">Uz navedene zahtjeve Uredba o uzdržavanju uređuje i dodatne vrste zahtjeva putem središnjeg tijela, zahtjeve za posebnim mjerama, koji podnositelju zahtjeva stoje na raspolaganju </w:t>
      </w:r>
      <w:r w:rsidRPr="003A1838">
        <w:rPr>
          <w:rFonts w:asciiTheme="majorBidi" w:hAnsiTheme="majorBidi" w:cstheme="majorBidi"/>
          <w:color w:val="000000"/>
          <w:sz w:val="22"/>
          <w:szCs w:val="22"/>
        </w:rPr>
        <w:t xml:space="preserve">samo u slučaju kada u skladu s člankom 56. nije podnesen ni jedan zahtjev. </w:t>
      </w:r>
      <w:r w:rsidRPr="003A1838">
        <w:rPr>
          <w:rFonts w:asciiTheme="majorBidi" w:hAnsiTheme="majorBidi" w:cstheme="majorBidi"/>
          <w:sz w:val="22"/>
          <w:szCs w:val="22"/>
        </w:rPr>
        <w:t xml:space="preserve"> Tako </w:t>
      </w:r>
      <w:r w:rsidRPr="003A1838">
        <w:rPr>
          <w:rFonts w:asciiTheme="majorBidi" w:hAnsiTheme="majorBidi" w:cstheme="majorBidi"/>
          <w:color w:val="000000"/>
          <w:sz w:val="22"/>
          <w:szCs w:val="22"/>
        </w:rPr>
        <w:t>Uredba o uzdržavanju u članku 53. određuje kako središnje tijelo može uz odgovarajuća obrazloženja dati zahtjev drugom središnjem tijelu za poduzimanjem odgovarajuće posebne mjere ukoliko bi poduzimanje takve mjere  pomoglo pri pronalaženju obveznika uzdržavanja ili uzdržavane osobe; pomoglo pri pribavljanju podataka o dohotku i drugih potrebnih financijskih okolnosti obveznika uzdržavanja ili uzdržavane osobe, uključujući lokaciju imovine; olakšalo pribavljanje dokaza u obliku isprava ili u drugom obliku, ne dovodeći pritom u pitanje Uredbu (EZ) br. 1206/2001; osiguralo pomoć pri utvrđivanju roditeljstva kad je to potrebno za naplatu tražbina za uzdržavanje; pokrenulo postupak ili olakšalo njegovo pokretanje i ostvarilo potrebne privremene mjere teritorijalnog karaktera i čija je svrha osigurati ishod neriješenog zahtjeva za uzdržavanje te olakšalo uručivanje pismena, ne dovodeći pritom u pitanje Uredbu (EZ) br. 1393/2007.  Zamoljeno središnje tijelo poduzet će prema potrebi ove mjere, ako je uvjereno da su korisne i ako smatra da su potrebne kako bi potencijalnom podnositelju zahtjeva pomogle pri podnošenju zahtjeva iz članka 56. ili utvrđivanju treba li uopće zahtjev uložiti. Glavnina je ovih zahtjeva usmjerena na pronalaženje obveznika uzdržavanja te na pribavljanje podataka o dohotku i drugim financijskim okolnostima obveznika. Ovaj zahtjev najčešće se podnosi kada je podnositelju zahtjeva poznato na području koje države boravi obveznik uzdržavanja, ali mu nije poznata njegova adresu. Nerijetko podnositelju zahtjeva nije poznato niti u kojoj državi članici obveznik uzdržavanja ima boravište, ali s obzirom na okolnosti koje su mu poznate pretpostavlja koja bi to država ili države mogle biti. U tom slučaju moguće je uputiti zahtjev za posebnim mjerama u središnja tijela više država. Nakon što zamoljeno središnje tijelo zaprimi zahtjev za posebnom mjerom sa svrhom pronalaženja obveznika uzdržavanja ili uzdržavanje osobe ili sa svrhom pribavljanja podataka o dohotku i drugim potrebama financijskih okolnosti obveznika uzdržavanja ili uzdržavanja osobe, uključujući lokaciju imovine, ono će od nadležnih nacionalnih institucija ili putem službenih evidencija pokušati pribaviti tražene podatke. Ukoliko su takve informacije dostupne, z</w:t>
      </w:r>
      <w:r w:rsidRPr="003A1838">
        <w:rPr>
          <w:rFonts w:asciiTheme="majorBidi" w:hAnsiTheme="majorBidi" w:cstheme="majorBidi"/>
          <w:sz w:val="22"/>
          <w:szCs w:val="22"/>
        </w:rPr>
        <w:t>amoljeno će središnje tijelo priopćiti pribavljene informacije središnjem tijelu koje je podnositelj zahtjeva.</w:t>
      </w:r>
      <w:r w:rsidRPr="003A1838">
        <w:rPr>
          <w:rStyle w:val="FootnoteReference"/>
          <w:rFonts w:asciiTheme="majorBidi" w:hAnsiTheme="majorBidi" w:cstheme="majorBidi"/>
          <w:sz w:val="22"/>
          <w:szCs w:val="22"/>
        </w:rPr>
        <w:footnoteReference w:id="23"/>
      </w:r>
      <w:r w:rsidRPr="003A1838">
        <w:rPr>
          <w:rFonts w:asciiTheme="majorBidi" w:hAnsiTheme="majorBidi" w:cstheme="majorBidi"/>
          <w:sz w:val="22"/>
          <w:szCs w:val="22"/>
        </w:rPr>
        <w:t xml:space="preserve">Ako zamoljeno središnje tijelo ne može osigurati tražene informacije, o tome odmah izvješćuje središnje tijelo koje je podnijelo zahtjev te razloge svoje odluke. </w:t>
      </w:r>
      <w:r w:rsidRPr="003A1838">
        <w:rPr>
          <w:rFonts w:asciiTheme="majorBidi" w:hAnsiTheme="majorBidi" w:cstheme="majorBidi"/>
          <w:color w:val="000000"/>
          <w:sz w:val="22"/>
          <w:szCs w:val="22"/>
        </w:rPr>
        <w:t>Zahtjev za posebnim mjerama podnosi se putem obrasca iz Priloga V. Središnje tijelo molitelj popunjava „Dio A“ obrasca</w:t>
      </w:r>
      <w:r w:rsidRPr="003A1838">
        <w:rPr>
          <w:rFonts w:asciiTheme="majorBidi" w:hAnsiTheme="majorBidi" w:cstheme="majorBidi"/>
          <w:i/>
          <w:color w:val="000000"/>
          <w:sz w:val="22"/>
          <w:szCs w:val="22"/>
        </w:rPr>
        <w:t xml:space="preserve">. </w:t>
      </w:r>
      <w:r w:rsidRPr="003A1838">
        <w:rPr>
          <w:rFonts w:asciiTheme="majorBidi" w:hAnsiTheme="majorBidi" w:cstheme="majorBidi"/>
          <w:color w:val="000000"/>
          <w:sz w:val="22"/>
          <w:szCs w:val="22"/>
        </w:rPr>
        <w:t xml:space="preserve">U zahtjevu je poželjno navesti što više informacije o osobi na koju se zahtjev odnosi, kao što su puno ime i prezime, datum rođenja, adresa, kako bi nadležne institucije zamoljenog središnjeg tijela </w:t>
      </w:r>
      <w:r w:rsidRPr="003A1838">
        <w:rPr>
          <w:rFonts w:asciiTheme="majorBidi" w:hAnsiTheme="majorBidi" w:cstheme="majorBidi"/>
          <w:color w:val="000000"/>
          <w:sz w:val="22"/>
          <w:szCs w:val="22"/>
        </w:rPr>
        <w:lastRenderedPageBreak/>
        <w:t>u što kraćem vremenskom roku i sa što većom sigurnošću utvrdile tražene informacije. „Dio B“ obrasca ispunjava zamoljeno središnje tijelo nakon što utvrdi činjenice tražene u zahtjevu te ispunjeni zahtjev vraća središnjem tijelu molitelju.</w:t>
      </w:r>
    </w:p>
    <w:p w:rsidR="003A1838" w:rsidRPr="003A1838" w:rsidRDefault="003A1838" w:rsidP="003A1838">
      <w:pPr>
        <w:ind w:firstLine="708"/>
        <w:jc w:val="both"/>
        <w:rPr>
          <w:rFonts w:asciiTheme="majorBidi" w:hAnsiTheme="majorBidi" w:cstheme="majorBidi"/>
          <w:color w:val="000000"/>
          <w:sz w:val="22"/>
          <w:szCs w:val="22"/>
        </w:rPr>
      </w:pPr>
    </w:p>
    <w:p w:rsidR="003A1838" w:rsidRPr="003A1838" w:rsidRDefault="003A1838" w:rsidP="003A1838">
      <w:pPr>
        <w:ind w:firstLine="708"/>
        <w:jc w:val="both"/>
        <w:rPr>
          <w:rFonts w:asciiTheme="majorBidi" w:hAnsiTheme="majorBidi" w:cstheme="majorBidi"/>
          <w:i/>
          <w:iCs/>
          <w:color w:val="000000"/>
          <w:sz w:val="22"/>
          <w:szCs w:val="22"/>
        </w:rPr>
      </w:pPr>
      <w:r w:rsidRPr="003A1838">
        <w:rPr>
          <w:rFonts w:asciiTheme="majorBidi" w:hAnsiTheme="majorBidi" w:cstheme="majorBidi"/>
          <w:i/>
          <w:iCs/>
          <w:color w:val="000000"/>
          <w:sz w:val="22"/>
          <w:szCs w:val="22"/>
        </w:rPr>
        <w:t>3.2.2. Slanje, primanje i obrada zahtjeva</w:t>
      </w:r>
    </w:p>
    <w:p w:rsidR="003A1838" w:rsidRPr="003A1838" w:rsidRDefault="003A1838" w:rsidP="003A1838">
      <w:pPr>
        <w:ind w:firstLine="708"/>
        <w:jc w:val="both"/>
        <w:rPr>
          <w:rFonts w:asciiTheme="majorBidi" w:hAnsiTheme="majorBidi" w:cstheme="majorBidi"/>
          <w:color w:val="000000"/>
          <w:sz w:val="22"/>
          <w:szCs w:val="22"/>
        </w:rPr>
      </w:pPr>
    </w:p>
    <w:p w:rsidR="003A1838" w:rsidRPr="003A1838" w:rsidRDefault="003A1838" w:rsidP="003A1838">
      <w:pPr>
        <w:ind w:firstLine="708"/>
        <w:jc w:val="both"/>
        <w:rPr>
          <w:rFonts w:asciiTheme="majorBidi" w:hAnsiTheme="majorBidi" w:cstheme="majorBidi"/>
          <w:sz w:val="22"/>
          <w:szCs w:val="22"/>
        </w:rPr>
      </w:pPr>
      <w:r w:rsidRPr="003A1838">
        <w:rPr>
          <w:rFonts w:asciiTheme="majorBidi" w:hAnsiTheme="majorBidi" w:cstheme="majorBidi"/>
          <w:sz w:val="22"/>
          <w:szCs w:val="22"/>
        </w:rPr>
        <w:t>Osim slanja, primanja i obrade zahtjeva središnja tijela također imaju važnu zadaću koja podrazumijeva pomoć podnositelju zahtjeva prilikom podnošenja samog zahtjeva. Ona se očituje u davanju jasne upute o potrebnim podacima i ispravama, dostavljanju praznih obrazaca podnositelju i pomoći pri ispunjavanju istih, naputku o tome koje je isprave potrebnu prevesti na jezik zamoljene države i sl. Po primitku dokumentacije od strane podnositelja zahtjeva središnje tijelo će pregledati je li potpuna te ukoliko nije zatražiti dopunu ili ispravak. Središnje će tijelo proslijediti zahtjev središnjem tijelu zamoljene države tek kad smatra da zahtjev ispunjava sve uvjete iz Uredbe. Po zaprimanju zahtjeva zamoljeno će središnje tijelo pregledati zahtjev i zaprimljenu dokumentaciju prije nego li je proslijedi tijelu nadležnom za postupanje. Vezano uz to, Uredba u čl. 58. st. 2. nameće i obavezu zamoljenom središnjem tijelu da u roku od 30 dana od datuma zaprimanja zahtjeva, potvrdi primitak na obrascu iz Priloga VIII, te izvijesti središnje tijelo države članice moliteljice koje su početne mjere poduzete, ili će biti poduzete, te po potrebi zatraži potrebne dodatne dokumente i podatke. Isto tako, kroz obrazac iz Priloga VIII priopćit će središnjem tijelu molitelju i kontakt podatke osobe ili jedinice nadležne za odgovaranje na upite o napretku pri obradi zahtjeva. Osim toga, zamoljeno središnje tijelo dužno je izvijestiti središnje tijelo države moliteljice o stanju obrade zahtjeva u roku od 60 dana od datuma potvrde primitka. Zamoljeno središnje tijelo ne smije odbiti zahtjev isključivo zbog toga što su potrebni dodatni dokumenti ili podaci. Međutim, zamoljeno središnje tijelo može od središnjeg tijela molitelja zatražiti da predoči te dodatne dokumente ili te podatke. Ako središnje tijelo molitelj to ne učini u roku 90 dana ili tijekom duljeg razdoblja koje je odredilo zamoljeno središnje tijelo, zamoljeno središnje tijelo može odlučiti da više ne obrađuje zahtjev. U tom slučaju o tome odmah obavješćuje središnje tijelo molitelja na obrascu iz Priloga IX.</w:t>
      </w:r>
    </w:p>
    <w:p w:rsidR="003A1838" w:rsidRPr="003A1838" w:rsidRDefault="003A1838" w:rsidP="003A1838">
      <w:pPr>
        <w:jc w:val="both"/>
        <w:rPr>
          <w:rFonts w:asciiTheme="majorBidi" w:hAnsiTheme="majorBidi" w:cstheme="majorBidi"/>
          <w:sz w:val="22"/>
          <w:szCs w:val="22"/>
        </w:rPr>
      </w:pPr>
    </w:p>
    <w:p w:rsidR="003A1838" w:rsidRPr="003A1838" w:rsidRDefault="003A1838" w:rsidP="003A1838">
      <w:pPr>
        <w:ind w:firstLine="708"/>
        <w:jc w:val="both"/>
        <w:rPr>
          <w:rFonts w:asciiTheme="majorBidi" w:hAnsiTheme="majorBidi" w:cstheme="majorBidi"/>
          <w:i/>
          <w:iCs/>
          <w:sz w:val="22"/>
          <w:szCs w:val="22"/>
        </w:rPr>
      </w:pPr>
      <w:r w:rsidRPr="003A1838">
        <w:rPr>
          <w:rFonts w:asciiTheme="majorBidi" w:hAnsiTheme="majorBidi" w:cstheme="majorBidi"/>
          <w:i/>
          <w:iCs/>
          <w:sz w:val="22"/>
          <w:szCs w:val="22"/>
        </w:rPr>
        <w:t>3.2.3. Komunikacija između središnjih tijela</w:t>
      </w:r>
    </w:p>
    <w:p w:rsidR="003A1838" w:rsidRPr="003A1838" w:rsidRDefault="003A1838" w:rsidP="003A1838">
      <w:pPr>
        <w:ind w:firstLine="708"/>
        <w:jc w:val="both"/>
        <w:rPr>
          <w:rFonts w:asciiTheme="majorBidi" w:hAnsiTheme="majorBidi" w:cstheme="majorBidi"/>
          <w:sz w:val="22"/>
          <w:szCs w:val="22"/>
        </w:rPr>
      </w:pPr>
    </w:p>
    <w:p w:rsidR="003A1838" w:rsidRPr="003A1838" w:rsidRDefault="003A1838" w:rsidP="003A1838">
      <w:pPr>
        <w:ind w:firstLine="708"/>
        <w:jc w:val="both"/>
        <w:rPr>
          <w:rFonts w:asciiTheme="majorBidi" w:hAnsiTheme="majorBidi" w:cstheme="majorBidi"/>
          <w:sz w:val="22"/>
          <w:szCs w:val="22"/>
        </w:rPr>
      </w:pPr>
      <w:r w:rsidRPr="003A1838">
        <w:rPr>
          <w:rFonts w:asciiTheme="majorBidi" w:hAnsiTheme="majorBidi" w:cstheme="majorBidi"/>
          <w:sz w:val="22"/>
          <w:szCs w:val="22"/>
        </w:rPr>
        <w:t xml:space="preserve">Uredba inzistira na učestaloj i brzoj komunikaciji između središnjih tijela, stoga su ona dužna primijeniti najžurnija i najučinkovitija sredstva priopćavanja koja im stoje na raspolaganju. Kao najbrži i najpovoljniji način komunikacije najzastupljenija je komunikacija putem elektroničke pošte. Ova vrsta komunikacije najlakši je i najbrži način za dobivanje informacija o statusu predmeta pred središnjim tijelom i pred tijelima nadležnima za postupanje po Uredbi. Isto tako, dok država ne stekne praksu u postupanju po Uredbi s određenom državom članicom, na ovaj način najbrže može saznati zahtjeva li </w:t>
      </w:r>
      <w:r w:rsidRPr="003A1838">
        <w:rPr>
          <w:rFonts w:asciiTheme="majorBidi" w:hAnsiTheme="majorBidi" w:cstheme="majorBidi"/>
          <w:sz w:val="22"/>
          <w:szCs w:val="22"/>
        </w:rPr>
        <w:lastRenderedPageBreak/>
        <w:t>možda  zamoljena država dodatne isprave u skladu sa svojim nacionalnim pravom izuzev onih koje propisuje Uredba. Na taj način izbjeći će se moguća potreba za dopunom dokumentacije nakon podnošenja zahtjeva.</w:t>
      </w:r>
    </w:p>
    <w:p w:rsidR="003A1838" w:rsidRPr="003A1838" w:rsidRDefault="003A1838" w:rsidP="003A1838">
      <w:pPr>
        <w:ind w:firstLine="708"/>
        <w:jc w:val="both"/>
        <w:rPr>
          <w:rFonts w:asciiTheme="majorBidi" w:hAnsiTheme="majorBidi" w:cstheme="majorBidi"/>
          <w:sz w:val="22"/>
          <w:szCs w:val="22"/>
        </w:rPr>
      </w:pPr>
    </w:p>
    <w:p w:rsidR="003A1838" w:rsidRPr="003A1838" w:rsidRDefault="003A1838" w:rsidP="003A1838">
      <w:pPr>
        <w:ind w:firstLine="708"/>
        <w:jc w:val="both"/>
        <w:rPr>
          <w:rFonts w:asciiTheme="majorBidi" w:hAnsiTheme="majorBidi" w:cstheme="majorBidi"/>
          <w:i/>
          <w:iCs/>
          <w:sz w:val="22"/>
          <w:szCs w:val="22"/>
        </w:rPr>
      </w:pPr>
      <w:r w:rsidRPr="003A1838">
        <w:rPr>
          <w:rFonts w:asciiTheme="majorBidi" w:hAnsiTheme="majorBidi" w:cstheme="majorBidi"/>
          <w:i/>
          <w:iCs/>
          <w:sz w:val="22"/>
          <w:szCs w:val="22"/>
        </w:rPr>
        <w:t>3.2.</w:t>
      </w:r>
      <w:r>
        <w:rPr>
          <w:rFonts w:asciiTheme="majorBidi" w:hAnsiTheme="majorBidi" w:cstheme="majorBidi"/>
          <w:i/>
          <w:iCs/>
          <w:sz w:val="22"/>
          <w:szCs w:val="22"/>
        </w:rPr>
        <w:t>4</w:t>
      </w:r>
      <w:r w:rsidRPr="003A1838">
        <w:rPr>
          <w:rFonts w:asciiTheme="majorBidi" w:hAnsiTheme="majorBidi" w:cstheme="majorBidi"/>
          <w:i/>
          <w:iCs/>
          <w:sz w:val="22"/>
          <w:szCs w:val="22"/>
        </w:rPr>
        <w:t>. Troškovi podnositelja zahtjeva</w:t>
      </w:r>
    </w:p>
    <w:p w:rsidR="003A1838" w:rsidRPr="003A1838" w:rsidRDefault="003A1838" w:rsidP="003A1838">
      <w:pPr>
        <w:ind w:firstLine="708"/>
        <w:jc w:val="both"/>
        <w:rPr>
          <w:rFonts w:asciiTheme="majorBidi" w:hAnsiTheme="majorBidi" w:cstheme="majorBidi"/>
          <w:sz w:val="22"/>
          <w:szCs w:val="22"/>
        </w:rPr>
      </w:pPr>
    </w:p>
    <w:p w:rsidR="003A1838" w:rsidRPr="003A1838" w:rsidRDefault="003A1838" w:rsidP="003A1838">
      <w:pPr>
        <w:ind w:firstLine="708"/>
        <w:jc w:val="both"/>
        <w:rPr>
          <w:rFonts w:asciiTheme="majorBidi" w:hAnsiTheme="majorBidi" w:cstheme="majorBidi"/>
          <w:sz w:val="22"/>
          <w:szCs w:val="22"/>
        </w:rPr>
      </w:pPr>
      <w:r w:rsidRPr="003A1838">
        <w:rPr>
          <w:rFonts w:asciiTheme="majorBidi" w:hAnsiTheme="majorBidi" w:cstheme="majorBidi"/>
          <w:sz w:val="22"/>
          <w:szCs w:val="22"/>
        </w:rPr>
        <w:t>Osim što Uredba za cilj ima ubrzati postupak za ostvarivanjem prava na uzdržavanje, za cilj ima i maksimalno smanjiti troškove podnositelja zahtjeva, koji je u većini slučajeva ekonomski slabija strana. Svi zahtjevi u skladu s člankom 56. omogućuju podnositelju zahtjeva da svoje pravo ostvari bez odlaska u stranu državu. Isto tako podnošenje zahtjeva putem središnjeg tijela ne zahtjeva osobni dolazak podnositelja zahtjeva u središnje tijelo. Podnositelj zahtjeva će sve potrebne informacije i upute od središnjeg tijela dobiti telefonski, elektroničkom poštom ili pisano poštom, a svoj će zahtjev u konačnici dostaviti središnjem tijelu putem redovne pošte. U skladu s člankom 54. Uredbe središnja tijela ne smiju podnositelju zahtjeva naplaćivati svoje usluge, osim izvanrednim troškova koji proizlaze iz zahtjeva za posebnim mjerama. Troškovi manjeg opsega za stranku bi mogli nastati jedino prilikom prikupljanja dokumentacije potrebne za pojedini zahtjev. Tako nerijetko za stranku nastaju troškovi zbog potrebe prevođenja određene dokumentacije.</w:t>
      </w:r>
      <w:r w:rsidRPr="003A1838">
        <w:rPr>
          <w:rStyle w:val="FootnoteReference"/>
          <w:rFonts w:asciiTheme="majorBidi" w:hAnsiTheme="majorBidi" w:cstheme="majorBidi"/>
          <w:sz w:val="22"/>
          <w:szCs w:val="22"/>
        </w:rPr>
        <w:footnoteReference w:id="24"/>
      </w:r>
      <w:r w:rsidRPr="003A1838">
        <w:rPr>
          <w:rFonts w:asciiTheme="majorBidi" w:hAnsiTheme="majorBidi" w:cstheme="majorBidi"/>
          <w:sz w:val="22"/>
          <w:szCs w:val="22"/>
        </w:rPr>
        <w:t>U takvim se slučajevima podnositelju zahtjeva savjetuje da u tu svrhu pokuša ostvariti pravo na jednokratnu naknadu u skladu sa Zakonom o socijalnoj skrbi.</w:t>
      </w:r>
      <w:r w:rsidRPr="003A1838">
        <w:rPr>
          <w:rStyle w:val="FootnoteReference"/>
          <w:rFonts w:asciiTheme="majorBidi" w:hAnsiTheme="majorBidi" w:cstheme="majorBidi"/>
          <w:sz w:val="22"/>
          <w:szCs w:val="22"/>
        </w:rPr>
        <w:footnoteReference w:id="25"/>
      </w:r>
      <w:r w:rsidRPr="003A1838">
        <w:rPr>
          <w:rFonts w:asciiTheme="majorBidi" w:hAnsiTheme="majorBidi" w:cstheme="majorBidi"/>
          <w:sz w:val="22"/>
          <w:szCs w:val="22"/>
        </w:rPr>
        <w:t xml:space="preserve"> Međutim, rješenje o pravu na jednokratnu naknadu diskrecijskom ocjenom donosi centar za socijalnu skrb, što podnositelju zahtjeva i dalje ne pruža sigurnost da će njegovi troškovi biti nadoknađeni. Stoga je, zbog socijalne osjetljivosti stranaka u većini predmeta uzdržavanja, nužno na nacionalnoj razini utvrditi pravni mehanizam koji će podnositelju zahtjeva dati pravo na djelomičnu ili potpuno naknadu troškova ove vrste. Prijevodi obrazaca kojima se podnose zahtjevi – Prilozi V, VI, VII neće stvarati dodatan trošak stranci, zahvaljujući veoma dobroj i razvijenoj informatizaciji europskog zakonodavstva. Naime, službenicima u središnjim tijelima dana je mogućnost da korištenjem Internet stranice „The European e-Justice Portal“, ispune željeni obrazac na svom jeziku te po završetku ispunjavanja obrasca odaberu jezik države članice na koji žele da obrazac bude preveden.</w:t>
      </w:r>
      <w:r w:rsidRPr="003A1838">
        <w:rPr>
          <w:rStyle w:val="FootnoteReference"/>
          <w:rFonts w:asciiTheme="majorBidi" w:hAnsiTheme="majorBidi" w:cstheme="majorBidi"/>
          <w:sz w:val="22"/>
          <w:szCs w:val="22"/>
        </w:rPr>
        <w:footnoteReference w:id="26"/>
      </w:r>
    </w:p>
    <w:p w:rsidR="003A1838" w:rsidRPr="003A1838" w:rsidRDefault="003A1838" w:rsidP="003A1838">
      <w:pPr>
        <w:jc w:val="both"/>
        <w:rPr>
          <w:rFonts w:asciiTheme="majorBidi" w:hAnsiTheme="majorBidi" w:cstheme="majorBidi"/>
          <w:b/>
          <w:sz w:val="22"/>
          <w:szCs w:val="22"/>
        </w:rPr>
      </w:pPr>
      <w:r w:rsidRPr="003A1838">
        <w:rPr>
          <w:rFonts w:asciiTheme="majorBidi" w:hAnsiTheme="majorBidi" w:cstheme="majorBidi"/>
          <w:b/>
          <w:sz w:val="22"/>
          <w:szCs w:val="22"/>
        </w:rPr>
        <w:lastRenderedPageBreak/>
        <w:t>4. Zaključak</w:t>
      </w:r>
    </w:p>
    <w:p w:rsidR="003A1838" w:rsidRPr="003A1838" w:rsidRDefault="003A1838" w:rsidP="003A1838">
      <w:pPr>
        <w:jc w:val="both"/>
        <w:rPr>
          <w:rFonts w:asciiTheme="majorBidi" w:hAnsiTheme="majorBidi" w:cstheme="majorBidi"/>
          <w:b/>
          <w:sz w:val="22"/>
          <w:szCs w:val="22"/>
        </w:rPr>
      </w:pPr>
    </w:p>
    <w:p w:rsidR="003A1838" w:rsidRPr="003A1838" w:rsidRDefault="003A1838" w:rsidP="003A1838">
      <w:pPr>
        <w:ind w:firstLine="708"/>
        <w:jc w:val="both"/>
        <w:rPr>
          <w:rFonts w:asciiTheme="majorBidi" w:hAnsiTheme="majorBidi" w:cstheme="majorBidi"/>
          <w:sz w:val="22"/>
          <w:szCs w:val="22"/>
        </w:rPr>
      </w:pPr>
      <w:r w:rsidRPr="003A1838">
        <w:rPr>
          <w:rFonts w:asciiTheme="majorBidi" w:hAnsiTheme="majorBidi" w:cstheme="majorBidi"/>
          <w:sz w:val="22"/>
          <w:szCs w:val="22"/>
        </w:rPr>
        <w:t>Učinkovitost prekogranične naplate uzdržavanja već je gotovo cijelo stoljeće u fokusu kako nacionalnih država, tako i međunarodne zajednice. Europska unija je prekogranični pravni promet odlučila urediti brojnim tradicionalnim metodama prvenstveno procesnog prava, ali u njihovim unaprijeđenim varijantama: primjerice ukidanje egzekvature za priznanje odluka drugih država članica,</w:t>
      </w:r>
      <w:r w:rsidRPr="003A1838">
        <w:rPr>
          <w:rStyle w:val="FootnoteReference"/>
          <w:rFonts w:asciiTheme="majorBidi" w:hAnsiTheme="majorBidi" w:cstheme="majorBidi"/>
          <w:sz w:val="22"/>
          <w:szCs w:val="22"/>
        </w:rPr>
        <w:footnoteReference w:id="27"/>
      </w:r>
      <w:r w:rsidRPr="003A1838">
        <w:rPr>
          <w:rFonts w:asciiTheme="majorBidi" w:hAnsiTheme="majorBidi" w:cstheme="majorBidi"/>
          <w:sz w:val="22"/>
          <w:szCs w:val="22"/>
        </w:rPr>
        <w:t xml:space="preserve"> ili zamrzavanje računa kao privremena mjera osiguranja prekograničnog potraživanja, eklatantni su primjerci.</w:t>
      </w:r>
      <w:r w:rsidRPr="003A1838">
        <w:rPr>
          <w:rStyle w:val="FootnoteReference"/>
          <w:rFonts w:asciiTheme="majorBidi" w:hAnsiTheme="majorBidi" w:cstheme="majorBidi"/>
          <w:sz w:val="22"/>
          <w:szCs w:val="22"/>
        </w:rPr>
        <w:footnoteReference w:id="28"/>
      </w:r>
      <w:r w:rsidRPr="003A1838">
        <w:rPr>
          <w:rFonts w:asciiTheme="majorBidi" w:hAnsiTheme="majorBidi" w:cstheme="majorBidi"/>
          <w:sz w:val="22"/>
          <w:szCs w:val="22"/>
        </w:rPr>
        <w:t xml:space="preserve"> Nadalje, u odnosu na uzdržavanje djece EU predviđa besplatnu pravnu pomoć u predmetima uzdržavanja. </w:t>
      </w:r>
    </w:p>
    <w:p w:rsidR="003A1838" w:rsidRPr="003A1838" w:rsidRDefault="003A1838" w:rsidP="003A1838">
      <w:pPr>
        <w:ind w:firstLine="708"/>
        <w:jc w:val="both"/>
        <w:rPr>
          <w:rFonts w:asciiTheme="majorBidi" w:hAnsiTheme="majorBidi" w:cstheme="majorBidi"/>
          <w:sz w:val="22"/>
          <w:szCs w:val="22"/>
        </w:rPr>
      </w:pPr>
      <w:r w:rsidRPr="003A1838">
        <w:rPr>
          <w:rFonts w:asciiTheme="majorBidi" w:hAnsiTheme="majorBidi" w:cstheme="majorBidi"/>
          <w:sz w:val="22"/>
          <w:szCs w:val="22"/>
        </w:rPr>
        <w:t xml:space="preserve">Ipak, suvremeni intenzivni prekogranični pravni promet stavlja na kušnju uvriježene pravne mehanizme međunarodnog privatnog i postupovnog prava. Klasična parnica i postupak postaju u velikoj mjeri neučinkoviti u kontekstu zaštite najranjivijih: oni su skupi i spori. Međunarodna zajednica je prije više od pola stoljeća prvi puta prakticirala sustav logističke podrške koji pomaže ostvarenju pravosudne zaštite najranjivijih, a taj je mehanizam danas obilno preuzela i koristi EU. Stranke same niti mogu niti znaju kako locirati dužnika, utvrditi imovinu, pokrenuti postupak, naplati tražbinu – za to im danas kao servis treba služiti središnje tijelo na koji se prebacuje taj teret. Prednosti EU u odnosu na sve ostale sustave središnjih tijela (poglavito one usvojene u okvirima Haških konvencija) je učinkoviti nadzor primjene, redoviti monitoring i izvješćivanje o radu, te mogućnost sankcioniranja države članice koja bi zakazala u provedbi svojih obveza. Unatoč teškoćama u radu središnjih tijela, njihovo funkcioniranje ukazuje na progresiju prava usmjerenu smanjenju siromaštva djece, a koja su u inferiornoj socio-ekonomskoj poziciji u predmetima uzdržavanja. </w:t>
      </w:r>
    </w:p>
    <w:p w:rsidR="003A1838" w:rsidRPr="003A1838" w:rsidRDefault="003A1838" w:rsidP="003A1838">
      <w:pPr>
        <w:jc w:val="both"/>
        <w:rPr>
          <w:rFonts w:asciiTheme="majorBidi" w:hAnsiTheme="majorBidi" w:cstheme="majorBidi"/>
          <w:sz w:val="22"/>
          <w:szCs w:val="22"/>
        </w:rPr>
      </w:pPr>
    </w:p>
    <w:p w:rsidR="003A1838" w:rsidRPr="003A1838" w:rsidRDefault="003A1838" w:rsidP="003A1838">
      <w:pPr>
        <w:jc w:val="both"/>
        <w:rPr>
          <w:rFonts w:asciiTheme="majorBidi" w:hAnsiTheme="majorBidi" w:cstheme="majorBidi"/>
          <w:sz w:val="22"/>
          <w:szCs w:val="22"/>
        </w:rPr>
      </w:pPr>
    </w:p>
    <w:p w:rsidR="003A1838" w:rsidRPr="003A1838" w:rsidRDefault="003A1838" w:rsidP="003A1838">
      <w:pPr>
        <w:jc w:val="both"/>
        <w:rPr>
          <w:rFonts w:asciiTheme="majorBidi" w:hAnsiTheme="majorBidi" w:cstheme="majorBidi"/>
          <w:sz w:val="22"/>
          <w:szCs w:val="22"/>
        </w:rPr>
      </w:pPr>
    </w:p>
    <w:p w:rsidR="003A1838" w:rsidRDefault="003A1838">
      <w:pPr>
        <w:spacing w:after="200" w:line="276" w:lineRule="auto"/>
        <w:rPr>
          <w:rFonts w:asciiTheme="majorBidi" w:hAnsiTheme="majorBidi" w:cstheme="majorBidi"/>
          <w:b/>
          <w:sz w:val="22"/>
          <w:szCs w:val="22"/>
        </w:rPr>
      </w:pPr>
      <w:r>
        <w:rPr>
          <w:rFonts w:asciiTheme="majorBidi" w:hAnsiTheme="majorBidi" w:cstheme="majorBidi"/>
          <w:b/>
          <w:sz w:val="22"/>
          <w:szCs w:val="22"/>
        </w:rPr>
        <w:br w:type="page"/>
      </w:r>
    </w:p>
    <w:p w:rsidR="00274A06" w:rsidRDefault="00AB6CDD" w:rsidP="00274A06">
      <w:pPr>
        <w:autoSpaceDE w:val="0"/>
        <w:autoSpaceDN w:val="0"/>
        <w:adjustRightInd w:val="0"/>
        <w:rPr>
          <w:sz w:val="22"/>
          <w:szCs w:val="22"/>
        </w:rPr>
      </w:pPr>
      <w:r w:rsidRPr="00AB6CDD">
        <w:rPr>
          <w:sz w:val="22"/>
          <w:szCs w:val="22"/>
        </w:rPr>
        <w:lastRenderedPageBreak/>
        <w:t xml:space="preserve">Mirela Župan, </w:t>
      </w:r>
      <w:r w:rsidR="00274A06">
        <w:rPr>
          <w:sz w:val="22"/>
          <w:szCs w:val="22"/>
        </w:rPr>
        <w:t>Associate Professor,</w:t>
      </w:r>
    </w:p>
    <w:p w:rsidR="00AB6CDD" w:rsidRPr="00AB6CDD" w:rsidRDefault="00AB6CDD" w:rsidP="00274A06">
      <w:pPr>
        <w:autoSpaceDE w:val="0"/>
        <w:autoSpaceDN w:val="0"/>
        <w:adjustRightInd w:val="0"/>
        <w:rPr>
          <w:sz w:val="22"/>
          <w:szCs w:val="22"/>
        </w:rPr>
      </w:pPr>
      <w:r w:rsidRPr="00AB6CDD">
        <w:rPr>
          <w:sz w:val="22"/>
          <w:szCs w:val="22"/>
        </w:rPr>
        <w:t>Faculty of Law, University of Osijek</w:t>
      </w:r>
    </w:p>
    <w:p w:rsidR="00AB6CDD" w:rsidRPr="00AB6CDD" w:rsidRDefault="00AB6CDD" w:rsidP="00AB6CDD">
      <w:pPr>
        <w:autoSpaceDE w:val="0"/>
        <w:autoSpaceDN w:val="0"/>
        <w:adjustRightInd w:val="0"/>
        <w:rPr>
          <w:sz w:val="22"/>
          <w:szCs w:val="22"/>
        </w:rPr>
      </w:pPr>
    </w:p>
    <w:p w:rsidR="00274A06" w:rsidRDefault="00AB6CDD" w:rsidP="004038C8">
      <w:pPr>
        <w:rPr>
          <w:rFonts w:ascii="TimesNewRomanPSMT" w:eastAsia="TimesNewRomanPSMT" w:cs="TimesNewRomanPSMT"/>
          <w:sz w:val="22"/>
          <w:szCs w:val="22"/>
        </w:rPr>
      </w:pPr>
      <w:r w:rsidRPr="00AB6CDD">
        <w:rPr>
          <w:rFonts w:eastAsia="TimesNewRomanPSMT"/>
          <w:sz w:val="22"/>
          <w:szCs w:val="22"/>
        </w:rPr>
        <w:t>Martina Drventić</w:t>
      </w:r>
      <w:r w:rsidR="004038C8">
        <w:rPr>
          <w:rFonts w:eastAsia="TimesNewRomanPSMT"/>
          <w:sz w:val="22"/>
          <w:szCs w:val="22"/>
        </w:rPr>
        <w:t>, m</w:t>
      </w:r>
      <w:r w:rsidR="004038C8">
        <w:rPr>
          <w:rFonts w:eastAsia="TimesNewRomanPSMT"/>
          <w:sz w:val="22"/>
          <w:szCs w:val="22"/>
        </w:rPr>
        <w:t xml:space="preserve">r. </w:t>
      </w:r>
      <w:r w:rsidR="004038C8">
        <w:rPr>
          <w:rFonts w:eastAsia="TimesNewRomanPSMT"/>
          <w:sz w:val="22"/>
          <w:szCs w:val="22"/>
        </w:rPr>
        <w:t>i</w:t>
      </w:r>
      <w:r w:rsidR="004038C8">
        <w:rPr>
          <w:rFonts w:eastAsia="TimesNewRomanPSMT"/>
          <w:sz w:val="22"/>
          <w:szCs w:val="22"/>
        </w:rPr>
        <w:t>ur.</w:t>
      </w:r>
    </w:p>
    <w:p w:rsidR="00AB6CDD" w:rsidRPr="00AB6CDD" w:rsidRDefault="00AB6CDD" w:rsidP="00274A06">
      <w:pPr>
        <w:rPr>
          <w:sz w:val="22"/>
          <w:szCs w:val="22"/>
        </w:rPr>
      </w:pPr>
      <w:r w:rsidRPr="00AB6CDD">
        <w:rPr>
          <w:sz w:val="22"/>
          <w:szCs w:val="22"/>
        </w:rPr>
        <w:t>Faculty of Law, University of Osijek</w:t>
      </w:r>
    </w:p>
    <w:p w:rsidR="00AB6CDD" w:rsidRDefault="00AB6CDD" w:rsidP="003A1838">
      <w:pPr>
        <w:jc w:val="center"/>
        <w:rPr>
          <w:rFonts w:asciiTheme="majorBidi" w:hAnsiTheme="majorBidi" w:cstheme="majorBidi"/>
          <w:b/>
          <w:sz w:val="24"/>
          <w:szCs w:val="24"/>
        </w:rPr>
      </w:pPr>
    </w:p>
    <w:p w:rsidR="003A1838" w:rsidRPr="003A1838" w:rsidRDefault="003A1838" w:rsidP="003A1838">
      <w:pPr>
        <w:jc w:val="center"/>
        <w:rPr>
          <w:rFonts w:asciiTheme="majorBidi" w:eastAsia="Times New Roman" w:hAnsiTheme="majorBidi" w:cstheme="majorBidi"/>
          <w:b/>
          <w:color w:val="000000"/>
          <w:sz w:val="24"/>
          <w:szCs w:val="24"/>
        </w:rPr>
      </w:pPr>
      <w:r w:rsidRPr="003A1838">
        <w:rPr>
          <w:rFonts w:asciiTheme="majorBidi" w:hAnsiTheme="majorBidi" w:cstheme="majorBidi"/>
          <w:b/>
          <w:sz w:val="24"/>
          <w:szCs w:val="24"/>
        </w:rPr>
        <w:t xml:space="preserve">SYSTEM OF CENTRAL BODIES </w:t>
      </w:r>
      <w:r w:rsidRPr="003A1838">
        <w:rPr>
          <w:rStyle w:val="hps"/>
          <w:rFonts w:asciiTheme="majorBidi" w:hAnsiTheme="majorBidi" w:cstheme="majorBidi"/>
          <w:b/>
          <w:color w:val="222222"/>
          <w:sz w:val="24"/>
          <w:szCs w:val="24"/>
          <w:lang w:val="en"/>
        </w:rPr>
        <w:t>THROUGH</w:t>
      </w:r>
      <w:r w:rsidRPr="003A1838">
        <w:rPr>
          <w:rFonts w:asciiTheme="majorBidi" w:hAnsiTheme="majorBidi" w:cstheme="majorBidi"/>
          <w:b/>
          <w:color w:val="222222"/>
          <w:sz w:val="24"/>
          <w:szCs w:val="24"/>
          <w:lang w:val="en"/>
        </w:rPr>
        <w:t xml:space="preserve"> </w:t>
      </w:r>
      <w:r w:rsidRPr="003A1838">
        <w:rPr>
          <w:rStyle w:val="hps"/>
          <w:rFonts w:asciiTheme="majorBidi" w:hAnsiTheme="majorBidi" w:cstheme="majorBidi"/>
          <w:b/>
          <w:color w:val="222222"/>
          <w:sz w:val="24"/>
          <w:szCs w:val="24"/>
          <w:lang w:val="en"/>
        </w:rPr>
        <w:t>EUROPEAN</w:t>
      </w:r>
      <w:r w:rsidRPr="003A1838">
        <w:rPr>
          <w:rFonts w:asciiTheme="majorBidi" w:hAnsiTheme="majorBidi" w:cstheme="majorBidi"/>
          <w:b/>
          <w:color w:val="222222"/>
          <w:sz w:val="24"/>
          <w:szCs w:val="24"/>
          <w:lang w:val="en"/>
        </w:rPr>
        <w:t xml:space="preserve"> </w:t>
      </w:r>
      <w:r w:rsidRPr="003A1838">
        <w:rPr>
          <w:rStyle w:val="hps"/>
          <w:rFonts w:asciiTheme="majorBidi" w:hAnsiTheme="majorBidi" w:cstheme="majorBidi"/>
          <w:b/>
          <w:color w:val="222222"/>
          <w:sz w:val="24"/>
          <w:szCs w:val="24"/>
          <w:lang w:val="en"/>
        </w:rPr>
        <w:t>MODEL</w:t>
      </w:r>
      <w:r w:rsidRPr="003A1838">
        <w:rPr>
          <w:rFonts w:asciiTheme="majorBidi" w:hAnsiTheme="majorBidi" w:cstheme="majorBidi"/>
          <w:b/>
          <w:color w:val="222222"/>
          <w:sz w:val="24"/>
          <w:szCs w:val="24"/>
          <w:lang w:val="en"/>
        </w:rPr>
        <w:t xml:space="preserve"> </w:t>
      </w:r>
      <w:r w:rsidRPr="003A1838">
        <w:rPr>
          <w:rFonts w:asciiTheme="majorBidi" w:hAnsiTheme="majorBidi" w:cstheme="majorBidi"/>
          <w:b/>
          <w:sz w:val="24"/>
          <w:szCs w:val="24"/>
        </w:rPr>
        <w:t>OF CROSS-BORDER PAYMENT OF MAINTENANCE</w:t>
      </w:r>
    </w:p>
    <w:p w:rsidR="003A1838" w:rsidRPr="003A1838" w:rsidRDefault="003A1838" w:rsidP="003A1838">
      <w:pPr>
        <w:jc w:val="both"/>
        <w:rPr>
          <w:rFonts w:asciiTheme="majorBidi" w:hAnsiTheme="majorBidi" w:cstheme="majorBidi"/>
          <w:sz w:val="22"/>
          <w:szCs w:val="22"/>
        </w:rPr>
      </w:pPr>
    </w:p>
    <w:p w:rsidR="003A1838" w:rsidRPr="003A1838" w:rsidRDefault="003A1838" w:rsidP="003A1838">
      <w:pPr>
        <w:ind w:firstLine="708"/>
        <w:jc w:val="both"/>
        <w:rPr>
          <w:rFonts w:asciiTheme="majorBidi" w:hAnsiTheme="majorBidi" w:cstheme="majorBidi"/>
          <w:sz w:val="22"/>
          <w:szCs w:val="22"/>
        </w:rPr>
      </w:pPr>
      <w:r w:rsidRPr="003A1838">
        <w:rPr>
          <w:rFonts w:asciiTheme="majorBidi" w:hAnsiTheme="majorBidi" w:cstheme="majorBidi"/>
          <w:b/>
          <w:sz w:val="22"/>
          <w:szCs w:val="22"/>
        </w:rPr>
        <w:t>Summary</w:t>
      </w:r>
      <w:r>
        <w:rPr>
          <w:rFonts w:asciiTheme="majorBidi" w:hAnsiTheme="majorBidi" w:cstheme="majorBidi"/>
          <w:b/>
          <w:sz w:val="22"/>
          <w:szCs w:val="22"/>
        </w:rPr>
        <w:t xml:space="preserve">: </w:t>
      </w:r>
      <w:r w:rsidRPr="003A1838">
        <w:rPr>
          <w:rFonts w:asciiTheme="majorBidi" w:hAnsiTheme="majorBidi" w:cstheme="majorBidi"/>
          <w:sz w:val="22"/>
          <w:szCs w:val="22"/>
        </w:rPr>
        <w:t>One of the consequences of modern intensive mobility is a significant increase in the number of cross-border family cases. Legal systems correspond to this phenomenon by introducing new/improved legal norms (both at national and international level). In the field of legal protection of the most vulnerable, especially children, emphasis is placed on norms that present</w:t>
      </w:r>
      <w:bookmarkStart w:id="0" w:name="_GoBack"/>
      <w:bookmarkEnd w:id="0"/>
      <w:r w:rsidRPr="003A1838">
        <w:rPr>
          <w:rFonts w:asciiTheme="majorBidi" w:hAnsiTheme="majorBidi" w:cstheme="majorBidi"/>
          <w:sz w:val="22"/>
          <w:szCs w:val="22"/>
        </w:rPr>
        <w:t xml:space="preserve"> a legal framework for functioning of the central authority system. System of central authority has a crucial role in cross-border payment of maintenance and thus constitutes one of the key levers in reducing poverty of support creditors. This paper speaks of positioning of the system of central bodies in resolving international family matters, clarifying the scope of their work in the case of maintenance and in particular Maintenance Regulation no. 4/2009. </w:t>
      </w:r>
    </w:p>
    <w:p w:rsidR="003A1838" w:rsidRPr="003A1838" w:rsidRDefault="003A1838" w:rsidP="003A1838">
      <w:pPr>
        <w:ind w:firstLine="708"/>
        <w:jc w:val="both"/>
        <w:rPr>
          <w:rFonts w:asciiTheme="majorBidi" w:hAnsiTheme="majorBidi" w:cstheme="majorBidi"/>
          <w:sz w:val="22"/>
          <w:szCs w:val="22"/>
        </w:rPr>
      </w:pPr>
      <w:r w:rsidRPr="003A1838">
        <w:rPr>
          <w:rFonts w:asciiTheme="majorBidi" w:hAnsiTheme="majorBidi" w:cstheme="majorBidi"/>
          <w:b/>
          <w:sz w:val="22"/>
          <w:szCs w:val="22"/>
        </w:rPr>
        <w:t>Key words:</w:t>
      </w:r>
      <w:r w:rsidRPr="003A1838">
        <w:rPr>
          <w:rFonts w:asciiTheme="majorBidi" w:hAnsiTheme="majorBidi" w:cstheme="majorBidi"/>
          <w:sz w:val="22"/>
          <w:szCs w:val="22"/>
        </w:rPr>
        <w:t xml:space="preserve"> central authority system, maintenance obligations, Maintenance Regulation. </w:t>
      </w:r>
    </w:p>
    <w:p w:rsidR="003A1838" w:rsidRPr="003A1838" w:rsidRDefault="003A1838" w:rsidP="003A1838">
      <w:pPr>
        <w:jc w:val="both"/>
        <w:rPr>
          <w:rFonts w:asciiTheme="majorBidi" w:hAnsiTheme="majorBidi" w:cstheme="majorBidi"/>
          <w:sz w:val="22"/>
          <w:szCs w:val="22"/>
        </w:rPr>
      </w:pPr>
    </w:p>
    <w:p w:rsidR="006F7472" w:rsidRPr="003A1838" w:rsidRDefault="006F7472" w:rsidP="003A1838">
      <w:pPr>
        <w:jc w:val="both"/>
        <w:rPr>
          <w:rFonts w:asciiTheme="majorBidi" w:hAnsiTheme="majorBidi" w:cstheme="majorBidi"/>
          <w:sz w:val="22"/>
          <w:szCs w:val="22"/>
        </w:rPr>
      </w:pPr>
    </w:p>
    <w:sectPr w:rsidR="006F7472" w:rsidRPr="003A1838" w:rsidSect="000F4A20">
      <w:footerReference w:type="even" r:id="rId8"/>
      <w:footerReference w:type="default" r:id="rId9"/>
      <w:footerReference w:type="first" r:id="rId10"/>
      <w:pgSz w:w="9979" w:h="14175" w:code="34"/>
      <w:pgMar w:top="1134" w:right="1418" w:bottom="1134" w:left="1418" w:header="709" w:footer="709" w:gutter="0"/>
      <w:pgNumType w:start="1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76B" w:rsidRDefault="0047576B" w:rsidP="006F7472">
      <w:r>
        <w:separator/>
      </w:r>
    </w:p>
  </w:endnote>
  <w:endnote w:type="continuationSeparator" w:id="0">
    <w:p w:rsidR="0047576B" w:rsidRDefault="0047576B" w:rsidP="006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othic720 L2">
    <w:altName w:val="Arial"/>
    <w:panose1 w:val="00000000000000000000"/>
    <w:charset w:val="00"/>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30"/>
      <w:docPartObj>
        <w:docPartGallery w:val="Page Numbers (Bottom of Page)"/>
        <w:docPartUnique/>
      </w:docPartObj>
    </w:sdtPr>
    <w:sdtEndPr/>
    <w:sdtContent>
      <w:p w:rsidR="0080013C" w:rsidRDefault="007558E8" w:rsidP="0080013C">
        <w:pPr>
          <w:pStyle w:val="Footer"/>
          <w:spacing w:before="240"/>
        </w:pPr>
        <w:r>
          <w:fldChar w:fldCharType="begin"/>
        </w:r>
        <w:r>
          <w:instrText xml:space="preserve"> PAGE   \* MERGEFORMAT </w:instrText>
        </w:r>
        <w:r>
          <w:fldChar w:fldCharType="separate"/>
        </w:r>
        <w:r w:rsidR="004038C8">
          <w:rPr>
            <w:noProof/>
          </w:rPr>
          <w:t>160</w:t>
        </w:r>
        <w:r>
          <w:rPr>
            <w:noProof/>
          </w:rPr>
          <w:fldChar w:fldCharType="end"/>
        </w:r>
      </w:p>
    </w:sdtContent>
  </w:sdt>
  <w:p w:rsidR="0080013C" w:rsidRDefault="00800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7"/>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4038C8">
          <w:rPr>
            <w:noProof/>
          </w:rPr>
          <w:t>161</w:t>
        </w:r>
        <w:r>
          <w:rPr>
            <w:noProof/>
          </w:rPr>
          <w:fldChar w:fldCharType="end"/>
        </w:r>
      </w:p>
    </w:sdtContent>
  </w:sdt>
  <w:p w:rsidR="0080013C" w:rsidRDefault="00800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9"/>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4038C8">
          <w:rPr>
            <w:noProof/>
          </w:rPr>
          <w:t>151</w:t>
        </w:r>
        <w:r>
          <w:rPr>
            <w:noProof/>
          </w:rPr>
          <w:fldChar w:fldCharType="end"/>
        </w:r>
      </w:p>
    </w:sdtContent>
  </w:sdt>
  <w:p w:rsidR="0080013C" w:rsidRDefault="0080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76B" w:rsidRDefault="0047576B" w:rsidP="006F7472">
      <w:r>
        <w:separator/>
      </w:r>
    </w:p>
  </w:footnote>
  <w:footnote w:type="continuationSeparator" w:id="0">
    <w:p w:rsidR="0047576B" w:rsidRDefault="0047576B" w:rsidP="006F7472">
      <w:r>
        <w:continuationSeparator/>
      </w:r>
    </w:p>
  </w:footnote>
  <w:footnote w:id="1">
    <w:p w:rsidR="003A1838" w:rsidRPr="003A1838" w:rsidRDefault="003A1838" w:rsidP="003A1838">
      <w:pPr>
        <w:pStyle w:val="FootnoteText"/>
        <w:jc w:val="both"/>
        <w:rPr>
          <w:sz w:val="18"/>
          <w:szCs w:val="18"/>
        </w:rPr>
      </w:pPr>
      <w:r w:rsidRPr="003A1838">
        <w:rPr>
          <w:rStyle w:val="FootnoteReference"/>
          <w:sz w:val="18"/>
          <w:szCs w:val="18"/>
        </w:rPr>
        <w:footnoteRef/>
      </w:r>
      <w:proofErr w:type="spellStart"/>
      <w:r w:rsidRPr="003A1838">
        <w:rPr>
          <w:sz w:val="18"/>
          <w:szCs w:val="18"/>
        </w:rPr>
        <w:t>Symeon</w:t>
      </w:r>
      <w:proofErr w:type="spellEnd"/>
      <w:r w:rsidRPr="003A1838">
        <w:rPr>
          <w:sz w:val="18"/>
          <w:szCs w:val="18"/>
        </w:rPr>
        <w:t xml:space="preserve"> C. </w:t>
      </w:r>
      <w:proofErr w:type="spellStart"/>
      <w:r w:rsidRPr="003A1838">
        <w:rPr>
          <w:sz w:val="18"/>
          <w:szCs w:val="18"/>
        </w:rPr>
        <w:t>Symeonides</w:t>
      </w:r>
      <w:proofErr w:type="spellEnd"/>
      <w:r w:rsidRPr="003A1838">
        <w:rPr>
          <w:sz w:val="18"/>
          <w:szCs w:val="18"/>
        </w:rPr>
        <w:t xml:space="preserve">, </w:t>
      </w:r>
      <w:r w:rsidRPr="003A1838">
        <w:rPr>
          <w:i/>
          <w:sz w:val="18"/>
          <w:szCs w:val="18"/>
        </w:rPr>
        <w:t xml:space="preserve">Codifying Choice of Law </w:t>
      </w:r>
      <w:proofErr w:type="gramStart"/>
      <w:r w:rsidRPr="003A1838">
        <w:rPr>
          <w:i/>
          <w:sz w:val="18"/>
          <w:szCs w:val="18"/>
        </w:rPr>
        <w:t>Around</w:t>
      </w:r>
      <w:proofErr w:type="gramEnd"/>
      <w:r w:rsidRPr="003A1838">
        <w:rPr>
          <w:i/>
          <w:sz w:val="18"/>
          <w:szCs w:val="18"/>
        </w:rPr>
        <w:t xml:space="preserve"> the World. </w:t>
      </w:r>
      <w:proofErr w:type="gramStart"/>
      <w:r w:rsidRPr="003A1838">
        <w:rPr>
          <w:i/>
          <w:sz w:val="18"/>
          <w:szCs w:val="18"/>
        </w:rPr>
        <w:t>An International Comparative Analysis</w:t>
      </w:r>
      <w:r w:rsidRPr="003A1838">
        <w:rPr>
          <w:sz w:val="18"/>
          <w:szCs w:val="18"/>
        </w:rPr>
        <w:t xml:space="preserve"> (Oxford University Press 2014).</w:t>
      </w:r>
      <w:proofErr w:type="gramEnd"/>
    </w:p>
  </w:footnote>
  <w:footnote w:id="2">
    <w:p w:rsidR="003A1838" w:rsidRPr="003A1838" w:rsidRDefault="003A1838" w:rsidP="003A1838">
      <w:pPr>
        <w:pStyle w:val="FootnoteText"/>
        <w:jc w:val="both"/>
        <w:rPr>
          <w:sz w:val="18"/>
          <w:szCs w:val="18"/>
        </w:rPr>
      </w:pPr>
      <w:r w:rsidRPr="003A1838">
        <w:rPr>
          <w:rStyle w:val="FootnoteReference"/>
          <w:sz w:val="18"/>
          <w:szCs w:val="18"/>
        </w:rPr>
        <w:footnoteRef/>
      </w:r>
      <w:r w:rsidRPr="003A1838">
        <w:rPr>
          <w:sz w:val="18"/>
          <w:szCs w:val="18"/>
        </w:rPr>
        <w:t>www.hcch.net</w:t>
      </w:r>
    </w:p>
  </w:footnote>
  <w:footnote w:id="3">
    <w:p w:rsidR="003A1838" w:rsidRPr="003A1838" w:rsidRDefault="003A1838" w:rsidP="003A1838">
      <w:pPr>
        <w:pStyle w:val="FootnoteText"/>
        <w:jc w:val="both"/>
        <w:rPr>
          <w:sz w:val="18"/>
          <w:szCs w:val="18"/>
        </w:rPr>
      </w:pPr>
      <w:r w:rsidRPr="003A1838">
        <w:rPr>
          <w:rStyle w:val="FootnoteReference"/>
          <w:sz w:val="18"/>
          <w:szCs w:val="18"/>
        </w:rPr>
        <w:footnoteRef/>
      </w:r>
      <w:proofErr w:type="gramStart"/>
      <w:r w:rsidRPr="003A1838">
        <w:rPr>
          <w:sz w:val="18"/>
          <w:szCs w:val="18"/>
        </w:rPr>
        <w:t xml:space="preserve">Geert Van </w:t>
      </w:r>
      <w:proofErr w:type="spellStart"/>
      <w:r w:rsidRPr="003A1838">
        <w:rPr>
          <w:sz w:val="18"/>
          <w:szCs w:val="18"/>
        </w:rPr>
        <w:t>Calster</w:t>
      </w:r>
      <w:proofErr w:type="spellEnd"/>
      <w:r w:rsidRPr="003A1838">
        <w:rPr>
          <w:sz w:val="18"/>
          <w:szCs w:val="18"/>
        </w:rPr>
        <w:t xml:space="preserve">, </w:t>
      </w:r>
      <w:r w:rsidRPr="003A1838">
        <w:rPr>
          <w:i/>
          <w:sz w:val="18"/>
          <w:szCs w:val="18"/>
        </w:rPr>
        <w:t>European Private International Law</w:t>
      </w:r>
      <w:r w:rsidRPr="003A1838">
        <w:rPr>
          <w:sz w:val="18"/>
          <w:szCs w:val="18"/>
        </w:rPr>
        <w:t xml:space="preserve"> (Hart Publishing, Oxford) 2013.</w:t>
      </w:r>
      <w:proofErr w:type="gramEnd"/>
    </w:p>
  </w:footnote>
  <w:footnote w:id="4">
    <w:p w:rsidR="003A1838" w:rsidRPr="003A1838" w:rsidRDefault="003A1838" w:rsidP="003A1838">
      <w:pPr>
        <w:pStyle w:val="Default"/>
        <w:jc w:val="both"/>
        <w:rPr>
          <w:color w:val="auto"/>
          <w:sz w:val="18"/>
          <w:szCs w:val="18"/>
        </w:rPr>
      </w:pPr>
      <w:r w:rsidRPr="003A1838">
        <w:rPr>
          <w:rStyle w:val="FootnoteReference"/>
          <w:color w:val="auto"/>
          <w:sz w:val="18"/>
          <w:szCs w:val="18"/>
        </w:rPr>
        <w:footnoteRef/>
      </w:r>
      <w:r w:rsidRPr="003A1838">
        <w:rPr>
          <w:color w:val="auto"/>
          <w:sz w:val="18"/>
          <w:szCs w:val="18"/>
        </w:rPr>
        <w:t xml:space="preserve">Sardenber, M., </w:t>
      </w:r>
      <w:r w:rsidRPr="003A1838">
        <w:rPr>
          <w:i/>
          <w:color w:val="auto"/>
          <w:sz w:val="18"/>
          <w:szCs w:val="18"/>
        </w:rPr>
        <w:t>Judicial and administrative cooperation in family law matters: introduction</w:t>
      </w:r>
      <w:r w:rsidRPr="003A1838">
        <w:rPr>
          <w:color w:val="auto"/>
          <w:sz w:val="18"/>
          <w:szCs w:val="18"/>
        </w:rPr>
        <w:t xml:space="preserve">, u Wybo P. Heere ur., </w:t>
      </w:r>
      <w:r w:rsidRPr="003A1838">
        <w:rPr>
          <w:bCs/>
          <w:i/>
          <w:color w:val="auto"/>
          <w:sz w:val="18"/>
          <w:szCs w:val="18"/>
        </w:rPr>
        <w:t>International law and the Hagues 750th anniversary</w:t>
      </w:r>
      <w:r w:rsidRPr="003A1838">
        <w:rPr>
          <w:bCs/>
          <w:color w:val="auto"/>
          <w:sz w:val="18"/>
          <w:szCs w:val="18"/>
        </w:rPr>
        <w:t xml:space="preserve"> (</w:t>
      </w:r>
      <w:r w:rsidRPr="003A1838">
        <w:rPr>
          <w:bCs/>
          <w:color w:val="auto"/>
          <w:sz w:val="18"/>
          <w:szCs w:val="18"/>
          <w:lang w:val="en-US"/>
        </w:rPr>
        <w:t>The Hague, T.M.C. Asser Press 1999).</w:t>
      </w:r>
    </w:p>
  </w:footnote>
  <w:footnote w:id="5">
    <w:p w:rsidR="003A1838" w:rsidRPr="003A1838" w:rsidRDefault="003A1838" w:rsidP="003A1838">
      <w:pPr>
        <w:pStyle w:val="FootnoteText"/>
        <w:jc w:val="both"/>
        <w:rPr>
          <w:sz w:val="18"/>
          <w:szCs w:val="18"/>
        </w:rPr>
      </w:pPr>
      <w:r w:rsidRPr="003A1838">
        <w:rPr>
          <w:rStyle w:val="FootnoteReference"/>
          <w:sz w:val="18"/>
          <w:szCs w:val="18"/>
        </w:rPr>
        <w:footnoteRef/>
      </w:r>
      <w:r w:rsidRPr="003A1838">
        <w:rPr>
          <w:sz w:val="18"/>
          <w:szCs w:val="18"/>
        </w:rPr>
        <w:t xml:space="preserve"> </w:t>
      </w:r>
      <w:proofErr w:type="spellStart"/>
      <w:proofErr w:type="gramStart"/>
      <w:r w:rsidRPr="003A1838">
        <w:rPr>
          <w:sz w:val="18"/>
          <w:szCs w:val="18"/>
        </w:rPr>
        <w:t>Implementacija</w:t>
      </w:r>
      <w:proofErr w:type="spellEnd"/>
      <w:r w:rsidRPr="003A1838">
        <w:rPr>
          <w:sz w:val="18"/>
          <w:szCs w:val="18"/>
        </w:rPr>
        <w:t xml:space="preserve"> </w:t>
      </w:r>
      <w:proofErr w:type="spellStart"/>
      <w:r w:rsidRPr="003A1838">
        <w:rPr>
          <w:sz w:val="18"/>
          <w:szCs w:val="18"/>
        </w:rPr>
        <w:t>ove</w:t>
      </w:r>
      <w:proofErr w:type="spellEnd"/>
      <w:r w:rsidRPr="003A1838">
        <w:rPr>
          <w:sz w:val="18"/>
          <w:szCs w:val="18"/>
        </w:rPr>
        <w:t xml:space="preserve"> </w:t>
      </w:r>
      <w:proofErr w:type="spellStart"/>
      <w:r w:rsidRPr="003A1838">
        <w:rPr>
          <w:sz w:val="18"/>
          <w:szCs w:val="18"/>
        </w:rPr>
        <w:t>konvencije</w:t>
      </w:r>
      <w:proofErr w:type="spellEnd"/>
      <w:r w:rsidRPr="003A1838">
        <w:rPr>
          <w:sz w:val="18"/>
          <w:szCs w:val="18"/>
        </w:rPr>
        <w:t xml:space="preserve"> </w:t>
      </w:r>
      <w:proofErr w:type="spellStart"/>
      <w:r w:rsidRPr="003A1838">
        <w:rPr>
          <w:sz w:val="18"/>
          <w:szCs w:val="18"/>
        </w:rPr>
        <w:t>bilježi</w:t>
      </w:r>
      <w:proofErr w:type="spellEnd"/>
      <w:r w:rsidRPr="003A1838">
        <w:rPr>
          <w:sz w:val="18"/>
          <w:szCs w:val="18"/>
        </w:rPr>
        <w:t xml:space="preserve"> </w:t>
      </w:r>
      <w:proofErr w:type="spellStart"/>
      <w:r w:rsidRPr="003A1838">
        <w:rPr>
          <w:sz w:val="18"/>
          <w:szCs w:val="18"/>
        </w:rPr>
        <w:t>značajne</w:t>
      </w:r>
      <w:proofErr w:type="spellEnd"/>
      <w:r w:rsidRPr="003A1838">
        <w:rPr>
          <w:sz w:val="18"/>
          <w:szCs w:val="18"/>
        </w:rPr>
        <w:t xml:space="preserve"> </w:t>
      </w:r>
      <w:proofErr w:type="spellStart"/>
      <w:r w:rsidRPr="003A1838">
        <w:rPr>
          <w:sz w:val="18"/>
          <w:szCs w:val="18"/>
        </w:rPr>
        <w:t>poteškoće</w:t>
      </w:r>
      <w:proofErr w:type="spellEnd"/>
      <w:r w:rsidRPr="003A1838">
        <w:rPr>
          <w:sz w:val="18"/>
          <w:szCs w:val="18"/>
        </w:rPr>
        <w:t>.</w:t>
      </w:r>
      <w:proofErr w:type="gramEnd"/>
      <w:r w:rsidRPr="003A1838">
        <w:rPr>
          <w:sz w:val="18"/>
          <w:szCs w:val="18"/>
        </w:rPr>
        <w:t xml:space="preserve"> </w:t>
      </w:r>
      <w:proofErr w:type="spellStart"/>
      <w:r w:rsidRPr="003A1838">
        <w:rPr>
          <w:sz w:val="18"/>
          <w:szCs w:val="18"/>
        </w:rPr>
        <w:t>Više</w:t>
      </w:r>
      <w:proofErr w:type="spellEnd"/>
      <w:r w:rsidRPr="003A1838">
        <w:rPr>
          <w:sz w:val="18"/>
          <w:szCs w:val="18"/>
        </w:rPr>
        <w:t xml:space="preserve"> </w:t>
      </w:r>
      <w:proofErr w:type="spellStart"/>
      <w:r w:rsidRPr="003A1838">
        <w:rPr>
          <w:sz w:val="18"/>
          <w:szCs w:val="18"/>
        </w:rPr>
        <w:t>vidi</w:t>
      </w:r>
      <w:proofErr w:type="spellEnd"/>
      <w:r w:rsidRPr="003A1838">
        <w:rPr>
          <w:sz w:val="18"/>
          <w:szCs w:val="18"/>
        </w:rPr>
        <w:t xml:space="preserve"> Duncan,  W., </w:t>
      </w:r>
      <w:r w:rsidRPr="003A1838">
        <w:rPr>
          <w:i/>
          <w:sz w:val="18"/>
          <w:szCs w:val="18"/>
        </w:rPr>
        <w:t xml:space="preserve">The Development of the New Hague Convention on the International Recovery of Child Support and Other Forms of Family </w:t>
      </w:r>
      <w:proofErr w:type="spellStart"/>
      <w:r w:rsidRPr="003A1838">
        <w:rPr>
          <w:i/>
          <w:sz w:val="18"/>
          <w:szCs w:val="18"/>
        </w:rPr>
        <w:t>Maintennace</w:t>
      </w:r>
      <w:proofErr w:type="spellEnd"/>
      <w:r w:rsidRPr="003A1838">
        <w:rPr>
          <w:sz w:val="18"/>
          <w:szCs w:val="18"/>
        </w:rPr>
        <w:t xml:space="preserve">, 38 </w:t>
      </w:r>
      <w:r w:rsidRPr="003A1838">
        <w:rPr>
          <w:i/>
          <w:sz w:val="18"/>
          <w:szCs w:val="18"/>
        </w:rPr>
        <w:t xml:space="preserve">Family Law Quarterly </w:t>
      </w:r>
      <w:r w:rsidRPr="003A1838">
        <w:rPr>
          <w:sz w:val="18"/>
          <w:szCs w:val="18"/>
        </w:rPr>
        <w:t xml:space="preserve">(2004), str. 666. </w:t>
      </w:r>
    </w:p>
  </w:footnote>
  <w:footnote w:id="6">
    <w:p w:rsidR="003A1838" w:rsidRPr="003A1838" w:rsidRDefault="003A1838" w:rsidP="003A1838">
      <w:pPr>
        <w:autoSpaceDE w:val="0"/>
        <w:autoSpaceDN w:val="0"/>
        <w:adjustRightInd w:val="0"/>
        <w:jc w:val="both"/>
        <w:rPr>
          <w:sz w:val="18"/>
          <w:szCs w:val="18"/>
        </w:rPr>
      </w:pPr>
      <w:r w:rsidRPr="003A1838">
        <w:rPr>
          <w:rStyle w:val="FootnoteReference"/>
          <w:sz w:val="18"/>
          <w:szCs w:val="18"/>
        </w:rPr>
        <w:footnoteRef/>
      </w:r>
      <w:r w:rsidRPr="003A1838">
        <w:rPr>
          <w:sz w:val="18"/>
          <w:szCs w:val="18"/>
        </w:rPr>
        <w:t xml:space="preserve"> Poglavito su to slijedeće tri konvencije: The European Convention on recognition and enforcement of decisions concerning custody of children and on restoration of custody of children (the Custody Convention) [ETS No. 105 - Luxembourg 20.05.1980]; The European Convention on the exercise of children"s rights [ETS No. 160 - Strasbourg, 25.01.1996]; Convention on contanct concerning children, Strasbourg, 15.V.2003.</w:t>
      </w:r>
    </w:p>
  </w:footnote>
  <w:footnote w:id="7">
    <w:p w:rsidR="003A1838" w:rsidRPr="003A1838" w:rsidRDefault="003A1838" w:rsidP="003A1838">
      <w:pPr>
        <w:pStyle w:val="FootnoteText"/>
        <w:jc w:val="both"/>
        <w:rPr>
          <w:sz w:val="18"/>
          <w:szCs w:val="18"/>
        </w:rPr>
      </w:pPr>
      <w:r w:rsidRPr="003A1838">
        <w:rPr>
          <w:rStyle w:val="FootnoteReference"/>
          <w:sz w:val="18"/>
          <w:szCs w:val="18"/>
        </w:rPr>
        <w:footnoteRef/>
      </w:r>
      <w:r w:rsidRPr="003A1838">
        <w:rPr>
          <w:sz w:val="18"/>
          <w:szCs w:val="18"/>
        </w:rPr>
        <w:t xml:space="preserve"> </w:t>
      </w:r>
      <w:proofErr w:type="gramStart"/>
      <w:r w:rsidRPr="003A1838">
        <w:rPr>
          <w:sz w:val="18"/>
          <w:szCs w:val="18"/>
        </w:rPr>
        <w:t>Convention of 19 October 1996 on Jurisdiction, Applicable Law, Recognition, Enforcement and Co-operation in Respect of Parental Responsibility and Measures for the Protection of Children.</w:t>
      </w:r>
      <w:proofErr w:type="gramEnd"/>
      <w:r w:rsidRPr="003A1838">
        <w:rPr>
          <w:sz w:val="18"/>
          <w:szCs w:val="18"/>
        </w:rPr>
        <w:t xml:space="preserve"> </w:t>
      </w:r>
      <w:proofErr w:type="gramStart"/>
      <w:r w:rsidRPr="003A1838">
        <w:rPr>
          <w:rStyle w:val="Emphasis"/>
          <w:sz w:val="18"/>
          <w:szCs w:val="18"/>
        </w:rPr>
        <w:t>Proceedings of the Eighteenth Session 1996 II</w:t>
      </w:r>
      <w:r w:rsidRPr="003A1838">
        <w:rPr>
          <w:sz w:val="18"/>
          <w:szCs w:val="18"/>
        </w:rPr>
        <w:t>.</w:t>
      </w:r>
      <w:proofErr w:type="gramEnd"/>
      <w:r w:rsidRPr="003A1838">
        <w:rPr>
          <w:sz w:val="18"/>
          <w:szCs w:val="18"/>
        </w:rPr>
        <w:t xml:space="preserve"> (The Hague 1996) str. 615; Convention of 25 October 1980 on the Civil Aspects of International Child </w:t>
      </w:r>
      <w:proofErr w:type="spellStart"/>
      <w:r w:rsidRPr="003A1838">
        <w:rPr>
          <w:sz w:val="18"/>
          <w:szCs w:val="18"/>
        </w:rPr>
        <w:t>Abduction</w:t>
      </w:r>
      <w:r w:rsidRPr="003A1838">
        <w:rPr>
          <w:rStyle w:val="Emphasis"/>
          <w:sz w:val="18"/>
          <w:szCs w:val="18"/>
        </w:rPr>
        <w:t>Actes</w:t>
      </w:r>
      <w:proofErr w:type="spellEnd"/>
      <w:r w:rsidRPr="003A1838">
        <w:rPr>
          <w:rStyle w:val="Emphasis"/>
          <w:sz w:val="18"/>
          <w:szCs w:val="18"/>
        </w:rPr>
        <w:t xml:space="preserve"> et documents de la </w:t>
      </w:r>
      <w:proofErr w:type="spellStart"/>
      <w:r w:rsidRPr="003A1838">
        <w:rPr>
          <w:rStyle w:val="Emphasis"/>
          <w:sz w:val="18"/>
          <w:szCs w:val="18"/>
        </w:rPr>
        <w:t>Quatorzième</w:t>
      </w:r>
      <w:proofErr w:type="spellEnd"/>
      <w:r w:rsidRPr="003A1838">
        <w:rPr>
          <w:rStyle w:val="Emphasis"/>
          <w:sz w:val="18"/>
          <w:szCs w:val="18"/>
        </w:rPr>
        <w:t xml:space="preserve"> session 1980</w:t>
      </w:r>
      <w:r w:rsidRPr="003A1838">
        <w:rPr>
          <w:sz w:val="18"/>
          <w:szCs w:val="18"/>
        </w:rPr>
        <w:t xml:space="preserve">, </w:t>
      </w:r>
      <w:smartTag w:uri="urn:schemas-microsoft-com:office:smarttags" w:element="stockticker">
        <w:r w:rsidRPr="003A1838">
          <w:rPr>
            <w:i/>
            <w:sz w:val="18"/>
            <w:szCs w:val="18"/>
          </w:rPr>
          <w:t>III</w:t>
        </w:r>
      </w:smartTag>
      <w:r w:rsidRPr="003A1838">
        <w:rPr>
          <w:i/>
          <w:sz w:val="18"/>
          <w:szCs w:val="18"/>
        </w:rPr>
        <w:t>.</w:t>
      </w:r>
      <w:r w:rsidRPr="003A1838">
        <w:rPr>
          <w:sz w:val="18"/>
          <w:szCs w:val="18"/>
        </w:rPr>
        <w:t xml:space="preserve"> </w:t>
      </w:r>
      <w:proofErr w:type="gramStart"/>
      <w:r w:rsidRPr="003A1838">
        <w:rPr>
          <w:sz w:val="18"/>
          <w:szCs w:val="18"/>
        </w:rPr>
        <w:t xml:space="preserve">(The Hague 1980) str. 481; Convention of 29 May 1993 on Protection of Children and Co-operation in Respect of </w:t>
      </w:r>
      <w:proofErr w:type="spellStart"/>
      <w:r w:rsidRPr="003A1838">
        <w:rPr>
          <w:sz w:val="18"/>
          <w:szCs w:val="18"/>
        </w:rPr>
        <w:t>Intercountry</w:t>
      </w:r>
      <w:proofErr w:type="spellEnd"/>
      <w:r w:rsidRPr="003A1838">
        <w:rPr>
          <w:sz w:val="18"/>
          <w:szCs w:val="18"/>
        </w:rPr>
        <w:t xml:space="preserve"> Adoption</w:t>
      </w:r>
      <w:r w:rsidRPr="003A1838">
        <w:rPr>
          <w:rStyle w:val="Emphasis"/>
          <w:b/>
          <w:sz w:val="18"/>
          <w:szCs w:val="18"/>
        </w:rPr>
        <w:t>.</w:t>
      </w:r>
      <w:proofErr w:type="gramEnd"/>
      <w:r w:rsidRPr="003A1838">
        <w:rPr>
          <w:rStyle w:val="Emphasis"/>
          <w:b/>
          <w:sz w:val="18"/>
          <w:szCs w:val="18"/>
        </w:rPr>
        <w:t xml:space="preserve"> </w:t>
      </w:r>
      <w:proofErr w:type="gramStart"/>
      <w:r w:rsidRPr="003A1838">
        <w:rPr>
          <w:rStyle w:val="Emphasis"/>
          <w:sz w:val="18"/>
          <w:szCs w:val="18"/>
        </w:rPr>
        <w:t>Proceedings of the Seventeenth Session 1993</w:t>
      </w:r>
      <w:r w:rsidRPr="003A1838">
        <w:rPr>
          <w:sz w:val="18"/>
          <w:szCs w:val="18"/>
        </w:rPr>
        <w:t xml:space="preserve">, </w:t>
      </w:r>
      <w:r w:rsidRPr="003A1838">
        <w:rPr>
          <w:i/>
          <w:sz w:val="18"/>
          <w:szCs w:val="18"/>
        </w:rPr>
        <w:t>II.</w:t>
      </w:r>
      <w:proofErr w:type="gramEnd"/>
      <w:r w:rsidRPr="003A1838">
        <w:rPr>
          <w:sz w:val="18"/>
          <w:szCs w:val="18"/>
        </w:rPr>
        <w:t xml:space="preserve"> (The Hague, 1993) str. 659; Convention of 23 November 2007 on the International Recovery of Child Support and Other Forms of Family Maintenance, Final Act of the Twenty-First Session, The Hague </w:t>
      </w:r>
      <w:r w:rsidRPr="003A1838">
        <w:rPr>
          <w:bCs/>
          <w:sz w:val="18"/>
          <w:szCs w:val="18"/>
        </w:rPr>
        <w:t xml:space="preserve">23. November 2007. </w:t>
      </w:r>
      <w:proofErr w:type="spellStart"/>
      <w:proofErr w:type="gramStart"/>
      <w:r w:rsidRPr="003A1838">
        <w:rPr>
          <w:bCs/>
          <w:sz w:val="18"/>
          <w:szCs w:val="18"/>
        </w:rPr>
        <w:t>d</w:t>
      </w:r>
      <w:r w:rsidRPr="003A1838">
        <w:rPr>
          <w:sz w:val="18"/>
          <w:szCs w:val="18"/>
        </w:rPr>
        <w:t>ostupno</w:t>
      </w:r>
      <w:proofErr w:type="spellEnd"/>
      <w:proofErr w:type="gramEnd"/>
      <w:r w:rsidRPr="003A1838">
        <w:rPr>
          <w:sz w:val="18"/>
          <w:szCs w:val="18"/>
        </w:rPr>
        <w:t xml:space="preserve"> </w:t>
      </w:r>
      <w:proofErr w:type="spellStart"/>
      <w:r w:rsidRPr="003A1838">
        <w:rPr>
          <w:sz w:val="18"/>
          <w:szCs w:val="18"/>
        </w:rPr>
        <w:t>na</w:t>
      </w:r>
      <w:proofErr w:type="spellEnd"/>
      <w:r w:rsidRPr="003A1838">
        <w:rPr>
          <w:sz w:val="18"/>
          <w:szCs w:val="18"/>
        </w:rPr>
        <w:t>: http://www.hcch.net/index_en.php, (</w:t>
      </w:r>
      <w:proofErr w:type="spellStart"/>
      <w:r w:rsidRPr="003A1838">
        <w:rPr>
          <w:sz w:val="18"/>
          <w:szCs w:val="18"/>
        </w:rPr>
        <w:t>posjećeno</w:t>
      </w:r>
      <w:proofErr w:type="spellEnd"/>
      <w:r w:rsidRPr="003A1838">
        <w:rPr>
          <w:sz w:val="18"/>
          <w:szCs w:val="18"/>
        </w:rPr>
        <w:t>: 15.3.2015.)</w:t>
      </w:r>
    </w:p>
  </w:footnote>
  <w:footnote w:id="8">
    <w:p w:rsidR="003A1838" w:rsidRPr="003A1838" w:rsidRDefault="003A1838" w:rsidP="003A1838">
      <w:pPr>
        <w:pStyle w:val="FootnoteText"/>
        <w:jc w:val="both"/>
        <w:rPr>
          <w:sz w:val="18"/>
          <w:szCs w:val="18"/>
        </w:rPr>
      </w:pPr>
      <w:r w:rsidRPr="003A1838">
        <w:rPr>
          <w:rStyle w:val="FootnoteReference"/>
          <w:sz w:val="18"/>
          <w:szCs w:val="18"/>
        </w:rPr>
        <w:footnoteRef/>
      </w:r>
      <w:proofErr w:type="spellStart"/>
      <w:r w:rsidRPr="003A1838">
        <w:rPr>
          <w:i/>
          <w:sz w:val="18"/>
          <w:szCs w:val="18"/>
        </w:rPr>
        <w:t>Uredba</w:t>
      </w:r>
      <w:proofErr w:type="spellEnd"/>
      <w:r w:rsidRPr="003A1838">
        <w:rPr>
          <w:i/>
          <w:sz w:val="18"/>
          <w:szCs w:val="18"/>
        </w:rPr>
        <w:t xml:space="preserve"> </w:t>
      </w:r>
      <w:proofErr w:type="spellStart"/>
      <w:r w:rsidRPr="003A1838">
        <w:rPr>
          <w:i/>
          <w:sz w:val="18"/>
          <w:szCs w:val="18"/>
        </w:rPr>
        <w:t>Vijeća</w:t>
      </w:r>
      <w:proofErr w:type="spellEnd"/>
      <w:r w:rsidRPr="003A1838">
        <w:rPr>
          <w:i/>
          <w:sz w:val="18"/>
          <w:szCs w:val="18"/>
        </w:rPr>
        <w:t xml:space="preserve"> (EZ) br. 2201/2003 </w:t>
      </w:r>
      <w:proofErr w:type="spellStart"/>
      <w:proofErr w:type="gramStart"/>
      <w:r w:rsidRPr="003A1838">
        <w:rPr>
          <w:i/>
          <w:sz w:val="18"/>
          <w:szCs w:val="18"/>
        </w:rPr>
        <w:t>od</w:t>
      </w:r>
      <w:proofErr w:type="spellEnd"/>
      <w:proofErr w:type="gramEnd"/>
      <w:r w:rsidRPr="003A1838">
        <w:rPr>
          <w:i/>
          <w:sz w:val="18"/>
          <w:szCs w:val="18"/>
        </w:rPr>
        <w:t xml:space="preserve"> 27. </w:t>
      </w:r>
      <w:proofErr w:type="spellStart"/>
      <w:proofErr w:type="gramStart"/>
      <w:r w:rsidRPr="003A1838">
        <w:rPr>
          <w:i/>
          <w:sz w:val="18"/>
          <w:szCs w:val="18"/>
        </w:rPr>
        <w:t>studenoga</w:t>
      </w:r>
      <w:proofErr w:type="spellEnd"/>
      <w:proofErr w:type="gramEnd"/>
      <w:r w:rsidRPr="003A1838">
        <w:rPr>
          <w:i/>
          <w:sz w:val="18"/>
          <w:szCs w:val="18"/>
        </w:rPr>
        <w:t xml:space="preserve"> 2003. </w:t>
      </w:r>
      <w:proofErr w:type="gramStart"/>
      <w:r w:rsidRPr="003A1838">
        <w:rPr>
          <w:i/>
          <w:sz w:val="18"/>
          <w:szCs w:val="18"/>
        </w:rPr>
        <w:t>o</w:t>
      </w:r>
      <w:proofErr w:type="gramEnd"/>
      <w:r w:rsidRPr="003A1838">
        <w:rPr>
          <w:i/>
          <w:sz w:val="18"/>
          <w:szCs w:val="18"/>
        </w:rPr>
        <w:t xml:space="preserve"> </w:t>
      </w:r>
      <w:proofErr w:type="spellStart"/>
      <w:r w:rsidRPr="003A1838">
        <w:rPr>
          <w:i/>
          <w:sz w:val="18"/>
          <w:szCs w:val="18"/>
        </w:rPr>
        <w:t>nadležnosti</w:t>
      </w:r>
      <w:proofErr w:type="spellEnd"/>
      <w:r w:rsidRPr="003A1838">
        <w:rPr>
          <w:i/>
          <w:sz w:val="18"/>
          <w:szCs w:val="18"/>
        </w:rPr>
        <w:t xml:space="preserve">, </w:t>
      </w:r>
      <w:proofErr w:type="spellStart"/>
      <w:r w:rsidRPr="003A1838">
        <w:rPr>
          <w:i/>
          <w:sz w:val="18"/>
          <w:szCs w:val="18"/>
        </w:rPr>
        <w:t>priznavanju</w:t>
      </w:r>
      <w:proofErr w:type="spellEnd"/>
      <w:r w:rsidRPr="003A1838">
        <w:rPr>
          <w:i/>
          <w:sz w:val="18"/>
          <w:szCs w:val="18"/>
        </w:rPr>
        <w:t xml:space="preserve"> i </w:t>
      </w:r>
      <w:proofErr w:type="spellStart"/>
      <w:r w:rsidRPr="003A1838">
        <w:rPr>
          <w:i/>
          <w:sz w:val="18"/>
          <w:szCs w:val="18"/>
        </w:rPr>
        <w:t>izvršenju</w:t>
      </w:r>
      <w:proofErr w:type="spellEnd"/>
      <w:r w:rsidRPr="003A1838">
        <w:rPr>
          <w:i/>
          <w:sz w:val="18"/>
          <w:szCs w:val="18"/>
        </w:rPr>
        <w:t xml:space="preserve"> </w:t>
      </w:r>
      <w:proofErr w:type="spellStart"/>
      <w:r w:rsidRPr="003A1838">
        <w:rPr>
          <w:i/>
          <w:sz w:val="18"/>
          <w:szCs w:val="18"/>
        </w:rPr>
        <w:t>sudskih</w:t>
      </w:r>
      <w:proofErr w:type="spellEnd"/>
      <w:r w:rsidRPr="003A1838">
        <w:rPr>
          <w:i/>
          <w:sz w:val="18"/>
          <w:szCs w:val="18"/>
        </w:rPr>
        <w:t xml:space="preserve"> </w:t>
      </w:r>
      <w:proofErr w:type="spellStart"/>
      <w:r w:rsidRPr="003A1838">
        <w:rPr>
          <w:i/>
          <w:sz w:val="18"/>
          <w:szCs w:val="18"/>
        </w:rPr>
        <w:t>odluka</w:t>
      </w:r>
      <w:proofErr w:type="spellEnd"/>
      <w:r w:rsidRPr="003A1838">
        <w:rPr>
          <w:i/>
          <w:sz w:val="18"/>
          <w:szCs w:val="18"/>
        </w:rPr>
        <w:t xml:space="preserve"> u </w:t>
      </w:r>
      <w:proofErr w:type="spellStart"/>
      <w:r w:rsidRPr="003A1838">
        <w:rPr>
          <w:i/>
          <w:sz w:val="18"/>
          <w:szCs w:val="18"/>
        </w:rPr>
        <w:t>bračnim</w:t>
      </w:r>
      <w:proofErr w:type="spellEnd"/>
      <w:r w:rsidRPr="003A1838">
        <w:rPr>
          <w:i/>
          <w:sz w:val="18"/>
          <w:szCs w:val="18"/>
        </w:rPr>
        <w:t xml:space="preserve"> </w:t>
      </w:r>
      <w:proofErr w:type="spellStart"/>
      <w:r w:rsidRPr="003A1838">
        <w:rPr>
          <w:i/>
          <w:sz w:val="18"/>
          <w:szCs w:val="18"/>
        </w:rPr>
        <w:t>sporovima</w:t>
      </w:r>
      <w:proofErr w:type="spellEnd"/>
      <w:r w:rsidRPr="003A1838">
        <w:rPr>
          <w:i/>
          <w:sz w:val="18"/>
          <w:szCs w:val="18"/>
        </w:rPr>
        <w:t xml:space="preserve"> i u </w:t>
      </w:r>
      <w:proofErr w:type="spellStart"/>
      <w:r w:rsidRPr="003A1838">
        <w:rPr>
          <w:i/>
          <w:sz w:val="18"/>
          <w:szCs w:val="18"/>
        </w:rPr>
        <w:t>stvarima</w:t>
      </w:r>
      <w:proofErr w:type="spellEnd"/>
      <w:r w:rsidRPr="003A1838">
        <w:rPr>
          <w:i/>
          <w:sz w:val="18"/>
          <w:szCs w:val="18"/>
        </w:rPr>
        <w:t xml:space="preserve"> </w:t>
      </w:r>
      <w:proofErr w:type="spellStart"/>
      <w:r w:rsidRPr="003A1838">
        <w:rPr>
          <w:i/>
          <w:sz w:val="18"/>
          <w:szCs w:val="18"/>
        </w:rPr>
        <w:t>povezanim</w:t>
      </w:r>
      <w:proofErr w:type="spellEnd"/>
      <w:r w:rsidRPr="003A1838">
        <w:rPr>
          <w:i/>
          <w:sz w:val="18"/>
          <w:szCs w:val="18"/>
        </w:rPr>
        <w:t xml:space="preserve"> s </w:t>
      </w:r>
      <w:proofErr w:type="spellStart"/>
      <w:r w:rsidRPr="003A1838">
        <w:rPr>
          <w:i/>
          <w:sz w:val="18"/>
          <w:szCs w:val="18"/>
        </w:rPr>
        <w:t>roditeljskom</w:t>
      </w:r>
      <w:proofErr w:type="spellEnd"/>
      <w:r w:rsidRPr="003A1838">
        <w:rPr>
          <w:i/>
          <w:sz w:val="18"/>
          <w:szCs w:val="18"/>
        </w:rPr>
        <w:t xml:space="preserve"> </w:t>
      </w:r>
      <w:proofErr w:type="spellStart"/>
      <w:r w:rsidRPr="003A1838">
        <w:rPr>
          <w:i/>
          <w:sz w:val="18"/>
          <w:szCs w:val="18"/>
        </w:rPr>
        <w:t>odgovornošću</w:t>
      </w:r>
      <w:proofErr w:type="spellEnd"/>
      <w:r w:rsidRPr="003A1838">
        <w:rPr>
          <w:i/>
          <w:sz w:val="18"/>
          <w:szCs w:val="18"/>
        </w:rPr>
        <w:t xml:space="preserve">, </w:t>
      </w:r>
      <w:proofErr w:type="spellStart"/>
      <w:r w:rsidRPr="003A1838">
        <w:rPr>
          <w:i/>
          <w:sz w:val="18"/>
          <w:szCs w:val="18"/>
        </w:rPr>
        <w:t>kojom</w:t>
      </w:r>
      <w:proofErr w:type="spellEnd"/>
      <w:r w:rsidRPr="003A1838">
        <w:rPr>
          <w:i/>
          <w:sz w:val="18"/>
          <w:szCs w:val="18"/>
        </w:rPr>
        <w:t xml:space="preserve"> se </w:t>
      </w:r>
      <w:proofErr w:type="spellStart"/>
      <w:r w:rsidRPr="003A1838">
        <w:rPr>
          <w:i/>
          <w:sz w:val="18"/>
          <w:szCs w:val="18"/>
        </w:rPr>
        <w:t>stavlja</w:t>
      </w:r>
      <w:proofErr w:type="spellEnd"/>
      <w:r w:rsidRPr="003A1838">
        <w:rPr>
          <w:i/>
          <w:sz w:val="18"/>
          <w:szCs w:val="18"/>
        </w:rPr>
        <w:t xml:space="preserve"> </w:t>
      </w:r>
      <w:proofErr w:type="spellStart"/>
      <w:r w:rsidRPr="003A1838">
        <w:rPr>
          <w:i/>
          <w:sz w:val="18"/>
          <w:szCs w:val="18"/>
        </w:rPr>
        <w:t>izvan</w:t>
      </w:r>
      <w:proofErr w:type="spellEnd"/>
      <w:r w:rsidRPr="003A1838">
        <w:rPr>
          <w:i/>
          <w:sz w:val="18"/>
          <w:szCs w:val="18"/>
        </w:rPr>
        <w:t xml:space="preserve"> </w:t>
      </w:r>
      <w:proofErr w:type="spellStart"/>
      <w:r w:rsidRPr="003A1838">
        <w:rPr>
          <w:i/>
          <w:sz w:val="18"/>
          <w:szCs w:val="18"/>
        </w:rPr>
        <w:t>snage</w:t>
      </w:r>
      <w:proofErr w:type="spellEnd"/>
      <w:r w:rsidRPr="003A1838">
        <w:rPr>
          <w:i/>
          <w:sz w:val="18"/>
          <w:szCs w:val="18"/>
        </w:rPr>
        <w:t xml:space="preserve"> </w:t>
      </w:r>
      <w:proofErr w:type="spellStart"/>
      <w:r w:rsidRPr="003A1838">
        <w:rPr>
          <w:i/>
          <w:sz w:val="18"/>
          <w:szCs w:val="18"/>
        </w:rPr>
        <w:t>Uredba</w:t>
      </w:r>
      <w:proofErr w:type="spellEnd"/>
      <w:r w:rsidRPr="003A1838">
        <w:rPr>
          <w:i/>
          <w:sz w:val="18"/>
          <w:szCs w:val="18"/>
        </w:rPr>
        <w:t xml:space="preserve"> (EZ) br. 1347/2000</w:t>
      </w:r>
      <w:r w:rsidRPr="003A1838">
        <w:rPr>
          <w:sz w:val="18"/>
          <w:szCs w:val="18"/>
        </w:rPr>
        <w:t>, OJ L 338, 23.12.2003.</w:t>
      </w:r>
    </w:p>
  </w:footnote>
  <w:footnote w:id="9">
    <w:p w:rsidR="003A1838" w:rsidRPr="003A1838" w:rsidRDefault="003A1838" w:rsidP="003A1838">
      <w:pPr>
        <w:pStyle w:val="FootnoteText"/>
        <w:jc w:val="both"/>
        <w:rPr>
          <w:sz w:val="18"/>
          <w:szCs w:val="18"/>
        </w:rPr>
      </w:pPr>
      <w:r w:rsidRPr="003A1838">
        <w:rPr>
          <w:rStyle w:val="FootnoteReference"/>
          <w:sz w:val="18"/>
          <w:szCs w:val="18"/>
        </w:rPr>
        <w:footnoteRef/>
      </w:r>
      <w:proofErr w:type="spellStart"/>
      <w:r w:rsidRPr="003A1838">
        <w:rPr>
          <w:i/>
          <w:sz w:val="18"/>
          <w:szCs w:val="18"/>
        </w:rPr>
        <w:t>Uredba</w:t>
      </w:r>
      <w:proofErr w:type="spellEnd"/>
      <w:r w:rsidRPr="003A1838">
        <w:rPr>
          <w:i/>
          <w:sz w:val="18"/>
          <w:szCs w:val="18"/>
        </w:rPr>
        <w:t xml:space="preserve"> </w:t>
      </w:r>
      <w:proofErr w:type="spellStart"/>
      <w:r w:rsidRPr="003A1838">
        <w:rPr>
          <w:i/>
          <w:sz w:val="18"/>
          <w:szCs w:val="18"/>
        </w:rPr>
        <w:t>Vijeća</w:t>
      </w:r>
      <w:proofErr w:type="spellEnd"/>
      <w:r w:rsidRPr="003A1838">
        <w:rPr>
          <w:i/>
          <w:sz w:val="18"/>
          <w:szCs w:val="18"/>
        </w:rPr>
        <w:t xml:space="preserve"> (EZ) br. 4/2009 </w:t>
      </w:r>
      <w:proofErr w:type="spellStart"/>
      <w:proofErr w:type="gramStart"/>
      <w:r w:rsidRPr="003A1838">
        <w:rPr>
          <w:i/>
          <w:sz w:val="18"/>
          <w:szCs w:val="18"/>
        </w:rPr>
        <w:t>od</w:t>
      </w:r>
      <w:proofErr w:type="spellEnd"/>
      <w:proofErr w:type="gramEnd"/>
      <w:r w:rsidRPr="003A1838">
        <w:rPr>
          <w:i/>
          <w:sz w:val="18"/>
          <w:szCs w:val="18"/>
        </w:rPr>
        <w:t xml:space="preserve"> 18. </w:t>
      </w:r>
      <w:proofErr w:type="spellStart"/>
      <w:proofErr w:type="gramStart"/>
      <w:r w:rsidRPr="003A1838">
        <w:rPr>
          <w:i/>
          <w:sz w:val="18"/>
          <w:szCs w:val="18"/>
        </w:rPr>
        <w:t>prosinca</w:t>
      </w:r>
      <w:proofErr w:type="spellEnd"/>
      <w:proofErr w:type="gramEnd"/>
      <w:r w:rsidRPr="003A1838">
        <w:rPr>
          <w:i/>
          <w:sz w:val="18"/>
          <w:szCs w:val="18"/>
        </w:rPr>
        <w:t xml:space="preserve"> 2008. </w:t>
      </w:r>
      <w:proofErr w:type="gramStart"/>
      <w:r w:rsidRPr="003A1838">
        <w:rPr>
          <w:i/>
          <w:sz w:val="18"/>
          <w:szCs w:val="18"/>
        </w:rPr>
        <w:t>o</w:t>
      </w:r>
      <w:proofErr w:type="gramEnd"/>
      <w:r w:rsidRPr="003A1838">
        <w:rPr>
          <w:i/>
          <w:sz w:val="18"/>
          <w:szCs w:val="18"/>
        </w:rPr>
        <w:t xml:space="preserve"> </w:t>
      </w:r>
      <w:proofErr w:type="spellStart"/>
      <w:r w:rsidRPr="003A1838">
        <w:rPr>
          <w:i/>
          <w:sz w:val="18"/>
          <w:szCs w:val="18"/>
        </w:rPr>
        <w:t>nadležnosti</w:t>
      </w:r>
      <w:proofErr w:type="spellEnd"/>
      <w:r w:rsidRPr="003A1838">
        <w:rPr>
          <w:i/>
          <w:sz w:val="18"/>
          <w:szCs w:val="18"/>
        </w:rPr>
        <w:t xml:space="preserve">, </w:t>
      </w:r>
      <w:proofErr w:type="spellStart"/>
      <w:r w:rsidRPr="003A1838">
        <w:rPr>
          <w:i/>
          <w:sz w:val="18"/>
          <w:szCs w:val="18"/>
        </w:rPr>
        <w:t>mjerodavnom</w:t>
      </w:r>
      <w:proofErr w:type="spellEnd"/>
      <w:r w:rsidRPr="003A1838">
        <w:rPr>
          <w:i/>
          <w:sz w:val="18"/>
          <w:szCs w:val="18"/>
        </w:rPr>
        <w:t xml:space="preserve"> </w:t>
      </w:r>
      <w:proofErr w:type="spellStart"/>
      <w:r w:rsidRPr="003A1838">
        <w:rPr>
          <w:i/>
          <w:sz w:val="18"/>
          <w:szCs w:val="18"/>
        </w:rPr>
        <w:t>pravu</w:t>
      </w:r>
      <w:proofErr w:type="spellEnd"/>
      <w:r w:rsidRPr="003A1838">
        <w:rPr>
          <w:i/>
          <w:sz w:val="18"/>
          <w:szCs w:val="18"/>
        </w:rPr>
        <w:t xml:space="preserve">, </w:t>
      </w:r>
      <w:proofErr w:type="spellStart"/>
      <w:r w:rsidRPr="003A1838">
        <w:rPr>
          <w:i/>
          <w:sz w:val="18"/>
          <w:szCs w:val="18"/>
        </w:rPr>
        <w:t>priznavanju</w:t>
      </w:r>
      <w:proofErr w:type="spellEnd"/>
      <w:r w:rsidRPr="003A1838">
        <w:rPr>
          <w:i/>
          <w:sz w:val="18"/>
          <w:szCs w:val="18"/>
        </w:rPr>
        <w:t xml:space="preserve"> i </w:t>
      </w:r>
      <w:proofErr w:type="spellStart"/>
      <w:r w:rsidRPr="003A1838">
        <w:rPr>
          <w:i/>
          <w:sz w:val="18"/>
          <w:szCs w:val="18"/>
        </w:rPr>
        <w:t>izvršenju</w:t>
      </w:r>
      <w:proofErr w:type="spellEnd"/>
      <w:r w:rsidRPr="003A1838">
        <w:rPr>
          <w:i/>
          <w:sz w:val="18"/>
          <w:szCs w:val="18"/>
        </w:rPr>
        <w:t xml:space="preserve"> </w:t>
      </w:r>
      <w:proofErr w:type="spellStart"/>
      <w:r w:rsidRPr="003A1838">
        <w:rPr>
          <w:i/>
          <w:sz w:val="18"/>
          <w:szCs w:val="18"/>
        </w:rPr>
        <w:t>sudskih</w:t>
      </w:r>
      <w:proofErr w:type="spellEnd"/>
      <w:r w:rsidRPr="003A1838">
        <w:rPr>
          <w:i/>
          <w:sz w:val="18"/>
          <w:szCs w:val="18"/>
        </w:rPr>
        <w:t xml:space="preserve"> </w:t>
      </w:r>
      <w:proofErr w:type="spellStart"/>
      <w:r w:rsidRPr="003A1838">
        <w:rPr>
          <w:i/>
          <w:sz w:val="18"/>
          <w:szCs w:val="18"/>
        </w:rPr>
        <w:t>odluka</w:t>
      </w:r>
      <w:proofErr w:type="spellEnd"/>
      <w:r w:rsidRPr="003A1838">
        <w:rPr>
          <w:i/>
          <w:sz w:val="18"/>
          <w:szCs w:val="18"/>
        </w:rPr>
        <w:t xml:space="preserve"> </w:t>
      </w:r>
      <w:proofErr w:type="spellStart"/>
      <w:r w:rsidRPr="003A1838">
        <w:rPr>
          <w:i/>
          <w:sz w:val="18"/>
          <w:szCs w:val="18"/>
        </w:rPr>
        <w:t>te</w:t>
      </w:r>
      <w:proofErr w:type="spellEnd"/>
      <w:r w:rsidRPr="003A1838">
        <w:rPr>
          <w:i/>
          <w:sz w:val="18"/>
          <w:szCs w:val="18"/>
        </w:rPr>
        <w:t xml:space="preserve"> </w:t>
      </w:r>
      <w:proofErr w:type="spellStart"/>
      <w:r w:rsidRPr="003A1838">
        <w:rPr>
          <w:i/>
          <w:sz w:val="18"/>
          <w:szCs w:val="18"/>
        </w:rPr>
        <w:t>suradnji</w:t>
      </w:r>
      <w:proofErr w:type="spellEnd"/>
      <w:r w:rsidRPr="003A1838">
        <w:rPr>
          <w:i/>
          <w:sz w:val="18"/>
          <w:szCs w:val="18"/>
        </w:rPr>
        <w:t xml:space="preserve"> u </w:t>
      </w:r>
      <w:proofErr w:type="spellStart"/>
      <w:r w:rsidRPr="003A1838">
        <w:rPr>
          <w:i/>
          <w:sz w:val="18"/>
          <w:szCs w:val="18"/>
        </w:rPr>
        <w:t>stvarima</w:t>
      </w:r>
      <w:proofErr w:type="spellEnd"/>
      <w:r w:rsidRPr="003A1838">
        <w:rPr>
          <w:i/>
          <w:sz w:val="18"/>
          <w:szCs w:val="18"/>
        </w:rPr>
        <w:t xml:space="preserve"> </w:t>
      </w:r>
      <w:proofErr w:type="spellStart"/>
      <w:r w:rsidRPr="003A1838">
        <w:rPr>
          <w:i/>
          <w:sz w:val="18"/>
          <w:szCs w:val="18"/>
        </w:rPr>
        <w:t>koje</w:t>
      </w:r>
      <w:proofErr w:type="spellEnd"/>
      <w:r w:rsidRPr="003A1838">
        <w:rPr>
          <w:i/>
          <w:sz w:val="18"/>
          <w:szCs w:val="18"/>
        </w:rPr>
        <w:t xml:space="preserve"> se </w:t>
      </w:r>
      <w:proofErr w:type="spellStart"/>
      <w:r w:rsidRPr="003A1838">
        <w:rPr>
          <w:i/>
          <w:sz w:val="18"/>
          <w:szCs w:val="18"/>
        </w:rPr>
        <w:t>odnose</w:t>
      </w:r>
      <w:proofErr w:type="spellEnd"/>
      <w:r w:rsidRPr="003A1838">
        <w:rPr>
          <w:i/>
          <w:sz w:val="18"/>
          <w:szCs w:val="18"/>
        </w:rPr>
        <w:t xml:space="preserve"> </w:t>
      </w:r>
      <w:proofErr w:type="spellStart"/>
      <w:r w:rsidRPr="003A1838">
        <w:rPr>
          <w:i/>
          <w:sz w:val="18"/>
          <w:szCs w:val="18"/>
        </w:rPr>
        <w:t>na</w:t>
      </w:r>
      <w:proofErr w:type="spellEnd"/>
      <w:r w:rsidRPr="003A1838">
        <w:rPr>
          <w:i/>
          <w:sz w:val="18"/>
          <w:szCs w:val="18"/>
        </w:rPr>
        <w:t xml:space="preserve"> </w:t>
      </w:r>
      <w:proofErr w:type="spellStart"/>
      <w:r w:rsidRPr="003A1838">
        <w:rPr>
          <w:i/>
          <w:sz w:val="18"/>
          <w:szCs w:val="18"/>
        </w:rPr>
        <w:t>obvezu</w:t>
      </w:r>
      <w:proofErr w:type="spellEnd"/>
      <w:r w:rsidRPr="003A1838">
        <w:rPr>
          <w:i/>
          <w:sz w:val="18"/>
          <w:szCs w:val="18"/>
        </w:rPr>
        <w:t xml:space="preserve"> </w:t>
      </w:r>
      <w:proofErr w:type="spellStart"/>
      <w:r w:rsidRPr="003A1838">
        <w:rPr>
          <w:i/>
          <w:sz w:val="18"/>
          <w:szCs w:val="18"/>
        </w:rPr>
        <w:t>uzdržavanja</w:t>
      </w:r>
      <w:proofErr w:type="spellEnd"/>
      <w:r w:rsidRPr="003A1838">
        <w:rPr>
          <w:sz w:val="18"/>
          <w:szCs w:val="18"/>
        </w:rPr>
        <w:t>, OJ L 19, 10.1.2009.</w:t>
      </w:r>
    </w:p>
  </w:footnote>
  <w:footnote w:id="10">
    <w:p w:rsidR="003A1838" w:rsidRPr="003A1838" w:rsidRDefault="003A1838" w:rsidP="003A1838">
      <w:pPr>
        <w:pStyle w:val="FootnoteText"/>
        <w:jc w:val="both"/>
        <w:rPr>
          <w:sz w:val="18"/>
          <w:szCs w:val="18"/>
        </w:rPr>
      </w:pPr>
      <w:r w:rsidRPr="003A1838">
        <w:rPr>
          <w:rStyle w:val="FootnoteReference"/>
          <w:sz w:val="18"/>
          <w:szCs w:val="18"/>
        </w:rPr>
        <w:footnoteRef/>
      </w:r>
      <w:r w:rsidRPr="003A1838">
        <w:rPr>
          <w:sz w:val="18"/>
          <w:szCs w:val="18"/>
        </w:rPr>
        <w:t xml:space="preserve"> Curry-Sumner, I., </w:t>
      </w:r>
      <w:r w:rsidRPr="003A1838">
        <w:rPr>
          <w:i/>
          <w:sz w:val="18"/>
          <w:szCs w:val="18"/>
        </w:rPr>
        <w:t>International Recovery of Child Maintenance Administrative Cooperation in in-coming child maintenance cases</w:t>
      </w:r>
      <w:r w:rsidRPr="003A1838">
        <w:rPr>
          <w:sz w:val="18"/>
          <w:szCs w:val="18"/>
        </w:rPr>
        <w:t xml:space="preserve">, </w:t>
      </w:r>
      <w:proofErr w:type="spellStart"/>
      <w:r w:rsidRPr="003A1838">
        <w:rPr>
          <w:sz w:val="18"/>
          <w:szCs w:val="18"/>
        </w:rPr>
        <w:t>dostupno</w:t>
      </w:r>
      <w:proofErr w:type="spellEnd"/>
      <w:r w:rsidRPr="003A1838">
        <w:rPr>
          <w:sz w:val="18"/>
          <w:szCs w:val="18"/>
        </w:rPr>
        <w:t xml:space="preserve"> </w:t>
      </w:r>
      <w:proofErr w:type="spellStart"/>
      <w:r w:rsidRPr="003A1838">
        <w:rPr>
          <w:sz w:val="18"/>
          <w:szCs w:val="18"/>
        </w:rPr>
        <w:t>na</w:t>
      </w:r>
      <w:proofErr w:type="spellEnd"/>
      <w:r w:rsidRPr="003A1838">
        <w:rPr>
          <w:sz w:val="18"/>
          <w:szCs w:val="18"/>
        </w:rPr>
        <w:t xml:space="preserve"> http://www.voorts.com/wp-content/uploads/Publicatie-</w:t>
      </w:r>
      <w:proofErr w:type="gramStart"/>
      <w:r w:rsidRPr="003A1838">
        <w:rPr>
          <w:sz w:val="18"/>
          <w:szCs w:val="18"/>
        </w:rPr>
        <w:t>C.13.pdf  (</w:t>
      </w:r>
      <w:proofErr w:type="spellStart"/>
      <w:proofErr w:type="gramEnd"/>
      <w:r w:rsidRPr="003A1838">
        <w:rPr>
          <w:sz w:val="18"/>
          <w:szCs w:val="18"/>
        </w:rPr>
        <w:t>posjećeno</w:t>
      </w:r>
      <w:proofErr w:type="spellEnd"/>
      <w:r w:rsidRPr="003A1838">
        <w:rPr>
          <w:sz w:val="18"/>
          <w:szCs w:val="18"/>
        </w:rPr>
        <w:t xml:space="preserve">: 15.3.2015.) str. 44. </w:t>
      </w:r>
    </w:p>
  </w:footnote>
  <w:footnote w:id="11">
    <w:p w:rsidR="003A1838" w:rsidRPr="003A1838" w:rsidRDefault="003A1838" w:rsidP="003A1838">
      <w:pPr>
        <w:pStyle w:val="FootnoteText"/>
        <w:jc w:val="both"/>
        <w:rPr>
          <w:sz w:val="18"/>
          <w:szCs w:val="18"/>
        </w:rPr>
      </w:pPr>
      <w:r w:rsidRPr="003A1838">
        <w:rPr>
          <w:rStyle w:val="FootnoteReference"/>
          <w:sz w:val="18"/>
          <w:szCs w:val="18"/>
        </w:rPr>
        <w:footnoteRef/>
      </w:r>
      <w:r w:rsidRPr="003A1838">
        <w:rPr>
          <w:sz w:val="18"/>
          <w:szCs w:val="18"/>
        </w:rPr>
        <w:t xml:space="preserve">Duncan, W., </w:t>
      </w:r>
      <w:r w:rsidRPr="003A1838">
        <w:rPr>
          <w:i/>
          <w:sz w:val="18"/>
          <w:szCs w:val="18"/>
        </w:rPr>
        <w:t>The Hague Convention of 23 November 2007 on the International Recovery of Child Support and Other Forms of Family Maintenance Comments on its Objectives and Some of its Special Features</w:t>
      </w:r>
      <w:r w:rsidRPr="003A1838">
        <w:rPr>
          <w:sz w:val="18"/>
          <w:szCs w:val="18"/>
        </w:rPr>
        <w:t xml:space="preserve">, u </w:t>
      </w:r>
      <w:proofErr w:type="spellStart"/>
      <w:r w:rsidRPr="003A1838">
        <w:rPr>
          <w:sz w:val="18"/>
          <w:szCs w:val="18"/>
        </w:rPr>
        <w:t>Bonomi</w:t>
      </w:r>
      <w:proofErr w:type="spellEnd"/>
      <w:r w:rsidRPr="003A1838">
        <w:rPr>
          <w:sz w:val="18"/>
          <w:szCs w:val="18"/>
        </w:rPr>
        <w:t xml:space="preserve">, A. i </w:t>
      </w:r>
      <w:proofErr w:type="spellStart"/>
      <w:r w:rsidRPr="003A1838">
        <w:rPr>
          <w:sz w:val="18"/>
          <w:szCs w:val="18"/>
        </w:rPr>
        <w:t>Volken</w:t>
      </w:r>
      <w:proofErr w:type="spellEnd"/>
      <w:r w:rsidRPr="003A1838">
        <w:rPr>
          <w:sz w:val="18"/>
          <w:szCs w:val="18"/>
        </w:rPr>
        <w:t xml:space="preserve">, P. </w:t>
      </w:r>
      <w:proofErr w:type="spellStart"/>
      <w:r w:rsidRPr="003A1838">
        <w:rPr>
          <w:sz w:val="18"/>
          <w:szCs w:val="18"/>
        </w:rPr>
        <w:t>ur</w:t>
      </w:r>
      <w:proofErr w:type="spellEnd"/>
      <w:r w:rsidRPr="003A1838">
        <w:rPr>
          <w:sz w:val="18"/>
          <w:szCs w:val="18"/>
        </w:rPr>
        <w:t xml:space="preserve">., X </w:t>
      </w:r>
      <w:r w:rsidRPr="003A1838">
        <w:rPr>
          <w:i/>
          <w:sz w:val="18"/>
          <w:szCs w:val="18"/>
        </w:rPr>
        <w:t>Yearbook of Private International Law</w:t>
      </w:r>
      <w:r w:rsidRPr="003A1838">
        <w:rPr>
          <w:sz w:val="18"/>
          <w:szCs w:val="18"/>
        </w:rPr>
        <w:t xml:space="preserve"> (2008) str. 321, 325.</w:t>
      </w:r>
    </w:p>
  </w:footnote>
  <w:footnote w:id="12">
    <w:p w:rsidR="003A1838" w:rsidRPr="003A1838" w:rsidRDefault="003A1838" w:rsidP="003A1838">
      <w:pPr>
        <w:pStyle w:val="FootnoteText"/>
        <w:jc w:val="both"/>
        <w:rPr>
          <w:sz w:val="18"/>
          <w:szCs w:val="18"/>
        </w:rPr>
      </w:pPr>
      <w:r w:rsidRPr="003A1838">
        <w:rPr>
          <w:rStyle w:val="FootnoteReference"/>
          <w:sz w:val="18"/>
          <w:szCs w:val="18"/>
        </w:rPr>
        <w:footnoteRef/>
      </w:r>
    </w:p>
  </w:footnote>
  <w:footnote w:id="13">
    <w:p w:rsidR="003A1838" w:rsidRPr="003A1838" w:rsidRDefault="003A1838" w:rsidP="003A1838">
      <w:pPr>
        <w:pStyle w:val="FootnoteText"/>
        <w:jc w:val="both"/>
        <w:rPr>
          <w:sz w:val="18"/>
          <w:szCs w:val="18"/>
        </w:rPr>
      </w:pPr>
      <w:r w:rsidRPr="003A1838">
        <w:rPr>
          <w:rStyle w:val="FootnoteReference"/>
          <w:sz w:val="18"/>
          <w:szCs w:val="18"/>
        </w:rPr>
        <w:footnoteRef/>
      </w:r>
      <w:proofErr w:type="spellStart"/>
      <w:r w:rsidRPr="003A1838">
        <w:rPr>
          <w:sz w:val="18"/>
          <w:szCs w:val="18"/>
        </w:rPr>
        <w:t>Borrás</w:t>
      </w:r>
      <w:proofErr w:type="spellEnd"/>
      <w:r w:rsidRPr="003A1838">
        <w:rPr>
          <w:sz w:val="18"/>
          <w:szCs w:val="18"/>
        </w:rPr>
        <w:t xml:space="preserve">, A., </w:t>
      </w:r>
      <w:proofErr w:type="spellStart"/>
      <w:r w:rsidRPr="003A1838">
        <w:rPr>
          <w:sz w:val="18"/>
          <w:szCs w:val="18"/>
        </w:rPr>
        <w:t>Degeling</w:t>
      </w:r>
      <w:proofErr w:type="spellEnd"/>
      <w:r w:rsidRPr="003A1838">
        <w:rPr>
          <w:sz w:val="18"/>
          <w:szCs w:val="18"/>
        </w:rPr>
        <w:t xml:space="preserve">, J., </w:t>
      </w:r>
      <w:r w:rsidRPr="003A1838">
        <w:rPr>
          <w:i/>
          <w:sz w:val="18"/>
          <w:szCs w:val="18"/>
        </w:rPr>
        <w:t>Convention of 23 November 2007 on the International Recovery of Child Support and Other Forms of Family Maintenance, Explanatory Report</w:t>
      </w:r>
      <w:r w:rsidRPr="003A1838">
        <w:rPr>
          <w:sz w:val="18"/>
          <w:szCs w:val="18"/>
        </w:rPr>
        <w:t xml:space="preserve"> (Hague, 2013) str. 77.</w:t>
      </w:r>
    </w:p>
  </w:footnote>
  <w:footnote w:id="14">
    <w:p w:rsidR="003A1838" w:rsidRPr="003A1838" w:rsidRDefault="003A1838" w:rsidP="003A1838">
      <w:pPr>
        <w:pStyle w:val="FootnoteText"/>
        <w:jc w:val="both"/>
        <w:rPr>
          <w:sz w:val="18"/>
          <w:szCs w:val="18"/>
        </w:rPr>
      </w:pPr>
      <w:r w:rsidRPr="003A1838">
        <w:rPr>
          <w:rStyle w:val="FootnoteReference"/>
          <w:sz w:val="18"/>
          <w:szCs w:val="18"/>
        </w:rPr>
        <w:footnoteRef/>
      </w:r>
      <w:r w:rsidRPr="003A1838">
        <w:rPr>
          <w:sz w:val="18"/>
          <w:szCs w:val="18"/>
        </w:rPr>
        <w:t xml:space="preserve"> Curry Sumner, I., </w:t>
      </w:r>
      <w:r w:rsidRPr="003A1838">
        <w:rPr>
          <w:i/>
          <w:sz w:val="18"/>
          <w:szCs w:val="18"/>
        </w:rPr>
        <w:t>Transnational Recovery of Child Maintenance in Europe: The Future Is Bright, The Future is Central Authorities</w:t>
      </w:r>
      <w:r w:rsidRPr="003A1838">
        <w:rPr>
          <w:sz w:val="18"/>
          <w:szCs w:val="18"/>
        </w:rPr>
        <w:t xml:space="preserve">, </w:t>
      </w:r>
      <w:proofErr w:type="spellStart"/>
      <w:r w:rsidRPr="003A1838">
        <w:rPr>
          <w:sz w:val="18"/>
          <w:szCs w:val="18"/>
        </w:rPr>
        <w:t>dostupno</w:t>
      </w:r>
      <w:proofErr w:type="spellEnd"/>
      <w:r w:rsidRPr="003A1838">
        <w:rPr>
          <w:sz w:val="18"/>
          <w:szCs w:val="18"/>
        </w:rPr>
        <w:t xml:space="preserve"> </w:t>
      </w:r>
      <w:proofErr w:type="spellStart"/>
      <w:proofErr w:type="gramStart"/>
      <w:r w:rsidRPr="003A1838">
        <w:rPr>
          <w:sz w:val="18"/>
          <w:szCs w:val="18"/>
        </w:rPr>
        <w:t>na</w:t>
      </w:r>
      <w:proofErr w:type="spellEnd"/>
      <w:r w:rsidRPr="003A1838">
        <w:rPr>
          <w:sz w:val="18"/>
          <w:szCs w:val="18"/>
        </w:rPr>
        <w:t xml:space="preserve">  http</w:t>
      </w:r>
      <w:proofErr w:type="gramEnd"/>
      <w:r w:rsidRPr="003A1838">
        <w:rPr>
          <w:sz w:val="18"/>
          <w:szCs w:val="18"/>
        </w:rPr>
        <w:t>://www.law.muni.cz/sborniky/Days-of-public-law/files/pdf/mep/Curry-Sumner.pdf (</w:t>
      </w:r>
      <w:proofErr w:type="spellStart"/>
      <w:r w:rsidRPr="003A1838">
        <w:rPr>
          <w:sz w:val="18"/>
          <w:szCs w:val="18"/>
        </w:rPr>
        <w:t>posjećeno</w:t>
      </w:r>
      <w:proofErr w:type="spellEnd"/>
      <w:r w:rsidRPr="003A1838">
        <w:rPr>
          <w:sz w:val="18"/>
          <w:szCs w:val="18"/>
        </w:rPr>
        <w:t>: 15.3.2015.)</w:t>
      </w:r>
    </w:p>
  </w:footnote>
  <w:footnote w:id="15">
    <w:p w:rsidR="003A1838" w:rsidRPr="003A1838" w:rsidRDefault="003A1838" w:rsidP="003A1838">
      <w:pPr>
        <w:pStyle w:val="FootnoteText"/>
        <w:jc w:val="both"/>
        <w:rPr>
          <w:sz w:val="18"/>
          <w:szCs w:val="18"/>
        </w:rPr>
      </w:pPr>
      <w:r w:rsidRPr="003A1838">
        <w:rPr>
          <w:rStyle w:val="FootnoteReference"/>
          <w:sz w:val="18"/>
          <w:szCs w:val="18"/>
        </w:rPr>
        <w:footnoteRef/>
      </w:r>
      <w:r w:rsidRPr="003A1838">
        <w:rPr>
          <w:sz w:val="18"/>
          <w:szCs w:val="18"/>
        </w:rPr>
        <w:t xml:space="preserve"> Walker, L., Beaumont, P., </w:t>
      </w:r>
      <w:r w:rsidRPr="003A1838">
        <w:rPr>
          <w:i/>
          <w:sz w:val="18"/>
          <w:szCs w:val="18"/>
        </w:rPr>
        <w:t xml:space="preserve">Empirical Study on the Early Operation of the EU Maintenance </w:t>
      </w:r>
      <w:proofErr w:type="spellStart"/>
      <w:r w:rsidRPr="003A1838">
        <w:rPr>
          <w:i/>
          <w:sz w:val="18"/>
          <w:szCs w:val="18"/>
        </w:rPr>
        <w:t>Regulation,</w:t>
      </w:r>
      <w:r w:rsidRPr="003A1838">
        <w:rPr>
          <w:sz w:val="18"/>
          <w:szCs w:val="18"/>
        </w:rPr>
        <w:t>u</w:t>
      </w:r>
      <w:proofErr w:type="spellEnd"/>
      <w:r w:rsidRPr="003A1838">
        <w:rPr>
          <w:sz w:val="18"/>
          <w:szCs w:val="18"/>
        </w:rPr>
        <w:t xml:space="preserve"> Beaumont, P., Hess, B., Walker, L., </w:t>
      </w:r>
      <w:proofErr w:type="spellStart"/>
      <w:r w:rsidRPr="003A1838">
        <w:rPr>
          <w:sz w:val="18"/>
          <w:szCs w:val="18"/>
        </w:rPr>
        <w:t>Spancken</w:t>
      </w:r>
      <w:proofErr w:type="spellEnd"/>
      <w:r w:rsidRPr="003A1838">
        <w:rPr>
          <w:sz w:val="18"/>
          <w:szCs w:val="18"/>
        </w:rPr>
        <w:t>, S. (</w:t>
      </w:r>
      <w:proofErr w:type="spellStart"/>
      <w:r w:rsidRPr="003A1838">
        <w:rPr>
          <w:sz w:val="18"/>
          <w:szCs w:val="18"/>
        </w:rPr>
        <w:t>eds</w:t>
      </w:r>
      <w:proofErr w:type="spellEnd"/>
      <w:r w:rsidRPr="003A1838">
        <w:rPr>
          <w:sz w:val="18"/>
          <w:szCs w:val="18"/>
        </w:rPr>
        <w:t xml:space="preserve">), </w:t>
      </w:r>
      <w:r w:rsidRPr="003A1838">
        <w:rPr>
          <w:i/>
          <w:sz w:val="18"/>
          <w:szCs w:val="18"/>
        </w:rPr>
        <w:t xml:space="preserve">The Recovery of Maintenance in the EU and Worldwide </w:t>
      </w:r>
      <w:r w:rsidRPr="003A1838">
        <w:rPr>
          <w:sz w:val="18"/>
          <w:szCs w:val="18"/>
        </w:rPr>
        <w:t xml:space="preserve">(Hart Publishing, 2014) str. 339 </w:t>
      </w:r>
      <w:proofErr w:type="spellStart"/>
      <w:r w:rsidRPr="003A1838">
        <w:rPr>
          <w:sz w:val="18"/>
          <w:szCs w:val="18"/>
        </w:rPr>
        <w:t>et.seq</w:t>
      </w:r>
      <w:proofErr w:type="spellEnd"/>
      <w:r w:rsidRPr="003A1838">
        <w:rPr>
          <w:sz w:val="18"/>
          <w:szCs w:val="18"/>
        </w:rPr>
        <w:t>.</w:t>
      </w:r>
    </w:p>
  </w:footnote>
  <w:footnote w:id="16">
    <w:p w:rsidR="003A1838" w:rsidRPr="003A1838" w:rsidRDefault="003A1838" w:rsidP="003A1838">
      <w:pPr>
        <w:pStyle w:val="FootnoteText"/>
        <w:jc w:val="both"/>
        <w:rPr>
          <w:sz w:val="18"/>
          <w:szCs w:val="18"/>
        </w:rPr>
      </w:pPr>
      <w:r w:rsidRPr="003A1838">
        <w:rPr>
          <w:rStyle w:val="FootnoteReference"/>
          <w:sz w:val="18"/>
          <w:szCs w:val="18"/>
        </w:rPr>
        <w:footnoteRef/>
      </w:r>
      <w:proofErr w:type="gramStart"/>
      <w:r w:rsidRPr="003A1838">
        <w:rPr>
          <w:sz w:val="18"/>
          <w:szCs w:val="18"/>
        </w:rPr>
        <w:t>Walker i Beaumont, ibid, str. 354-359.</w:t>
      </w:r>
      <w:proofErr w:type="gramEnd"/>
      <w:r w:rsidRPr="003A1838">
        <w:rPr>
          <w:sz w:val="18"/>
          <w:szCs w:val="18"/>
        </w:rPr>
        <w:t xml:space="preserve"> </w:t>
      </w:r>
    </w:p>
  </w:footnote>
  <w:footnote w:id="17">
    <w:p w:rsidR="003A1838" w:rsidRPr="003A1838" w:rsidRDefault="003A1838" w:rsidP="003A1838">
      <w:pPr>
        <w:pStyle w:val="FootnoteText"/>
        <w:jc w:val="both"/>
        <w:rPr>
          <w:sz w:val="18"/>
          <w:szCs w:val="18"/>
        </w:rPr>
      </w:pPr>
      <w:r w:rsidRPr="003A1838">
        <w:rPr>
          <w:rStyle w:val="FootnoteReference"/>
          <w:sz w:val="18"/>
          <w:szCs w:val="18"/>
        </w:rPr>
        <w:footnoteRef/>
      </w:r>
      <w:proofErr w:type="spellStart"/>
      <w:r w:rsidRPr="003A1838">
        <w:rPr>
          <w:i/>
          <w:sz w:val="18"/>
          <w:szCs w:val="18"/>
        </w:rPr>
        <w:t>Zakon</w:t>
      </w:r>
      <w:proofErr w:type="spellEnd"/>
      <w:r w:rsidRPr="003A1838">
        <w:rPr>
          <w:i/>
          <w:sz w:val="18"/>
          <w:szCs w:val="18"/>
        </w:rPr>
        <w:t xml:space="preserve"> o </w:t>
      </w:r>
      <w:proofErr w:type="spellStart"/>
      <w:r w:rsidRPr="003A1838">
        <w:rPr>
          <w:i/>
          <w:sz w:val="18"/>
          <w:szCs w:val="18"/>
        </w:rPr>
        <w:t>provedbi</w:t>
      </w:r>
      <w:proofErr w:type="spellEnd"/>
      <w:r w:rsidRPr="003A1838">
        <w:rPr>
          <w:i/>
          <w:sz w:val="18"/>
          <w:szCs w:val="18"/>
        </w:rPr>
        <w:t xml:space="preserve"> </w:t>
      </w:r>
      <w:proofErr w:type="spellStart"/>
      <w:r w:rsidRPr="003A1838">
        <w:rPr>
          <w:i/>
          <w:sz w:val="18"/>
          <w:szCs w:val="18"/>
        </w:rPr>
        <w:t>Uredbe</w:t>
      </w:r>
      <w:proofErr w:type="spellEnd"/>
      <w:r w:rsidRPr="003A1838">
        <w:rPr>
          <w:i/>
          <w:sz w:val="18"/>
          <w:szCs w:val="18"/>
        </w:rPr>
        <w:t xml:space="preserve"> </w:t>
      </w:r>
      <w:proofErr w:type="spellStart"/>
      <w:r w:rsidRPr="003A1838">
        <w:rPr>
          <w:i/>
          <w:sz w:val="18"/>
          <w:szCs w:val="18"/>
        </w:rPr>
        <w:t>Vijeća</w:t>
      </w:r>
      <w:proofErr w:type="spellEnd"/>
      <w:r w:rsidRPr="003A1838">
        <w:rPr>
          <w:i/>
          <w:sz w:val="18"/>
          <w:szCs w:val="18"/>
        </w:rPr>
        <w:t xml:space="preserve"> (EZ) br. 4/2009 o </w:t>
      </w:r>
      <w:proofErr w:type="spellStart"/>
      <w:r w:rsidRPr="003A1838">
        <w:rPr>
          <w:i/>
          <w:sz w:val="18"/>
          <w:szCs w:val="18"/>
        </w:rPr>
        <w:t>području</w:t>
      </w:r>
      <w:proofErr w:type="spellEnd"/>
      <w:r w:rsidRPr="003A1838">
        <w:rPr>
          <w:i/>
          <w:sz w:val="18"/>
          <w:szCs w:val="18"/>
        </w:rPr>
        <w:t xml:space="preserve"> </w:t>
      </w:r>
      <w:proofErr w:type="spellStart"/>
      <w:r w:rsidRPr="003A1838">
        <w:rPr>
          <w:i/>
          <w:sz w:val="18"/>
          <w:szCs w:val="18"/>
        </w:rPr>
        <w:t>nadležnosti</w:t>
      </w:r>
      <w:proofErr w:type="spellEnd"/>
      <w:r w:rsidRPr="003A1838">
        <w:rPr>
          <w:i/>
          <w:sz w:val="18"/>
          <w:szCs w:val="18"/>
        </w:rPr>
        <w:t xml:space="preserve">, </w:t>
      </w:r>
      <w:proofErr w:type="spellStart"/>
      <w:r w:rsidRPr="003A1838">
        <w:rPr>
          <w:i/>
          <w:sz w:val="18"/>
          <w:szCs w:val="18"/>
        </w:rPr>
        <w:t>mjerodavnog</w:t>
      </w:r>
      <w:proofErr w:type="spellEnd"/>
      <w:r w:rsidRPr="003A1838">
        <w:rPr>
          <w:i/>
          <w:sz w:val="18"/>
          <w:szCs w:val="18"/>
        </w:rPr>
        <w:t xml:space="preserve"> </w:t>
      </w:r>
      <w:proofErr w:type="spellStart"/>
      <w:r w:rsidRPr="003A1838">
        <w:rPr>
          <w:i/>
          <w:sz w:val="18"/>
          <w:szCs w:val="18"/>
        </w:rPr>
        <w:t>prava</w:t>
      </w:r>
      <w:proofErr w:type="spellEnd"/>
      <w:r w:rsidRPr="003A1838">
        <w:rPr>
          <w:i/>
          <w:sz w:val="18"/>
          <w:szCs w:val="18"/>
        </w:rPr>
        <w:t xml:space="preserve">, </w:t>
      </w:r>
      <w:proofErr w:type="spellStart"/>
      <w:r w:rsidRPr="003A1838">
        <w:rPr>
          <w:i/>
          <w:sz w:val="18"/>
          <w:szCs w:val="18"/>
        </w:rPr>
        <w:t>priznanja</w:t>
      </w:r>
      <w:proofErr w:type="spellEnd"/>
      <w:r w:rsidRPr="003A1838">
        <w:rPr>
          <w:i/>
          <w:sz w:val="18"/>
          <w:szCs w:val="18"/>
        </w:rPr>
        <w:t xml:space="preserve"> i </w:t>
      </w:r>
      <w:proofErr w:type="spellStart"/>
      <w:r w:rsidRPr="003A1838">
        <w:rPr>
          <w:i/>
          <w:sz w:val="18"/>
          <w:szCs w:val="18"/>
        </w:rPr>
        <w:t>izvršenja</w:t>
      </w:r>
      <w:proofErr w:type="spellEnd"/>
      <w:r w:rsidRPr="003A1838">
        <w:rPr>
          <w:i/>
          <w:sz w:val="18"/>
          <w:szCs w:val="18"/>
        </w:rPr>
        <w:t xml:space="preserve"> </w:t>
      </w:r>
      <w:proofErr w:type="spellStart"/>
      <w:r w:rsidRPr="003A1838">
        <w:rPr>
          <w:i/>
          <w:sz w:val="18"/>
          <w:szCs w:val="18"/>
        </w:rPr>
        <w:t>odluka</w:t>
      </w:r>
      <w:proofErr w:type="spellEnd"/>
      <w:r w:rsidRPr="003A1838">
        <w:rPr>
          <w:i/>
          <w:sz w:val="18"/>
          <w:szCs w:val="18"/>
        </w:rPr>
        <w:t xml:space="preserve"> </w:t>
      </w:r>
      <w:proofErr w:type="spellStart"/>
      <w:proofErr w:type="gramStart"/>
      <w:r w:rsidRPr="003A1838">
        <w:rPr>
          <w:i/>
          <w:sz w:val="18"/>
          <w:szCs w:val="18"/>
        </w:rPr>
        <w:t>te</w:t>
      </w:r>
      <w:proofErr w:type="spellEnd"/>
      <w:proofErr w:type="gramEnd"/>
      <w:r w:rsidRPr="003A1838">
        <w:rPr>
          <w:i/>
          <w:sz w:val="18"/>
          <w:szCs w:val="18"/>
        </w:rPr>
        <w:t xml:space="preserve"> </w:t>
      </w:r>
      <w:proofErr w:type="spellStart"/>
      <w:r w:rsidRPr="003A1838">
        <w:rPr>
          <w:i/>
          <w:sz w:val="18"/>
          <w:szCs w:val="18"/>
        </w:rPr>
        <w:t>suradnji</w:t>
      </w:r>
      <w:proofErr w:type="spellEnd"/>
      <w:r w:rsidRPr="003A1838">
        <w:rPr>
          <w:i/>
          <w:sz w:val="18"/>
          <w:szCs w:val="18"/>
        </w:rPr>
        <w:t xml:space="preserve"> u </w:t>
      </w:r>
      <w:proofErr w:type="spellStart"/>
      <w:r w:rsidRPr="003A1838">
        <w:rPr>
          <w:i/>
          <w:sz w:val="18"/>
          <w:szCs w:val="18"/>
        </w:rPr>
        <w:t>stvarima</w:t>
      </w:r>
      <w:proofErr w:type="spellEnd"/>
      <w:r w:rsidRPr="003A1838">
        <w:rPr>
          <w:i/>
          <w:sz w:val="18"/>
          <w:szCs w:val="18"/>
        </w:rPr>
        <w:t xml:space="preserve"> </w:t>
      </w:r>
      <w:proofErr w:type="spellStart"/>
      <w:r w:rsidRPr="003A1838">
        <w:rPr>
          <w:i/>
          <w:sz w:val="18"/>
          <w:szCs w:val="18"/>
        </w:rPr>
        <w:t>koje</w:t>
      </w:r>
      <w:proofErr w:type="spellEnd"/>
      <w:r w:rsidRPr="003A1838">
        <w:rPr>
          <w:i/>
          <w:sz w:val="18"/>
          <w:szCs w:val="18"/>
        </w:rPr>
        <w:t xml:space="preserve"> se </w:t>
      </w:r>
      <w:proofErr w:type="spellStart"/>
      <w:r w:rsidRPr="003A1838">
        <w:rPr>
          <w:i/>
          <w:sz w:val="18"/>
          <w:szCs w:val="18"/>
        </w:rPr>
        <w:t>odnose</w:t>
      </w:r>
      <w:proofErr w:type="spellEnd"/>
      <w:r w:rsidRPr="003A1838">
        <w:rPr>
          <w:i/>
          <w:sz w:val="18"/>
          <w:szCs w:val="18"/>
        </w:rPr>
        <w:t xml:space="preserve"> </w:t>
      </w:r>
      <w:proofErr w:type="spellStart"/>
      <w:r w:rsidRPr="003A1838">
        <w:rPr>
          <w:i/>
          <w:sz w:val="18"/>
          <w:szCs w:val="18"/>
        </w:rPr>
        <w:t>na</w:t>
      </w:r>
      <w:proofErr w:type="spellEnd"/>
      <w:r w:rsidRPr="003A1838">
        <w:rPr>
          <w:i/>
          <w:sz w:val="18"/>
          <w:szCs w:val="18"/>
        </w:rPr>
        <w:t xml:space="preserve"> </w:t>
      </w:r>
      <w:proofErr w:type="spellStart"/>
      <w:r w:rsidRPr="003A1838">
        <w:rPr>
          <w:i/>
          <w:sz w:val="18"/>
          <w:szCs w:val="18"/>
        </w:rPr>
        <w:t>obveze</w:t>
      </w:r>
      <w:proofErr w:type="spellEnd"/>
      <w:r w:rsidRPr="003A1838">
        <w:rPr>
          <w:i/>
          <w:sz w:val="18"/>
          <w:szCs w:val="18"/>
        </w:rPr>
        <w:t xml:space="preserve"> </w:t>
      </w:r>
      <w:proofErr w:type="spellStart"/>
      <w:r w:rsidRPr="003A1838">
        <w:rPr>
          <w:i/>
          <w:sz w:val="18"/>
          <w:szCs w:val="18"/>
        </w:rPr>
        <w:t>uzdržavanja</w:t>
      </w:r>
      <w:proofErr w:type="spellEnd"/>
      <w:r w:rsidRPr="003A1838">
        <w:rPr>
          <w:sz w:val="18"/>
          <w:szCs w:val="18"/>
        </w:rPr>
        <w:t xml:space="preserve">, </w:t>
      </w:r>
      <w:proofErr w:type="spellStart"/>
      <w:r w:rsidRPr="003A1838">
        <w:rPr>
          <w:sz w:val="18"/>
          <w:szCs w:val="18"/>
        </w:rPr>
        <w:t>Narodne</w:t>
      </w:r>
      <w:proofErr w:type="spellEnd"/>
      <w:r w:rsidRPr="003A1838">
        <w:rPr>
          <w:sz w:val="18"/>
          <w:szCs w:val="18"/>
        </w:rPr>
        <w:t xml:space="preserve"> </w:t>
      </w:r>
      <w:proofErr w:type="spellStart"/>
      <w:r w:rsidRPr="003A1838">
        <w:rPr>
          <w:sz w:val="18"/>
          <w:szCs w:val="18"/>
        </w:rPr>
        <w:t>novine</w:t>
      </w:r>
      <w:proofErr w:type="spellEnd"/>
      <w:r w:rsidRPr="003A1838">
        <w:rPr>
          <w:sz w:val="18"/>
          <w:szCs w:val="18"/>
        </w:rPr>
        <w:t xml:space="preserve"> br. 127/13, </w:t>
      </w:r>
      <w:proofErr w:type="spellStart"/>
      <w:r w:rsidRPr="003A1838">
        <w:rPr>
          <w:sz w:val="18"/>
          <w:szCs w:val="18"/>
        </w:rPr>
        <w:t>čl</w:t>
      </w:r>
      <w:proofErr w:type="spellEnd"/>
      <w:r w:rsidRPr="003A1838">
        <w:rPr>
          <w:sz w:val="18"/>
          <w:szCs w:val="18"/>
        </w:rPr>
        <w:t xml:space="preserve">. 3. </w:t>
      </w:r>
      <w:proofErr w:type="spellStart"/>
      <w:r w:rsidRPr="003A1838">
        <w:rPr>
          <w:sz w:val="18"/>
          <w:szCs w:val="18"/>
        </w:rPr>
        <w:t>st.</w:t>
      </w:r>
      <w:proofErr w:type="spellEnd"/>
      <w:r w:rsidRPr="003A1838">
        <w:rPr>
          <w:sz w:val="18"/>
          <w:szCs w:val="18"/>
        </w:rPr>
        <w:t xml:space="preserve"> 1.</w:t>
      </w:r>
    </w:p>
    <w:p w:rsidR="003A1838" w:rsidRPr="003A1838" w:rsidRDefault="003A1838" w:rsidP="003A1838">
      <w:pPr>
        <w:pStyle w:val="FootnoteText"/>
        <w:jc w:val="both"/>
        <w:rPr>
          <w:sz w:val="18"/>
          <w:szCs w:val="18"/>
        </w:rPr>
      </w:pPr>
    </w:p>
  </w:footnote>
  <w:footnote w:id="18">
    <w:p w:rsidR="003A1838" w:rsidRPr="003A1838" w:rsidRDefault="003A1838" w:rsidP="003A1838">
      <w:pPr>
        <w:pStyle w:val="FootnoteText"/>
        <w:jc w:val="both"/>
        <w:rPr>
          <w:sz w:val="18"/>
          <w:szCs w:val="18"/>
        </w:rPr>
      </w:pPr>
      <w:r w:rsidRPr="003A1838">
        <w:rPr>
          <w:rStyle w:val="FootnoteReference"/>
          <w:sz w:val="18"/>
          <w:szCs w:val="18"/>
        </w:rPr>
        <w:footnoteRef/>
      </w:r>
      <w:r w:rsidRPr="003A1838">
        <w:rPr>
          <w:sz w:val="18"/>
          <w:szCs w:val="18"/>
        </w:rPr>
        <w:t xml:space="preserve"> </w:t>
      </w:r>
      <w:proofErr w:type="spellStart"/>
      <w:r w:rsidRPr="003A1838">
        <w:rPr>
          <w:sz w:val="18"/>
          <w:szCs w:val="18"/>
        </w:rPr>
        <w:t>Lortie</w:t>
      </w:r>
      <w:proofErr w:type="spellEnd"/>
      <w:r w:rsidRPr="003A1838">
        <w:rPr>
          <w:sz w:val="18"/>
          <w:szCs w:val="18"/>
        </w:rPr>
        <w:t xml:space="preserve">, P., Groff, M., </w:t>
      </w:r>
      <w:r w:rsidRPr="003A1838">
        <w:rPr>
          <w:i/>
          <w:sz w:val="18"/>
          <w:szCs w:val="18"/>
        </w:rPr>
        <w:t>Practical Handbook for Competent Authorities : the 2007 Hague Child Support Convention, the 2007 Hague Protocol on Applicable Law (Maintenance) and the 2009 European Union Maintenance Regulation</w:t>
      </w:r>
      <w:r w:rsidRPr="003A1838">
        <w:rPr>
          <w:sz w:val="18"/>
          <w:szCs w:val="18"/>
        </w:rPr>
        <w:t>(CIP National Library of Romania, 2013) str. 34.</w:t>
      </w:r>
    </w:p>
  </w:footnote>
  <w:footnote w:id="19">
    <w:p w:rsidR="003A1838" w:rsidRPr="003A1838" w:rsidRDefault="003A1838" w:rsidP="003A1838">
      <w:pPr>
        <w:pStyle w:val="FootnoteText"/>
        <w:jc w:val="both"/>
        <w:rPr>
          <w:sz w:val="18"/>
          <w:szCs w:val="18"/>
        </w:rPr>
      </w:pPr>
      <w:r w:rsidRPr="003A1838">
        <w:rPr>
          <w:rStyle w:val="FootnoteReference"/>
          <w:sz w:val="18"/>
          <w:szCs w:val="18"/>
        </w:rPr>
        <w:footnoteRef/>
      </w:r>
      <w:proofErr w:type="spellStart"/>
      <w:r w:rsidRPr="003A1838">
        <w:rPr>
          <w:i/>
          <w:sz w:val="18"/>
          <w:szCs w:val="18"/>
        </w:rPr>
        <w:t>Zakon</w:t>
      </w:r>
      <w:proofErr w:type="spellEnd"/>
      <w:r w:rsidRPr="003A1838">
        <w:rPr>
          <w:i/>
          <w:sz w:val="18"/>
          <w:szCs w:val="18"/>
        </w:rPr>
        <w:t xml:space="preserve"> o </w:t>
      </w:r>
      <w:proofErr w:type="spellStart"/>
      <w:r w:rsidRPr="003A1838">
        <w:rPr>
          <w:i/>
          <w:sz w:val="18"/>
          <w:szCs w:val="18"/>
        </w:rPr>
        <w:t>provedbi</w:t>
      </w:r>
      <w:proofErr w:type="spellEnd"/>
      <w:r w:rsidRPr="003A1838">
        <w:rPr>
          <w:i/>
          <w:sz w:val="18"/>
          <w:szCs w:val="18"/>
        </w:rPr>
        <w:t xml:space="preserve"> </w:t>
      </w:r>
      <w:proofErr w:type="spellStart"/>
      <w:r w:rsidRPr="003A1838">
        <w:rPr>
          <w:i/>
          <w:sz w:val="18"/>
          <w:szCs w:val="18"/>
        </w:rPr>
        <w:t>Uredbe</w:t>
      </w:r>
      <w:proofErr w:type="spellEnd"/>
      <w:r w:rsidRPr="003A1838">
        <w:rPr>
          <w:i/>
          <w:sz w:val="18"/>
          <w:szCs w:val="18"/>
        </w:rPr>
        <w:t xml:space="preserve"> </w:t>
      </w:r>
      <w:proofErr w:type="spellStart"/>
      <w:r w:rsidRPr="003A1838">
        <w:rPr>
          <w:i/>
          <w:sz w:val="18"/>
          <w:szCs w:val="18"/>
        </w:rPr>
        <w:t>Vijeća</w:t>
      </w:r>
      <w:proofErr w:type="spellEnd"/>
      <w:r w:rsidRPr="003A1838">
        <w:rPr>
          <w:i/>
          <w:sz w:val="18"/>
          <w:szCs w:val="18"/>
        </w:rPr>
        <w:t xml:space="preserve"> (EZ) br. 4/2009 o </w:t>
      </w:r>
      <w:proofErr w:type="spellStart"/>
      <w:r w:rsidRPr="003A1838">
        <w:rPr>
          <w:i/>
          <w:sz w:val="18"/>
          <w:szCs w:val="18"/>
        </w:rPr>
        <w:t>području</w:t>
      </w:r>
      <w:proofErr w:type="spellEnd"/>
      <w:r w:rsidRPr="003A1838">
        <w:rPr>
          <w:i/>
          <w:sz w:val="18"/>
          <w:szCs w:val="18"/>
        </w:rPr>
        <w:t xml:space="preserve"> </w:t>
      </w:r>
      <w:proofErr w:type="spellStart"/>
      <w:r w:rsidRPr="003A1838">
        <w:rPr>
          <w:i/>
          <w:sz w:val="18"/>
          <w:szCs w:val="18"/>
        </w:rPr>
        <w:t>nadležnosti</w:t>
      </w:r>
      <w:proofErr w:type="spellEnd"/>
      <w:r w:rsidRPr="003A1838">
        <w:rPr>
          <w:i/>
          <w:sz w:val="18"/>
          <w:szCs w:val="18"/>
        </w:rPr>
        <w:t xml:space="preserve">, </w:t>
      </w:r>
      <w:proofErr w:type="spellStart"/>
      <w:r w:rsidRPr="003A1838">
        <w:rPr>
          <w:i/>
          <w:sz w:val="18"/>
          <w:szCs w:val="18"/>
        </w:rPr>
        <w:t>mjerodavnog</w:t>
      </w:r>
      <w:proofErr w:type="spellEnd"/>
      <w:r w:rsidRPr="003A1838">
        <w:rPr>
          <w:i/>
          <w:sz w:val="18"/>
          <w:szCs w:val="18"/>
        </w:rPr>
        <w:t xml:space="preserve"> </w:t>
      </w:r>
      <w:proofErr w:type="spellStart"/>
      <w:r w:rsidRPr="003A1838">
        <w:rPr>
          <w:i/>
          <w:sz w:val="18"/>
          <w:szCs w:val="18"/>
        </w:rPr>
        <w:t>prava</w:t>
      </w:r>
      <w:proofErr w:type="spellEnd"/>
      <w:r w:rsidRPr="003A1838">
        <w:rPr>
          <w:i/>
          <w:sz w:val="18"/>
          <w:szCs w:val="18"/>
        </w:rPr>
        <w:t xml:space="preserve">, </w:t>
      </w:r>
      <w:proofErr w:type="spellStart"/>
      <w:r w:rsidRPr="003A1838">
        <w:rPr>
          <w:i/>
          <w:sz w:val="18"/>
          <w:szCs w:val="18"/>
        </w:rPr>
        <w:t>priznanja</w:t>
      </w:r>
      <w:proofErr w:type="spellEnd"/>
      <w:r w:rsidRPr="003A1838">
        <w:rPr>
          <w:i/>
          <w:sz w:val="18"/>
          <w:szCs w:val="18"/>
        </w:rPr>
        <w:t xml:space="preserve"> i </w:t>
      </w:r>
      <w:proofErr w:type="spellStart"/>
      <w:r w:rsidRPr="003A1838">
        <w:rPr>
          <w:i/>
          <w:sz w:val="18"/>
          <w:szCs w:val="18"/>
        </w:rPr>
        <w:t>izvršenja</w:t>
      </w:r>
      <w:proofErr w:type="spellEnd"/>
      <w:r w:rsidRPr="003A1838">
        <w:rPr>
          <w:i/>
          <w:sz w:val="18"/>
          <w:szCs w:val="18"/>
        </w:rPr>
        <w:t xml:space="preserve"> </w:t>
      </w:r>
      <w:proofErr w:type="spellStart"/>
      <w:r w:rsidRPr="003A1838">
        <w:rPr>
          <w:i/>
          <w:sz w:val="18"/>
          <w:szCs w:val="18"/>
        </w:rPr>
        <w:t>odluka</w:t>
      </w:r>
      <w:proofErr w:type="spellEnd"/>
      <w:r w:rsidRPr="003A1838">
        <w:rPr>
          <w:i/>
          <w:sz w:val="18"/>
          <w:szCs w:val="18"/>
        </w:rPr>
        <w:t xml:space="preserve"> </w:t>
      </w:r>
      <w:proofErr w:type="spellStart"/>
      <w:proofErr w:type="gramStart"/>
      <w:r w:rsidRPr="003A1838">
        <w:rPr>
          <w:i/>
          <w:sz w:val="18"/>
          <w:szCs w:val="18"/>
        </w:rPr>
        <w:t>te</w:t>
      </w:r>
      <w:proofErr w:type="spellEnd"/>
      <w:proofErr w:type="gramEnd"/>
      <w:r w:rsidRPr="003A1838">
        <w:rPr>
          <w:i/>
          <w:sz w:val="18"/>
          <w:szCs w:val="18"/>
        </w:rPr>
        <w:t xml:space="preserve"> </w:t>
      </w:r>
      <w:proofErr w:type="spellStart"/>
      <w:r w:rsidRPr="003A1838">
        <w:rPr>
          <w:i/>
          <w:sz w:val="18"/>
          <w:szCs w:val="18"/>
        </w:rPr>
        <w:t>suradnji</w:t>
      </w:r>
      <w:proofErr w:type="spellEnd"/>
      <w:r w:rsidRPr="003A1838">
        <w:rPr>
          <w:i/>
          <w:sz w:val="18"/>
          <w:szCs w:val="18"/>
        </w:rPr>
        <w:t xml:space="preserve"> u </w:t>
      </w:r>
      <w:proofErr w:type="spellStart"/>
      <w:r w:rsidRPr="003A1838">
        <w:rPr>
          <w:i/>
          <w:sz w:val="18"/>
          <w:szCs w:val="18"/>
        </w:rPr>
        <w:t>stvarima</w:t>
      </w:r>
      <w:proofErr w:type="spellEnd"/>
      <w:r w:rsidRPr="003A1838">
        <w:rPr>
          <w:i/>
          <w:sz w:val="18"/>
          <w:szCs w:val="18"/>
        </w:rPr>
        <w:t xml:space="preserve"> </w:t>
      </w:r>
      <w:proofErr w:type="spellStart"/>
      <w:r w:rsidRPr="003A1838">
        <w:rPr>
          <w:i/>
          <w:sz w:val="18"/>
          <w:szCs w:val="18"/>
        </w:rPr>
        <w:t>koje</w:t>
      </w:r>
      <w:proofErr w:type="spellEnd"/>
      <w:r w:rsidRPr="003A1838">
        <w:rPr>
          <w:i/>
          <w:sz w:val="18"/>
          <w:szCs w:val="18"/>
        </w:rPr>
        <w:t xml:space="preserve"> se </w:t>
      </w:r>
      <w:proofErr w:type="spellStart"/>
      <w:r w:rsidRPr="003A1838">
        <w:rPr>
          <w:i/>
          <w:sz w:val="18"/>
          <w:szCs w:val="18"/>
        </w:rPr>
        <w:t>odnose</w:t>
      </w:r>
      <w:proofErr w:type="spellEnd"/>
      <w:r w:rsidRPr="003A1838">
        <w:rPr>
          <w:i/>
          <w:sz w:val="18"/>
          <w:szCs w:val="18"/>
        </w:rPr>
        <w:t xml:space="preserve"> </w:t>
      </w:r>
      <w:proofErr w:type="spellStart"/>
      <w:r w:rsidRPr="003A1838">
        <w:rPr>
          <w:i/>
          <w:sz w:val="18"/>
          <w:szCs w:val="18"/>
        </w:rPr>
        <w:t>na</w:t>
      </w:r>
      <w:proofErr w:type="spellEnd"/>
      <w:r w:rsidRPr="003A1838">
        <w:rPr>
          <w:i/>
          <w:sz w:val="18"/>
          <w:szCs w:val="18"/>
        </w:rPr>
        <w:t xml:space="preserve"> </w:t>
      </w:r>
      <w:proofErr w:type="spellStart"/>
      <w:r w:rsidRPr="003A1838">
        <w:rPr>
          <w:i/>
          <w:sz w:val="18"/>
          <w:szCs w:val="18"/>
        </w:rPr>
        <w:t>obveze</w:t>
      </w:r>
      <w:proofErr w:type="spellEnd"/>
      <w:r w:rsidRPr="003A1838">
        <w:rPr>
          <w:i/>
          <w:sz w:val="18"/>
          <w:szCs w:val="18"/>
        </w:rPr>
        <w:t xml:space="preserve"> </w:t>
      </w:r>
      <w:proofErr w:type="spellStart"/>
      <w:r w:rsidRPr="003A1838">
        <w:rPr>
          <w:i/>
          <w:sz w:val="18"/>
          <w:szCs w:val="18"/>
        </w:rPr>
        <w:t>uzdržavanja</w:t>
      </w:r>
      <w:proofErr w:type="spellEnd"/>
      <w:r w:rsidRPr="003A1838">
        <w:rPr>
          <w:i/>
          <w:sz w:val="18"/>
          <w:szCs w:val="18"/>
        </w:rPr>
        <w:t xml:space="preserve">, </w:t>
      </w:r>
      <w:r w:rsidRPr="003A1838">
        <w:rPr>
          <w:sz w:val="18"/>
          <w:szCs w:val="18"/>
        </w:rPr>
        <w:t>op. cit. (</w:t>
      </w:r>
      <w:proofErr w:type="spellStart"/>
      <w:r w:rsidRPr="003A1838">
        <w:rPr>
          <w:sz w:val="18"/>
          <w:szCs w:val="18"/>
        </w:rPr>
        <w:t>bilj</w:t>
      </w:r>
      <w:proofErr w:type="spellEnd"/>
      <w:r w:rsidRPr="003A1838">
        <w:rPr>
          <w:sz w:val="18"/>
          <w:szCs w:val="18"/>
        </w:rPr>
        <w:t xml:space="preserve">. 1.), </w:t>
      </w:r>
      <w:proofErr w:type="spellStart"/>
      <w:r w:rsidRPr="003A1838">
        <w:rPr>
          <w:sz w:val="18"/>
          <w:szCs w:val="18"/>
        </w:rPr>
        <w:t>čl</w:t>
      </w:r>
      <w:proofErr w:type="spellEnd"/>
      <w:r w:rsidRPr="003A1838">
        <w:rPr>
          <w:sz w:val="18"/>
          <w:szCs w:val="18"/>
        </w:rPr>
        <w:t>. 5.</w:t>
      </w:r>
    </w:p>
  </w:footnote>
  <w:footnote w:id="20">
    <w:p w:rsidR="003A1838" w:rsidRPr="003A1838" w:rsidRDefault="003A1838" w:rsidP="003A1838">
      <w:pPr>
        <w:pStyle w:val="FootnoteText"/>
        <w:jc w:val="both"/>
        <w:rPr>
          <w:sz w:val="18"/>
          <w:szCs w:val="18"/>
        </w:rPr>
      </w:pPr>
      <w:r w:rsidRPr="003A1838">
        <w:rPr>
          <w:rStyle w:val="FootnoteReference"/>
          <w:sz w:val="18"/>
          <w:szCs w:val="18"/>
        </w:rPr>
        <w:footnoteRef/>
      </w:r>
      <w:r w:rsidRPr="003A1838">
        <w:rPr>
          <w:sz w:val="18"/>
          <w:szCs w:val="18"/>
        </w:rPr>
        <w:t xml:space="preserve"> </w:t>
      </w:r>
      <w:proofErr w:type="spellStart"/>
      <w:proofErr w:type="gramStart"/>
      <w:r w:rsidRPr="003A1838">
        <w:rPr>
          <w:sz w:val="18"/>
          <w:szCs w:val="18"/>
        </w:rPr>
        <w:t>Pismena</w:t>
      </w:r>
      <w:proofErr w:type="spellEnd"/>
      <w:r w:rsidRPr="003A1838">
        <w:rPr>
          <w:sz w:val="18"/>
          <w:szCs w:val="18"/>
        </w:rPr>
        <w:t xml:space="preserve"> </w:t>
      </w:r>
      <w:proofErr w:type="spellStart"/>
      <w:r w:rsidRPr="003A1838">
        <w:rPr>
          <w:sz w:val="18"/>
          <w:szCs w:val="18"/>
        </w:rPr>
        <w:t>za</w:t>
      </w:r>
      <w:proofErr w:type="spellEnd"/>
      <w:r w:rsidRPr="003A1838">
        <w:rPr>
          <w:sz w:val="18"/>
          <w:szCs w:val="18"/>
        </w:rPr>
        <w:t xml:space="preserve"> </w:t>
      </w:r>
      <w:proofErr w:type="spellStart"/>
      <w:r w:rsidRPr="003A1838">
        <w:rPr>
          <w:sz w:val="18"/>
          <w:szCs w:val="18"/>
        </w:rPr>
        <w:t>potrebe</w:t>
      </w:r>
      <w:proofErr w:type="spellEnd"/>
      <w:r w:rsidRPr="003A1838">
        <w:rPr>
          <w:sz w:val="18"/>
          <w:szCs w:val="18"/>
        </w:rPr>
        <w:t xml:space="preserve"> </w:t>
      </w:r>
      <w:proofErr w:type="spellStart"/>
      <w:r w:rsidRPr="003A1838">
        <w:rPr>
          <w:sz w:val="18"/>
          <w:szCs w:val="18"/>
        </w:rPr>
        <w:t>izvršenja</w:t>
      </w:r>
      <w:proofErr w:type="spellEnd"/>
      <w:r w:rsidRPr="003A1838">
        <w:rPr>
          <w:sz w:val="18"/>
          <w:szCs w:val="18"/>
        </w:rPr>
        <w:t xml:space="preserve"> </w:t>
      </w:r>
      <w:proofErr w:type="spellStart"/>
      <w:r w:rsidRPr="003A1838">
        <w:rPr>
          <w:sz w:val="18"/>
          <w:szCs w:val="18"/>
        </w:rPr>
        <w:t>određena</w:t>
      </w:r>
      <w:proofErr w:type="spellEnd"/>
      <w:r w:rsidRPr="003A1838">
        <w:rPr>
          <w:sz w:val="18"/>
          <w:szCs w:val="18"/>
        </w:rPr>
        <w:t xml:space="preserve"> </w:t>
      </w:r>
      <w:proofErr w:type="spellStart"/>
      <w:r w:rsidRPr="003A1838">
        <w:rPr>
          <w:sz w:val="18"/>
          <w:szCs w:val="18"/>
        </w:rPr>
        <w:t>su</w:t>
      </w:r>
      <w:proofErr w:type="spellEnd"/>
      <w:r w:rsidRPr="003A1838">
        <w:rPr>
          <w:sz w:val="18"/>
          <w:szCs w:val="18"/>
        </w:rPr>
        <w:t xml:space="preserve"> u </w:t>
      </w:r>
      <w:proofErr w:type="spellStart"/>
      <w:r w:rsidRPr="003A1838">
        <w:rPr>
          <w:sz w:val="18"/>
          <w:szCs w:val="18"/>
        </w:rPr>
        <w:t>čl</w:t>
      </w:r>
      <w:proofErr w:type="spellEnd"/>
      <w:r w:rsidRPr="003A1838">
        <w:rPr>
          <w:sz w:val="18"/>
          <w:szCs w:val="18"/>
        </w:rPr>
        <w:t>.</w:t>
      </w:r>
      <w:proofErr w:type="gramEnd"/>
      <w:r w:rsidRPr="003A1838">
        <w:rPr>
          <w:sz w:val="18"/>
          <w:szCs w:val="18"/>
        </w:rPr>
        <w:t xml:space="preserve"> 20. </w:t>
      </w:r>
      <w:proofErr w:type="spellStart"/>
      <w:r w:rsidRPr="003A1838">
        <w:rPr>
          <w:sz w:val="18"/>
          <w:szCs w:val="18"/>
        </w:rPr>
        <w:t>Uredbe</w:t>
      </w:r>
      <w:proofErr w:type="spellEnd"/>
      <w:r w:rsidRPr="003A1838">
        <w:rPr>
          <w:sz w:val="18"/>
          <w:szCs w:val="18"/>
        </w:rPr>
        <w:t xml:space="preserve"> o </w:t>
      </w:r>
      <w:proofErr w:type="spellStart"/>
      <w:r w:rsidRPr="003A1838">
        <w:rPr>
          <w:sz w:val="18"/>
          <w:szCs w:val="18"/>
        </w:rPr>
        <w:t>uzdržavanju</w:t>
      </w:r>
      <w:proofErr w:type="spellEnd"/>
      <w:r w:rsidRPr="003A1838">
        <w:rPr>
          <w:sz w:val="18"/>
          <w:szCs w:val="18"/>
        </w:rPr>
        <w:t xml:space="preserve"> </w:t>
      </w:r>
      <w:proofErr w:type="spellStart"/>
      <w:r w:rsidRPr="003A1838">
        <w:rPr>
          <w:sz w:val="18"/>
          <w:szCs w:val="18"/>
        </w:rPr>
        <w:t>za</w:t>
      </w:r>
      <w:proofErr w:type="spellEnd"/>
      <w:r w:rsidRPr="003A1838">
        <w:rPr>
          <w:sz w:val="18"/>
          <w:szCs w:val="18"/>
        </w:rPr>
        <w:t xml:space="preserve"> </w:t>
      </w:r>
      <w:proofErr w:type="spellStart"/>
      <w:r w:rsidRPr="003A1838">
        <w:rPr>
          <w:sz w:val="18"/>
          <w:szCs w:val="18"/>
        </w:rPr>
        <w:t>odluke</w:t>
      </w:r>
      <w:proofErr w:type="spellEnd"/>
      <w:r w:rsidRPr="003A1838">
        <w:rPr>
          <w:sz w:val="18"/>
          <w:szCs w:val="18"/>
        </w:rPr>
        <w:t xml:space="preserve"> </w:t>
      </w:r>
      <w:proofErr w:type="spellStart"/>
      <w:r w:rsidRPr="003A1838">
        <w:rPr>
          <w:sz w:val="18"/>
          <w:szCs w:val="18"/>
        </w:rPr>
        <w:t>donesene</w:t>
      </w:r>
      <w:proofErr w:type="spellEnd"/>
      <w:r w:rsidRPr="003A1838">
        <w:rPr>
          <w:sz w:val="18"/>
          <w:szCs w:val="18"/>
        </w:rPr>
        <w:t xml:space="preserve"> u </w:t>
      </w:r>
      <w:proofErr w:type="spellStart"/>
      <w:r w:rsidRPr="003A1838">
        <w:rPr>
          <w:sz w:val="18"/>
          <w:szCs w:val="18"/>
        </w:rPr>
        <w:t>državi</w:t>
      </w:r>
      <w:proofErr w:type="spellEnd"/>
      <w:r w:rsidRPr="003A1838">
        <w:rPr>
          <w:sz w:val="18"/>
          <w:szCs w:val="18"/>
        </w:rPr>
        <w:t xml:space="preserve"> </w:t>
      </w:r>
      <w:proofErr w:type="spellStart"/>
      <w:r w:rsidRPr="003A1838">
        <w:rPr>
          <w:sz w:val="18"/>
          <w:szCs w:val="18"/>
        </w:rPr>
        <w:t>članici</w:t>
      </w:r>
      <w:proofErr w:type="spellEnd"/>
      <w:r w:rsidRPr="003A1838">
        <w:rPr>
          <w:sz w:val="18"/>
          <w:szCs w:val="18"/>
        </w:rPr>
        <w:t xml:space="preserve"> </w:t>
      </w:r>
      <w:proofErr w:type="spellStart"/>
      <w:r w:rsidRPr="003A1838">
        <w:rPr>
          <w:sz w:val="18"/>
          <w:szCs w:val="18"/>
        </w:rPr>
        <w:t>koju</w:t>
      </w:r>
      <w:proofErr w:type="spellEnd"/>
      <w:r w:rsidRPr="003A1838">
        <w:rPr>
          <w:sz w:val="18"/>
          <w:szCs w:val="18"/>
        </w:rPr>
        <w:t xml:space="preserve"> </w:t>
      </w:r>
      <w:proofErr w:type="spellStart"/>
      <w:r w:rsidRPr="003A1838">
        <w:rPr>
          <w:sz w:val="18"/>
          <w:szCs w:val="18"/>
        </w:rPr>
        <w:t>obvezuje</w:t>
      </w:r>
      <w:proofErr w:type="spellEnd"/>
      <w:r w:rsidRPr="003A1838">
        <w:rPr>
          <w:sz w:val="18"/>
          <w:szCs w:val="18"/>
        </w:rPr>
        <w:t xml:space="preserve"> </w:t>
      </w:r>
      <w:proofErr w:type="spellStart"/>
      <w:r w:rsidRPr="003A1838">
        <w:rPr>
          <w:sz w:val="18"/>
          <w:szCs w:val="18"/>
        </w:rPr>
        <w:t>Haški</w:t>
      </w:r>
      <w:proofErr w:type="spellEnd"/>
      <w:r w:rsidRPr="003A1838">
        <w:rPr>
          <w:sz w:val="18"/>
          <w:szCs w:val="18"/>
        </w:rPr>
        <w:t xml:space="preserve"> </w:t>
      </w:r>
      <w:proofErr w:type="spellStart"/>
      <w:r w:rsidRPr="003A1838">
        <w:rPr>
          <w:sz w:val="18"/>
          <w:szCs w:val="18"/>
        </w:rPr>
        <w:t>protokol</w:t>
      </w:r>
      <w:proofErr w:type="spellEnd"/>
      <w:r w:rsidRPr="003A1838">
        <w:rPr>
          <w:sz w:val="18"/>
          <w:szCs w:val="18"/>
        </w:rPr>
        <w:t xml:space="preserve"> </w:t>
      </w:r>
      <w:proofErr w:type="spellStart"/>
      <w:r w:rsidRPr="003A1838">
        <w:rPr>
          <w:sz w:val="18"/>
          <w:szCs w:val="18"/>
        </w:rPr>
        <w:t>iz</w:t>
      </w:r>
      <w:proofErr w:type="spellEnd"/>
      <w:r w:rsidRPr="003A1838">
        <w:rPr>
          <w:sz w:val="18"/>
          <w:szCs w:val="18"/>
        </w:rPr>
        <w:t xml:space="preserve"> 2007. </w:t>
      </w:r>
      <w:proofErr w:type="spellStart"/>
      <w:proofErr w:type="gramStart"/>
      <w:r w:rsidRPr="003A1838">
        <w:rPr>
          <w:sz w:val="18"/>
          <w:szCs w:val="18"/>
        </w:rPr>
        <w:t>godine</w:t>
      </w:r>
      <w:proofErr w:type="spellEnd"/>
      <w:proofErr w:type="gramEnd"/>
      <w:r w:rsidRPr="003A1838">
        <w:rPr>
          <w:sz w:val="18"/>
          <w:szCs w:val="18"/>
        </w:rPr>
        <w:t xml:space="preserve">, a u </w:t>
      </w:r>
      <w:proofErr w:type="spellStart"/>
      <w:r w:rsidRPr="003A1838">
        <w:rPr>
          <w:sz w:val="18"/>
          <w:szCs w:val="18"/>
        </w:rPr>
        <w:t>čl</w:t>
      </w:r>
      <w:proofErr w:type="spellEnd"/>
      <w:r w:rsidRPr="003A1838">
        <w:rPr>
          <w:sz w:val="18"/>
          <w:szCs w:val="18"/>
        </w:rPr>
        <w:t xml:space="preserve">. 28. </w:t>
      </w:r>
      <w:proofErr w:type="spellStart"/>
      <w:proofErr w:type="gramStart"/>
      <w:r w:rsidRPr="003A1838">
        <w:rPr>
          <w:sz w:val="18"/>
          <w:szCs w:val="18"/>
        </w:rPr>
        <w:t>određeno</w:t>
      </w:r>
      <w:proofErr w:type="spellEnd"/>
      <w:proofErr w:type="gramEnd"/>
      <w:r w:rsidRPr="003A1838">
        <w:rPr>
          <w:sz w:val="18"/>
          <w:szCs w:val="18"/>
        </w:rPr>
        <w:t xml:space="preserve"> je </w:t>
      </w:r>
      <w:proofErr w:type="spellStart"/>
      <w:r w:rsidRPr="003A1838">
        <w:rPr>
          <w:sz w:val="18"/>
          <w:szCs w:val="18"/>
        </w:rPr>
        <w:t>koje</w:t>
      </w:r>
      <w:proofErr w:type="spellEnd"/>
      <w:r w:rsidRPr="003A1838">
        <w:rPr>
          <w:sz w:val="18"/>
          <w:szCs w:val="18"/>
        </w:rPr>
        <w:t xml:space="preserve"> se </w:t>
      </w:r>
      <w:proofErr w:type="spellStart"/>
      <w:r w:rsidRPr="003A1838">
        <w:rPr>
          <w:sz w:val="18"/>
          <w:szCs w:val="18"/>
        </w:rPr>
        <w:t>isprave</w:t>
      </w:r>
      <w:proofErr w:type="spellEnd"/>
      <w:r w:rsidRPr="003A1838">
        <w:rPr>
          <w:sz w:val="18"/>
          <w:szCs w:val="18"/>
        </w:rPr>
        <w:t xml:space="preserve"> </w:t>
      </w:r>
      <w:proofErr w:type="spellStart"/>
      <w:r w:rsidRPr="003A1838">
        <w:rPr>
          <w:sz w:val="18"/>
          <w:szCs w:val="18"/>
        </w:rPr>
        <w:t>prilažu</w:t>
      </w:r>
      <w:proofErr w:type="spellEnd"/>
      <w:r w:rsidRPr="003A1838">
        <w:rPr>
          <w:sz w:val="18"/>
          <w:szCs w:val="18"/>
        </w:rPr>
        <w:t xml:space="preserve"> </w:t>
      </w:r>
      <w:proofErr w:type="spellStart"/>
      <w:r w:rsidRPr="003A1838">
        <w:rPr>
          <w:sz w:val="18"/>
          <w:szCs w:val="18"/>
        </w:rPr>
        <w:t>zahtjevu</w:t>
      </w:r>
      <w:proofErr w:type="spellEnd"/>
      <w:r w:rsidRPr="003A1838">
        <w:rPr>
          <w:sz w:val="18"/>
          <w:szCs w:val="18"/>
        </w:rPr>
        <w:t xml:space="preserve"> </w:t>
      </w:r>
      <w:proofErr w:type="spellStart"/>
      <w:r w:rsidRPr="003A1838">
        <w:rPr>
          <w:sz w:val="18"/>
          <w:szCs w:val="18"/>
        </w:rPr>
        <w:t>za</w:t>
      </w:r>
      <w:proofErr w:type="spellEnd"/>
      <w:r w:rsidRPr="003A1838">
        <w:rPr>
          <w:sz w:val="18"/>
          <w:szCs w:val="18"/>
        </w:rPr>
        <w:t xml:space="preserve"> </w:t>
      </w:r>
      <w:proofErr w:type="spellStart"/>
      <w:r w:rsidRPr="003A1838">
        <w:rPr>
          <w:sz w:val="18"/>
          <w:szCs w:val="18"/>
        </w:rPr>
        <w:t>proglašenju</w:t>
      </w:r>
      <w:proofErr w:type="spellEnd"/>
      <w:r w:rsidRPr="003A1838">
        <w:rPr>
          <w:sz w:val="18"/>
          <w:szCs w:val="18"/>
        </w:rPr>
        <w:t xml:space="preserve"> </w:t>
      </w:r>
      <w:proofErr w:type="spellStart"/>
      <w:r w:rsidRPr="003A1838">
        <w:rPr>
          <w:sz w:val="18"/>
          <w:szCs w:val="18"/>
        </w:rPr>
        <w:t>izvršivosti</w:t>
      </w:r>
      <w:proofErr w:type="spellEnd"/>
      <w:r w:rsidRPr="003A1838">
        <w:rPr>
          <w:sz w:val="18"/>
          <w:szCs w:val="18"/>
        </w:rPr>
        <w:t xml:space="preserve"> </w:t>
      </w:r>
      <w:proofErr w:type="spellStart"/>
      <w:r w:rsidRPr="003A1838">
        <w:rPr>
          <w:sz w:val="18"/>
          <w:szCs w:val="18"/>
        </w:rPr>
        <w:t>za</w:t>
      </w:r>
      <w:proofErr w:type="spellEnd"/>
      <w:r w:rsidRPr="003A1838">
        <w:rPr>
          <w:sz w:val="18"/>
          <w:szCs w:val="18"/>
        </w:rPr>
        <w:t xml:space="preserve"> </w:t>
      </w:r>
      <w:proofErr w:type="spellStart"/>
      <w:r w:rsidRPr="003A1838">
        <w:rPr>
          <w:sz w:val="18"/>
          <w:szCs w:val="18"/>
        </w:rPr>
        <w:t>odluke</w:t>
      </w:r>
      <w:proofErr w:type="spellEnd"/>
      <w:r w:rsidRPr="003A1838">
        <w:rPr>
          <w:sz w:val="18"/>
          <w:szCs w:val="18"/>
        </w:rPr>
        <w:t xml:space="preserve"> </w:t>
      </w:r>
      <w:proofErr w:type="spellStart"/>
      <w:r w:rsidRPr="003A1838">
        <w:rPr>
          <w:sz w:val="18"/>
          <w:szCs w:val="18"/>
        </w:rPr>
        <w:t>donesene</w:t>
      </w:r>
      <w:proofErr w:type="spellEnd"/>
      <w:r w:rsidRPr="003A1838">
        <w:rPr>
          <w:sz w:val="18"/>
          <w:szCs w:val="18"/>
        </w:rPr>
        <w:t xml:space="preserve"> u </w:t>
      </w:r>
      <w:proofErr w:type="spellStart"/>
      <w:r w:rsidRPr="003A1838">
        <w:rPr>
          <w:sz w:val="18"/>
          <w:szCs w:val="18"/>
        </w:rPr>
        <w:t>državi</w:t>
      </w:r>
      <w:proofErr w:type="spellEnd"/>
      <w:r w:rsidRPr="003A1838">
        <w:rPr>
          <w:sz w:val="18"/>
          <w:szCs w:val="18"/>
        </w:rPr>
        <w:t xml:space="preserve"> </w:t>
      </w:r>
      <w:proofErr w:type="spellStart"/>
      <w:r w:rsidRPr="003A1838">
        <w:rPr>
          <w:sz w:val="18"/>
          <w:szCs w:val="18"/>
        </w:rPr>
        <w:t>članici</w:t>
      </w:r>
      <w:proofErr w:type="spellEnd"/>
      <w:r w:rsidRPr="003A1838">
        <w:rPr>
          <w:sz w:val="18"/>
          <w:szCs w:val="18"/>
        </w:rPr>
        <w:t xml:space="preserve"> </w:t>
      </w:r>
      <w:proofErr w:type="spellStart"/>
      <w:r w:rsidRPr="003A1838">
        <w:rPr>
          <w:sz w:val="18"/>
          <w:szCs w:val="18"/>
        </w:rPr>
        <w:t>koju</w:t>
      </w:r>
      <w:proofErr w:type="spellEnd"/>
      <w:r w:rsidRPr="003A1838">
        <w:rPr>
          <w:sz w:val="18"/>
          <w:szCs w:val="18"/>
        </w:rPr>
        <w:t xml:space="preserve"> </w:t>
      </w:r>
      <w:proofErr w:type="spellStart"/>
      <w:r w:rsidRPr="003A1838">
        <w:rPr>
          <w:sz w:val="18"/>
          <w:szCs w:val="18"/>
        </w:rPr>
        <w:t>obvezuje</w:t>
      </w:r>
      <w:proofErr w:type="spellEnd"/>
      <w:r w:rsidRPr="003A1838">
        <w:rPr>
          <w:sz w:val="18"/>
          <w:szCs w:val="18"/>
        </w:rPr>
        <w:t xml:space="preserve"> </w:t>
      </w:r>
      <w:proofErr w:type="spellStart"/>
      <w:r w:rsidRPr="003A1838">
        <w:rPr>
          <w:sz w:val="18"/>
          <w:szCs w:val="18"/>
        </w:rPr>
        <w:t>Haški</w:t>
      </w:r>
      <w:proofErr w:type="spellEnd"/>
      <w:r w:rsidRPr="003A1838">
        <w:rPr>
          <w:sz w:val="18"/>
          <w:szCs w:val="18"/>
        </w:rPr>
        <w:t xml:space="preserve"> </w:t>
      </w:r>
      <w:proofErr w:type="spellStart"/>
      <w:r w:rsidRPr="003A1838">
        <w:rPr>
          <w:sz w:val="18"/>
          <w:szCs w:val="18"/>
        </w:rPr>
        <w:t>protokol</w:t>
      </w:r>
      <w:proofErr w:type="spellEnd"/>
      <w:r w:rsidRPr="003A1838">
        <w:rPr>
          <w:sz w:val="18"/>
          <w:szCs w:val="18"/>
        </w:rPr>
        <w:t xml:space="preserve"> </w:t>
      </w:r>
      <w:proofErr w:type="spellStart"/>
      <w:r w:rsidRPr="003A1838">
        <w:rPr>
          <w:sz w:val="18"/>
          <w:szCs w:val="18"/>
        </w:rPr>
        <w:t>iz</w:t>
      </w:r>
      <w:proofErr w:type="spellEnd"/>
      <w:r w:rsidRPr="003A1838">
        <w:rPr>
          <w:sz w:val="18"/>
          <w:szCs w:val="18"/>
        </w:rPr>
        <w:t xml:space="preserve"> 2007. </w:t>
      </w:r>
    </w:p>
  </w:footnote>
  <w:footnote w:id="21">
    <w:p w:rsidR="003A1838" w:rsidRPr="003A1838" w:rsidRDefault="003A1838" w:rsidP="003A1838">
      <w:pPr>
        <w:pStyle w:val="FootnoteText"/>
        <w:jc w:val="both"/>
        <w:rPr>
          <w:sz w:val="18"/>
          <w:szCs w:val="18"/>
        </w:rPr>
      </w:pPr>
      <w:r w:rsidRPr="003A1838">
        <w:rPr>
          <w:rStyle w:val="FootnoteReference"/>
          <w:sz w:val="18"/>
          <w:szCs w:val="18"/>
        </w:rPr>
        <w:footnoteRef/>
      </w:r>
      <w:r w:rsidRPr="003A1838">
        <w:rPr>
          <w:sz w:val="18"/>
          <w:szCs w:val="18"/>
        </w:rPr>
        <w:t xml:space="preserve"> </w:t>
      </w:r>
      <w:proofErr w:type="spellStart"/>
      <w:proofErr w:type="gramStart"/>
      <w:r w:rsidRPr="003A1838">
        <w:rPr>
          <w:sz w:val="18"/>
          <w:szCs w:val="18"/>
        </w:rPr>
        <w:t>Lortie</w:t>
      </w:r>
      <w:proofErr w:type="spellEnd"/>
      <w:r w:rsidRPr="003A1838">
        <w:rPr>
          <w:sz w:val="18"/>
          <w:szCs w:val="18"/>
        </w:rPr>
        <w:t>, op. cit. (</w:t>
      </w:r>
      <w:proofErr w:type="spellStart"/>
      <w:r w:rsidRPr="003A1838">
        <w:rPr>
          <w:sz w:val="18"/>
          <w:szCs w:val="18"/>
        </w:rPr>
        <w:t>bilj</w:t>
      </w:r>
      <w:proofErr w:type="spellEnd"/>
      <w:r w:rsidRPr="003A1838">
        <w:rPr>
          <w:sz w:val="18"/>
          <w:szCs w:val="18"/>
        </w:rPr>
        <w:t>.</w:t>
      </w:r>
      <w:proofErr w:type="gramEnd"/>
      <w:r w:rsidRPr="003A1838">
        <w:rPr>
          <w:sz w:val="18"/>
          <w:szCs w:val="18"/>
        </w:rPr>
        <w:t xml:space="preserve"> 18.), str. 37.</w:t>
      </w:r>
    </w:p>
  </w:footnote>
  <w:footnote w:id="22">
    <w:p w:rsidR="003A1838" w:rsidRPr="003A1838" w:rsidRDefault="003A1838" w:rsidP="003A1838">
      <w:pPr>
        <w:pStyle w:val="FootnoteText"/>
        <w:jc w:val="both"/>
        <w:rPr>
          <w:sz w:val="18"/>
          <w:szCs w:val="18"/>
        </w:rPr>
      </w:pPr>
      <w:r w:rsidRPr="003A1838">
        <w:rPr>
          <w:rStyle w:val="FootnoteReference"/>
          <w:sz w:val="18"/>
          <w:szCs w:val="18"/>
        </w:rPr>
        <w:footnoteRef/>
      </w:r>
      <w:r w:rsidRPr="003A1838">
        <w:rPr>
          <w:sz w:val="18"/>
          <w:szCs w:val="18"/>
        </w:rPr>
        <w:t xml:space="preserve"> </w:t>
      </w:r>
      <w:proofErr w:type="spellStart"/>
      <w:proofErr w:type="gramStart"/>
      <w:r w:rsidRPr="003A1838">
        <w:rPr>
          <w:sz w:val="18"/>
          <w:szCs w:val="18"/>
        </w:rPr>
        <w:t>Lortie</w:t>
      </w:r>
      <w:proofErr w:type="spellEnd"/>
      <w:r w:rsidRPr="003A1838">
        <w:rPr>
          <w:sz w:val="18"/>
          <w:szCs w:val="18"/>
        </w:rPr>
        <w:t>, op. cit. (</w:t>
      </w:r>
      <w:proofErr w:type="spellStart"/>
      <w:r w:rsidRPr="003A1838">
        <w:rPr>
          <w:sz w:val="18"/>
          <w:szCs w:val="18"/>
        </w:rPr>
        <w:t>bilj</w:t>
      </w:r>
      <w:proofErr w:type="spellEnd"/>
      <w:r w:rsidRPr="003A1838">
        <w:rPr>
          <w:sz w:val="18"/>
          <w:szCs w:val="18"/>
        </w:rPr>
        <w:t>.</w:t>
      </w:r>
      <w:proofErr w:type="gramEnd"/>
      <w:r w:rsidRPr="003A1838">
        <w:rPr>
          <w:sz w:val="18"/>
          <w:szCs w:val="18"/>
        </w:rPr>
        <w:t xml:space="preserve"> 18.), str. 38.</w:t>
      </w:r>
    </w:p>
  </w:footnote>
  <w:footnote w:id="23">
    <w:p w:rsidR="003A1838" w:rsidRPr="003A1838" w:rsidRDefault="003A1838" w:rsidP="003A1838">
      <w:pPr>
        <w:pStyle w:val="FootnoteText"/>
        <w:jc w:val="both"/>
        <w:rPr>
          <w:sz w:val="18"/>
          <w:szCs w:val="18"/>
        </w:rPr>
      </w:pPr>
      <w:r w:rsidRPr="003A1838">
        <w:rPr>
          <w:rStyle w:val="FootnoteReference"/>
          <w:sz w:val="18"/>
          <w:szCs w:val="18"/>
        </w:rPr>
        <w:footnoteRef/>
      </w:r>
      <w:r w:rsidRPr="003A1838">
        <w:rPr>
          <w:sz w:val="18"/>
          <w:szCs w:val="18"/>
        </w:rPr>
        <w:t xml:space="preserve"> </w:t>
      </w:r>
      <w:proofErr w:type="spellStart"/>
      <w:proofErr w:type="gramStart"/>
      <w:r w:rsidRPr="003A1838">
        <w:rPr>
          <w:sz w:val="18"/>
          <w:szCs w:val="18"/>
        </w:rPr>
        <w:t>Uredba</w:t>
      </w:r>
      <w:proofErr w:type="spellEnd"/>
      <w:r w:rsidRPr="003A1838">
        <w:rPr>
          <w:sz w:val="18"/>
          <w:szCs w:val="18"/>
        </w:rPr>
        <w:t xml:space="preserve"> u </w:t>
      </w:r>
      <w:proofErr w:type="spellStart"/>
      <w:r w:rsidRPr="003A1838">
        <w:rPr>
          <w:sz w:val="18"/>
          <w:szCs w:val="18"/>
        </w:rPr>
        <w:t>čl</w:t>
      </w:r>
      <w:proofErr w:type="spellEnd"/>
      <w:r w:rsidRPr="003A1838">
        <w:rPr>
          <w:sz w:val="18"/>
          <w:szCs w:val="18"/>
        </w:rPr>
        <w:t>.</w:t>
      </w:r>
      <w:proofErr w:type="gramEnd"/>
      <w:r w:rsidRPr="003A1838">
        <w:rPr>
          <w:sz w:val="18"/>
          <w:szCs w:val="18"/>
        </w:rPr>
        <w:t xml:space="preserve"> 53. </w:t>
      </w:r>
      <w:proofErr w:type="spellStart"/>
      <w:r w:rsidRPr="003A1838">
        <w:rPr>
          <w:sz w:val="18"/>
          <w:szCs w:val="18"/>
        </w:rPr>
        <w:t>st.</w:t>
      </w:r>
      <w:proofErr w:type="spellEnd"/>
      <w:r w:rsidRPr="003A1838">
        <w:rPr>
          <w:sz w:val="18"/>
          <w:szCs w:val="18"/>
        </w:rPr>
        <w:t xml:space="preserve"> 2. </w:t>
      </w:r>
      <w:proofErr w:type="spellStart"/>
      <w:proofErr w:type="gramStart"/>
      <w:r w:rsidRPr="003A1838">
        <w:rPr>
          <w:sz w:val="18"/>
          <w:szCs w:val="18"/>
        </w:rPr>
        <w:t>određuje</w:t>
      </w:r>
      <w:proofErr w:type="spellEnd"/>
      <w:proofErr w:type="gramEnd"/>
      <w:r w:rsidRPr="003A1838">
        <w:rPr>
          <w:sz w:val="18"/>
          <w:szCs w:val="18"/>
        </w:rPr>
        <w:t xml:space="preserve"> da </w:t>
      </w:r>
      <w:proofErr w:type="spellStart"/>
      <w:r w:rsidRPr="003A1838">
        <w:rPr>
          <w:sz w:val="18"/>
          <w:szCs w:val="18"/>
        </w:rPr>
        <w:t>kad</w:t>
      </w:r>
      <w:proofErr w:type="spellEnd"/>
      <w:r w:rsidRPr="003A1838">
        <w:rPr>
          <w:sz w:val="18"/>
          <w:szCs w:val="18"/>
        </w:rPr>
        <w:t xml:space="preserve"> </w:t>
      </w:r>
      <w:proofErr w:type="spellStart"/>
      <w:r w:rsidRPr="003A1838">
        <w:rPr>
          <w:sz w:val="18"/>
          <w:szCs w:val="18"/>
        </w:rPr>
        <w:t>su</w:t>
      </w:r>
      <w:proofErr w:type="spellEnd"/>
      <w:r w:rsidRPr="003A1838">
        <w:rPr>
          <w:sz w:val="18"/>
          <w:szCs w:val="18"/>
        </w:rPr>
        <w:t xml:space="preserve"> </w:t>
      </w:r>
      <w:proofErr w:type="spellStart"/>
      <w:r w:rsidRPr="003A1838">
        <w:rPr>
          <w:sz w:val="18"/>
          <w:szCs w:val="18"/>
        </w:rPr>
        <w:t>zatražene</w:t>
      </w:r>
      <w:proofErr w:type="spellEnd"/>
      <w:r w:rsidRPr="003A1838">
        <w:rPr>
          <w:sz w:val="18"/>
          <w:szCs w:val="18"/>
        </w:rPr>
        <w:t xml:space="preserve"> </w:t>
      </w:r>
      <w:proofErr w:type="spellStart"/>
      <w:r w:rsidRPr="003A1838">
        <w:rPr>
          <w:sz w:val="18"/>
          <w:szCs w:val="18"/>
        </w:rPr>
        <w:t>informacije</w:t>
      </w:r>
      <w:proofErr w:type="spellEnd"/>
      <w:r w:rsidRPr="003A1838">
        <w:rPr>
          <w:sz w:val="18"/>
          <w:szCs w:val="18"/>
        </w:rPr>
        <w:t xml:space="preserve"> </w:t>
      </w:r>
      <w:proofErr w:type="spellStart"/>
      <w:r w:rsidRPr="003A1838">
        <w:rPr>
          <w:sz w:val="18"/>
          <w:szCs w:val="18"/>
        </w:rPr>
        <w:t>pribavljene</w:t>
      </w:r>
      <w:proofErr w:type="spellEnd"/>
      <w:r w:rsidRPr="003A1838">
        <w:rPr>
          <w:sz w:val="18"/>
          <w:szCs w:val="18"/>
        </w:rPr>
        <w:t xml:space="preserve"> u </w:t>
      </w:r>
      <w:proofErr w:type="spellStart"/>
      <w:r w:rsidRPr="003A1838">
        <w:rPr>
          <w:sz w:val="18"/>
          <w:szCs w:val="18"/>
        </w:rPr>
        <w:t>skladu</w:t>
      </w:r>
      <w:proofErr w:type="spellEnd"/>
      <w:r w:rsidRPr="003A1838">
        <w:rPr>
          <w:sz w:val="18"/>
          <w:szCs w:val="18"/>
        </w:rPr>
        <w:t xml:space="preserve"> s </w:t>
      </w:r>
      <w:proofErr w:type="spellStart"/>
      <w:r w:rsidRPr="003A1838">
        <w:rPr>
          <w:sz w:val="18"/>
          <w:szCs w:val="18"/>
        </w:rPr>
        <w:t>člankom</w:t>
      </w:r>
      <w:proofErr w:type="spellEnd"/>
      <w:r w:rsidRPr="003A1838">
        <w:rPr>
          <w:sz w:val="18"/>
          <w:szCs w:val="18"/>
        </w:rPr>
        <w:t xml:space="preserve"> 61. </w:t>
      </w:r>
      <w:proofErr w:type="spellStart"/>
      <w:proofErr w:type="gramStart"/>
      <w:r w:rsidRPr="003A1838">
        <w:rPr>
          <w:sz w:val="18"/>
          <w:szCs w:val="18"/>
        </w:rPr>
        <w:t>Uredbe</w:t>
      </w:r>
      <w:proofErr w:type="spellEnd"/>
      <w:r w:rsidRPr="003A1838">
        <w:rPr>
          <w:sz w:val="18"/>
          <w:szCs w:val="18"/>
        </w:rPr>
        <w:t xml:space="preserve"> u </w:t>
      </w:r>
      <w:proofErr w:type="spellStart"/>
      <w:r w:rsidRPr="003A1838">
        <w:rPr>
          <w:sz w:val="18"/>
          <w:szCs w:val="18"/>
        </w:rPr>
        <w:t>priopćenju</w:t>
      </w:r>
      <w:proofErr w:type="spellEnd"/>
      <w:r w:rsidRPr="003A1838">
        <w:rPr>
          <w:sz w:val="18"/>
          <w:szCs w:val="18"/>
        </w:rPr>
        <w:t xml:space="preserve"> se </w:t>
      </w:r>
      <w:proofErr w:type="spellStart"/>
      <w:r w:rsidRPr="003A1838">
        <w:rPr>
          <w:sz w:val="18"/>
          <w:szCs w:val="18"/>
        </w:rPr>
        <w:t>navodi</w:t>
      </w:r>
      <w:proofErr w:type="spellEnd"/>
      <w:r w:rsidRPr="003A1838">
        <w:rPr>
          <w:sz w:val="18"/>
          <w:szCs w:val="18"/>
        </w:rPr>
        <w:t xml:space="preserve"> </w:t>
      </w:r>
      <w:proofErr w:type="spellStart"/>
      <w:r w:rsidRPr="003A1838">
        <w:rPr>
          <w:sz w:val="18"/>
          <w:szCs w:val="18"/>
        </w:rPr>
        <w:t>samo</w:t>
      </w:r>
      <w:proofErr w:type="spellEnd"/>
      <w:r w:rsidRPr="003A1838">
        <w:rPr>
          <w:sz w:val="18"/>
          <w:szCs w:val="18"/>
        </w:rPr>
        <w:t xml:space="preserve"> </w:t>
      </w:r>
      <w:proofErr w:type="spellStart"/>
      <w:r w:rsidRPr="003A1838">
        <w:rPr>
          <w:sz w:val="18"/>
          <w:szCs w:val="18"/>
        </w:rPr>
        <w:t>adresa</w:t>
      </w:r>
      <w:proofErr w:type="spellEnd"/>
      <w:r w:rsidRPr="003A1838">
        <w:rPr>
          <w:sz w:val="18"/>
          <w:szCs w:val="18"/>
        </w:rPr>
        <w:t xml:space="preserve"> </w:t>
      </w:r>
      <w:proofErr w:type="spellStart"/>
      <w:r w:rsidRPr="003A1838">
        <w:rPr>
          <w:sz w:val="18"/>
          <w:szCs w:val="18"/>
        </w:rPr>
        <w:t>potencijalnog</w:t>
      </w:r>
      <w:proofErr w:type="spellEnd"/>
      <w:r w:rsidRPr="003A1838">
        <w:rPr>
          <w:sz w:val="18"/>
          <w:szCs w:val="18"/>
        </w:rPr>
        <w:t xml:space="preserve"> </w:t>
      </w:r>
      <w:proofErr w:type="spellStart"/>
      <w:r w:rsidRPr="003A1838">
        <w:rPr>
          <w:sz w:val="18"/>
          <w:szCs w:val="18"/>
        </w:rPr>
        <w:t>tuženika</w:t>
      </w:r>
      <w:proofErr w:type="spellEnd"/>
      <w:r w:rsidRPr="003A1838">
        <w:rPr>
          <w:sz w:val="18"/>
          <w:szCs w:val="18"/>
        </w:rPr>
        <w:t xml:space="preserve"> u </w:t>
      </w:r>
      <w:proofErr w:type="spellStart"/>
      <w:r w:rsidRPr="003A1838">
        <w:rPr>
          <w:sz w:val="18"/>
          <w:szCs w:val="18"/>
        </w:rPr>
        <w:t>zamoljenoj</w:t>
      </w:r>
      <w:proofErr w:type="spellEnd"/>
      <w:r w:rsidRPr="003A1838">
        <w:rPr>
          <w:sz w:val="18"/>
          <w:szCs w:val="18"/>
        </w:rPr>
        <w:t xml:space="preserve"> </w:t>
      </w:r>
      <w:proofErr w:type="spellStart"/>
      <w:r w:rsidRPr="003A1838">
        <w:rPr>
          <w:sz w:val="18"/>
          <w:szCs w:val="18"/>
        </w:rPr>
        <w:t>državi</w:t>
      </w:r>
      <w:proofErr w:type="spellEnd"/>
      <w:r w:rsidRPr="003A1838">
        <w:rPr>
          <w:sz w:val="18"/>
          <w:szCs w:val="18"/>
        </w:rPr>
        <w:t xml:space="preserve"> </w:t>
      </w:r>
      <w:proofErr w:type="spellStart"/>
      <w:r w:rsidRPr="003A1838">
        <w:rPr>
          <w:sz w:val="18"/>
          <w:szCs w:val="18"/>
        </w:rPr>
        <w:t>članici</w:t>
      </w:r>
      <w:proofErr w:type="spellEnd"/>
      <w:r w:rsidRPr="003A1838">
        <w:rPr>
          <w:sz w:val="18"/>
          <w:szCs w:val="18"/>
        </w:rPr>
        <w:t>.</w:t>
      </w:r>
      <w:proofErr w:type="gramEnd"/>
      <w:r w:rsidRPr="003A1838">
        <w:rPr>
          <w:sz w:val="18"/>
          <w:szCs w:val="18"/>
        </w:rPr>
        <w:t xml:space="preserve"> U </w:t>
      </w:r>
      <w:proofErr w:type="spellStart"/>
      <w:r w:rsidRPr="003A1838">
        <w:rPr>
          <w:sz w:val="18"/>
          <w:szCs w:val="18"/>
        </w:rPr>
        <w:t>slučaju</w:t>
      </w:r>
      <w:proofErr w:type="spellEnd"/>
      <w:r w:rsidRPr="003A1838">
        <w:rPr>
          <w:sz w:val="18"/>
          <w:szCs w:val="18"/>
        </w:rPr>
        <w:t xml:space="preserve"> </w:t>
      </w:r>
      <w:proofErr w:type="spellStart"/>
      <w:r w:rsidRPr="003A1838">
        <w:rPr>
          <w:sz w:val="18"/>
          <w:szCs w:val="18"/>
        </w:rPr>
        <w:t>zahtjeva</w:t>
      </w:r>
      <w:proofErr w:type="spellEnd"/>
      <w:r w:rsidRPr="003A1838">
        <w:rPr>
          <w:sz w:val="18"/>
          <w:szCs w:val="18"/>
        </w:rPr>
        <w:t xml:space="preserve"> u </w:t>
      </w:r>
      <w:proofErr w:type="spellStart"/>
      <w:r w:rsidRPr="003A1838">
        <w:rPr>
          <w:sz w:val="18"/>
          <w:szCs w:val="18"/>
        </w:rPr>
        <w:t>svrhu</w:t>
      </w:r>
      <w:proofErr w:type="spellEnd"/>
      <w:r w:rsidRPr="003A1838">
        <w:rPr>
          <w:sz w:val="18"/>
          <w:szCs w:val="18"/>
        </w:rPr>
        <w:t xml:space="preserve"> </w:t>
      </w:r>
      <w:proofErr w:type="spellStart"/>
      <w:r w:rsidRPr="003A1838">
        <w:rPr>
          <w:sz w:val="18"/>
          <w:szCs w:val="18"/>
        </w:rPr>
        <w:t>priznanja</w:t>
      </w:r>
      <w:proofErr w:type="spellEnd"/>
      <w:r w:rsidRPr="003A1838">
        <w:rPr>
          <w:sz w:val="18"/>
          <w:szCs w:val="18"/>
        </w:rPr>
        <w:t xml:space="preserve">, </w:t>
      </w:r>
      <w:proofErr w:type="spellStart"/>
      <w:r w:rsidRPr="003A1838">
        <w:rPr>
          <w:sz w:val="18"/>
          <w:szCs w:val="18"/>
        </w:rPr>
        <w:t>izvršivosti</w:t>
      </w:r>
      <w:proofErr w:type="spellEnd"/>
      <w:r w:rsidRPr="003A1838">
        <w:rPr>
          <w:sz w:val="18"/>
          <w:szCs w:val="18"/>
        </w:rPr>
        <w:t xml:space="preserve"> </w:t>
      </w:r>
      <w:proofErr w:type="spellStart"/>
      <w:proofErr w:type="gramStart"/>
      <w:r w:rsidRPr="003A1838">
        <w:rPr>
          <w:sz w:val="18"/>
          <w:szCs w:val="18"/>
        </w:rPr>
        <w:t>ili</w:t>
      </w:r>
      <w:proofErr w:type="spellEnd"/>
      <w:proofErr w:type="gramEnd"/>
      <w:r w:rsidRPr="003A1838">
        <w:rPr>
          <w:sz w:val="18"/>
          <w:szCs w:val="18"/>
        </w:rPr>
        <w:t xml:space="preserve"> </w:t>
      </w:r>
      <w:proofErr w:type="spellStart"/>
      <w:r w:rsidRPr="003A1838">
        <w:rPr>
          <w:sz w:val="18"/>
          <w:szCs w:val="18"/>
        </w:rPr>
        <w:t>izvršenja</w:t>
      </w:r>
      <w:proofErr w:type="spellEnd"/>
      <w:r w:rsidRPr="003A1838">
        <w:rPr>
          <w:sz w:val="18"/>
          <w:szCs w:val="18"/>
        </w:rPr>
        <w:t xml:space="preserve">, u </w:t>
      </w:r>
      <w:proofErr w:type="spellStart"/>
      <w:r w:rsidRPr="003A1838">
        <w:rPr>
          <w:sz w:val="18"/>
          <w:szCs w:val="18"/>
        </w:rPr>
        <w:t>priopćenju</w:t>
      </w:r>
      <w:proofErr w:type="spellEnd"/>
      <w:r w:rsidRPr="003A1838">
        <w:rPr>
          <w:sz w:val="18"/>
          <w:szCs w:val="18"/>
        </w:rPr>
        <w:t xml:space="preserve"> se </w:t>
      </w:r>
      <w:proofErr w:type="spellStart"/>
      <w:r w:rsidRPr="003A1838">
        <w:rPr>
          <w:sz w:val="18"/>
          <w:szCs w:val="18"/>
        </w:rPr>
        <w:t>dodatno</w:t>
      </w:r>
      <w:proofErr w:type="spellEnd"/>
      <w:r w:rsidRPr="003A1838">
        <w:rPr>
          <w:sz w:val="18"/>
          <w:szCs w:val="18"/>
        </w:rPr>
        <w:t xml:space="preserve"> </w:t>
      </w:r>
      <w:proofErr w:type="spellStart"/>
      <w:r w:rsidRPr="003A1838">
        <w:rPr>
          <w:sz w:val="18"/>
          <w:szCs w:val="18"/>
        </w:rPr>
        <w:t>može</w:t>
      </w:r>
      <w:proofErr w:type="spellEnd"/>
      <w:r w:rsidRPr="003A1838">
        <w:rPr>
          <w:sz w:val="18"/>
          <w:szCs w:val="18"/>
        </w:rPr>
        <w:t xml:space="preserve"> </w:t>
      </w:r>
      <w:proofErr w:type="spellStart"/>
      <w:r w:rsidRPr="003A1838">
        <w:rPr>
          <w:sz w:val="18"/>
          <w:szCs w:val="18"/>
        </w:rPr>
        <w:t>navesti</w:t>
      </w:r>
      <w:proofErr w:type="spellEnd"/>
      <w:r w:rsidRPr="003A1838">
        <w:rPr>
          <w:sz w:val="18"/>
          <w:szCs w:val="18"/>
        </w:rPr>
        <w:t xml:space="preserve"> </w:t>
      </w:r>
      <w:proofErr w:type="spellStart"/>
      <w:r w:rsidRPr="003A1838">
        <w:rPr>
          <w:sz w:val="18"/>
          <w:szCs w:val="18"/>
        </w:rPr>
        <w:t>samo</w:t>
      </w:r>
      <w:proofErr w:type="spellEnd"/>
      <w:r w:rsidRPr="003A1838">
        <w:rPr>
          <w:sz w:val="18"/>
          <w:szCs w:val="18"/>
        </w:rPr>
        <w:t xml:space="preserve"> </w:t>
      </w:r>
      <w:proofErr w:type="spellStart"/>
      <w:r w:rsidRPr="003A1838">
        <w:rPr>
          <w:sz w:val="18"/>
          <w:szCs w:val="18"/>
        </w:rPr>
        <w:t>ima</w:t>
      </w:r>
      <w:proofErr w:type="spellEnd"/>
      <w:r w:rsidRPr="003A1838">
        <w:rPr>
          <w:sz w:val="18"/>
          <w:szCs w:val="18"/>
        </w:rPr>
        <w:t xml:space="preserve"> li </w:t>
      </w:r>
      <w:proofErr w:type="spellStart"/>
      <w:r w:rsidRPr="003A1838">
        <w:rPr>
          <w:sz w:val="18"/>
          <w:szCs w:val="18"/>
        </w:rPr>
        <w:t>obveznik</w:t>
      </w:r>
      <w:proofErr w:type="spellEnd"/>
      <w:r w:rsidRPr="003A1838">
        <w:rPr>
          <w:sz w:val="18"/>
          <w:szCs w:val="18"/>
        </w:rPr>
        <w:t xml:space="preserve"> </w:t>
      </w:r>
      <w:proofErr w:type="spellStart"/>
      <w:r w:rsidRPr="003A1838">
        <w:rPr>
          <w:sz w:val="18"/>
          <w:szCs w:val="18"/>
        </w:rPr>
        <w:t>uzdržavanja</w:t>
      </w:r>
      <w:proofErr w:type="spellEnd"/>
      <w:r w:rsidRPr="003A1838">
        <w:rPr>
          <w:sz w:val="18"/>
          <w:szCs w:val="18"/>
        </w:rPr>
        <w:t xml:space="preserve"> </w:t>
      </w:r>
      <w:proofErr w:type="spellStart"/>
      <w:r w:rsidRPr="003A1838">
        <w:rPr>
          <w:sz w:val="18"/>
          <w:szCs w:val="18"/>
        </w:rPr>
        <w:t>dohodak</w:t>
      </w:r>
      <w:proofErr w:type="spellEnd"/>
      <w:r w:rsidRPr="003A1838">
        <w:rPr>
          <w:sz w:val="18"/>
          <w:szCs w:val="18"/>
        </w:rPr>
        <w:t xml:space="preserve"> </w:t>
      </w:r>
      <w:proofErr w:type="spellStart"/>
      <w:r w:rsidRPr="003A1838">
        <w:rPr>
          <w:sz w:val="18"/>
          <w:szCs w:val="18"/>
        </w:rPr>
        <w:t>ili</w:t>
      </w:r>
      <w:proofErr w:type="spellEnd"/>
      <w:r w:rsidRPr="003A1838">
        <w:rPr>
          <w:sz w:val="18"/>
          <w:szCs w:val="18"/>
        </w:rPr>
        <w:t xml:space="preserve"> </w:t>
      </w:r>
      <w:proofErr w:type="spellStart"/>
      <w:r w:rsidRPr="003A1838">
        <w:rPr>
          <w:sz w:val="18"/>
          <w:szCs w:val="18"/>
        </w:rPr>
        <w:t>imovinu</w:t>
      </w:r>
      <w:proofErr w:type="spellEnd"/>
      <w:r w:rsidRPr="003A1838">
        <w:rPr>
          <w:sz w:val="18"/>
          <w:szCs w:val="18"/>
        </w:rPr>
        <w:t xml:space="preserve"> u </w:t>
      </w:r>
      <w:proofErr w:type="spellStart"/>
      <w:r w:rsidRPr="003A1838">
        <w:rPr>
          <w:sz w:val="18"/>
          <w:szCs w:val="18"/>
        </w:rPr>
        <w:t>toj</w:t>
      </w:r>
      <w:proofErr w:type="spellEnd"/>
      <w:r w:rsidRPr="003A1838">
        <w:rPr>
          <w:sz w:val="18"/>
          <w:szCs w:val="18"/>
        </w:rPr>
        <w:t xml:space="preserve"> </w:t>
      </w:r>
      <w:proofErr w:type="spellStart"/>
      <w:r w:rsidRPr="003A1838">
        <w:rPr>
          <w:sz w:val="18"/>
          <w:szCs w:val="18"/>
        </w:rPr>
        <w:t>državi</w:t>
      </w:r>
      <w:proofErr w:type="spellEnd"/>
      <w:r w:rsidRPr="003A1838">
        <w:rPr>
          <w:sz w:val="18"/>
          <w:szCs w:val="18"/>
        </w:rPr>
        <w:t xml:space="preserve"> </w:t>
      </w:r>
      <w:proofErr w:type="spellStart"/>
      <w:r w:rsidRPr="003A1838">
        <w:rPr>
          <w:sz w:val="18"/>
          <w:szCs w:val="18"/>
        </w:rPr>
        <w:t>članici</w:t>
      </w:r>
      <w:proofErr w:type="spellEnd"/>
      <w:r w:rsidRPr="003A1838">
        <w:rPr>
          <w:sz w:val="18"/>
          <w:szCs w:val="18"/>
        </w:rPr>
        <w:t>.</w:t>
      </w:r>
    </w:p>
  </w:footnote>
  <w:footnote w:id="24">
    <w:p w:rsidR="003A1838" w:rsidRPr="003A1838" w:rsidRDefault="003A1838" w:rsidP="003A1838">
      <w:pPr>
        <w:pStyle w:val="FootnoteText"/>
        <w:jc w:val="both"/>
        <w:rPr>
          <w:sz w:val="18"/>
          <w:szCs w:val="18"/>
        </w:rPr>
      </w:pPr>
      <w:r w:rsidRPr="003A1838">
        <w:rPr>
          <w:rStyle w:val="FootnoteReference"/>
          <w:sz w:val="18"/>
          <w:szCs w:val="18"/>
        </w:rPr>
        <w:footnoteRef/>
      </w:r>
      <w:r w:rsidRPr="003A1838">
        <w:rPr>
          <w:sz w:val="18"/>
          <w:szCs w:val="18"/>
        </w:rPr>
        <w:t xml:space="preserve"> </w:t>
      </w:r>
      <w:proofErr w:type="gramStart"/>
      <w:r w:rsidRPr="003A1838">
        <w:rPr>
          <w:sz w:val="18"/>
          <w:szCs w:val="18"/>
        </w:rPr>
        <w:t xml:space="preserve">U </w:t>
      </w:r>
      <w:proofErr w:type="spellStart"/>
      <w:r w:rsidRPr="003A1838">
        <w:rPr>
          <w:sz w:val="18"/>
          <w:szCs w:val="18"/>
        </w:rPr>
        <w:t>skladu</w:t>
      </w:r>
      <w:proofErr w:type="spellEnd"/>
      <w:r w:rsidRPr="003A1838">
        <w:rPr>
          <w:sz w:val="18"/>
          <w:szCs w:val="18"/>
        </w:rPr>
        <w:t xml:space="preserve"> s </w:t>
      </w:r>
      <w:proofErr w:type="spellStart"/>
      <w:r w:rsidRPr="003A1838">
        <w:rPr>
          <w:sz w:val="18"/>
          <w:szCs w:val="18"/>
        </w:rPr>
        <w:t>čl</w:t>
      </w:r>
      <w:proofErr w:type="spellEnd"/>
      <w:r w:rsidRPr="003A1838">
        <w:rPr>
          <w:sz w:val="18"/>
          <w:szCs w:val="18"/>
        </w:rPr>
        <w:t>.</w:t>
      </w:r>
      <w:proofErr w:type="gramEnd"/>
      <w:r w:rsidRPr="003A1838">
        <w:rPr>
          <w:sz w:val="18"/>
          <w:szCs w:val="18"/>
        </w:rPr>
        <w:t xml:space="preserve"> 20. </w:t>
      </w:r>
      <w:proofErr w:type="spellStart"/>
      <w:r w:rsidRPr="003A1838">
        <w:rPr>
          <w:sz w:val="18"/>
          <w:szCs w:val="18"/>
        </w:rPr>
        <w:t>st.</w:t>
      </w:r>
      <w:proofErr w:type="spellEnd"/>
      <w:r w:rsidRPr="003A1838">
        <w:rPr>
          <w:sz w:val="18"/>
          <w:szCs w:val="18"/>
        </w:rPr>
        <w:t xml:space="preserve"> 1</w:t>
      </w:r>
      <w:proofErr w:type="gramStart"/>
      <w:r w:rsidRPr="003A1838">
        <w:rPr>
          <w:sz w:val="18"/>
          <w:szCs w:val="18"/>
        </w:rPr>
        <w:t>.(</w:t>
      </w:r>
      <w:proofErr w:type="gramEnd"/>
      <w:r w:rsidRPr="003A1838">
        <w:rPr>
          <w:sz w:val="18"/>
          <w:szCs w:val="18"/>
        </w:rPr>
        <w:t xml:space="preserve">d) i 28. </w:t>
      </w:r>
      <w:proofErr w:type="spellStart"/>
      <w:r w:rsidRPr="003A1838">
        <w:rPr>
          <w:sz w:val="18"/>
          <w:szCs w:val="18"/>
        </w:rPr>
        <w:t>st.</w:t>
      </w:r>
      <w:proofErr w:type="spellEnd"/>
      <w:r w:rsidRPr="003A1838">
        <w:rPr>
          <w:sz w:val="18"/>
          <w:szCs w:val="18"/>
        </w:rPr>
        <w:t xml:space="preserve"> 1.(c) </w:t>
      </w:r>
      <w:proofErr w:type="spellStart"/>
      <w:r w:rsidRPr="003A1838">
        <w:rPr>
          <w:sz w:val="18"/>
          <w:szCs w:val="18"/>
        </w:rPr>
        <w:t>Uredbe</w:t>
      </w:r>
      <w:proofErr w:type="spellEnd"/>
      <w:r w:rsidRPr="003A1838">
        <w:rPr>
          <w:sz w:val="18"/>
          <w:szCs w:val="18"/>
        </w:rPr>
        <w:t xml:space="preserve"> o </w:t>
      </w:r>
      <w:proofErr w:type="spellStart"/>
      <w:r w:rsidRPr="003A1838">
        <w:rPr>
          <w:sz w:val="18"/>
          <w:szCs w:val="18"/>
        </w:rPr>
        <w:t>uzdržavanju</w:t>
      </w:r>
      <w:proofErr w:type="spellEnd"/>
      <w:r w:rsidRPr="003A1838">
        <w:rPr>
          <w:sz w:val="18"/>
          <w:szCs w:val="18"/>
        </w:rPr>
        <w:t xml:space="preserve">, </w:t>
      </w:r>
      <w:proofErr w:type="spellStart"/>
      <w:r w:rsidRPr="003A1838">
        <w:rPr>
          <w:sz w:val="18"/>
          <w:szCs w:val="18"/>
        </w:rPr>
        <w:t>kada</w:t>
      </w:r>
      <w:proofErr w:type="spellEnd"/>
      <w:r w:rsidRPr="003A1838">
        <w:rPr>
          <w:sz w:val="18"/>
          <w:szCs w:val="18"/>
        </w:rPr>
        <w:t xml:space="preserve"> je </w:t>
      </w:r>
      <w:proofErr w:type="spellStart"/>
      <w:r w:rsidRPr="003A1838">
        <w:rPr>
          <w:sz w:val="18"/>
          <w:szCs w:val="18"/>
        </w:rPr>
        <w:t>potrebno</w:t>
      </w:r>
      <w:proofErr w:type="spellEnd"/>
      <w:r w:rsidRPr="003A1838">
        <w:rPr>
          <w:sz w:val="18"/>
          <w:szCs w:val="18"/>
        </w:rPr>
        <w:t xml:space="preserve">, </w:t>
      </w:r>
      <w:proofErr w:type="spellStart"/>
      <w:r w:rsidRPr="003A1838">
        <w:rPr>
          <w:sz w:val="18"/>
          <w:szCs w:val="18"/>
        </w:rPr>
        <w:t>kod</w:t>
      </w:r>
      <w:proofErr w:type="spellEnd"/>
      <w:r w:rsidRPr="003A1838">
        <w:rPr>
          <w:sz w:val="18"/>
          <w:szCs w:val="18"/>
        </w:rPr>
        <w:t xml:space="preserve"> </w:t>
      </w:r>
      <w:proofErr w:type="spellStart"/>
      <w:r w:rsidRPr="003A1838">
        <w:rPr>
          <w:sz w:val="18"/>
          <w:szCs w:val="18"/>
        </w:rPr>
        <w:t>podnošenja</w:t>
      </w:r>
      <w:proofErr w:type="spellEnd"/>
      <w:r w:rsidRPr="003A1838">
        <w:rPr>
          <w:sz w:val="18"/>
          <w:szCs w:val="18"/>
        </w:rPr>
        <w:t xml:space="preserve"> </w:t>
      </w:r>
      <w:proofErr w:type="spellStart"/>
      <w:r w:rsidRPr="003A1838">
        <w:rPr>
          <w:sz w:val="18"/>
          <w:szCs w:val="18"/>
        </w:rPr>
        <w:t>zahtjeva</w:t>
      </w:r>
      <w:proofErr w:type="spellEnd"/>
      <w:r w:rsidRPr="003A1838">
        <w:rPr>
          <w:sz w:val="18"/>
          <w:szCs w:val="18"/>
        </w:rPr>
        <w:t xml:space="preserve"> </w:t>
      </w:r>
      <w:proofErr w:type="spellStart"/>
      <w:r w:rsidRPr="003A1838">
        <w:rPr>
          <w:sz w:val="18"/>
          <w:szCs w:val="18"/>
        </w:rPr>
        <w:t>za</w:t>
      </w:r>
      <w:proofErr w:type="spellEnd"/>
      <w:r w:rsidRPr="003A1838">
        <w:rPr>
          <w:sz w:val="18"/>
          <w:szCs w:val="18"/>
        </w:rPr>
        <w:t xml:space="preserve"> </w:t>
      </w:r>
      <w:proofErr w:type="spellStart"/>
      <w:r w:rsidRPr="003A1838">
        <w:rPr>
          <w:sz w:val="18"/>
          <w:szCs w:val="18"/>
        </w:rPr>
        <w:t>priznavanje</w:t>
      </w:r>
      <w:proofErr w:type="spellEnd"/>
      <w:r w:rsidRPr="003A1838">
        <w:rPr>
          <w:sz w:val="18"/>
          <w:szCs w:val="18"/>
        </w:rPr>
        <w:t xml:space="preserve"> </w:t>
      </w:r>
      <w:proofErr w:type="spellStart"/>
      <w:r w:rsidRPr="003A1838">
        <w:rPr>
          <w:sz w:val="18"/>
          <w:szCs w:val="18"/>
        </w:rPr>
        <w:t>ili</w:t>
      </w:r>
      <w:proofErr w:type="spellEnd"/>
      <w:r w:rsidRPr="003A1838">
        <w:rPr>
          <w:sz w:val="18"/>
          <w:szCs w:val="18"/>
        </w:rPr>
        <w:t xml:space="preserve"> </w:t>
      </w:r>
      <w:proofErr w:type="spellStart"/>
      <w:r w:rsidRPr="003A1838">
        <w:rPr>
          <w:sz w:val="18"/>
          <w:szCs w:val="18"/>
        </w:rPr>
        <w:t>priznavanje</w:t>
      </w:r>
      <w:proofErr w:type="spellEnd"/>
      <w:r w:rsidRPr="003A1838">
        <w:rPr>
          <w:sz w:val="18"/>
          <w:szCs w:val="18"/>
        </w:rPr>
        <w:t xml:space="preserve"> i </w:t>
      </w:r>
      <w:proofErr w:type="spellStart"/>
      <w:r w:rsidRPr="003A1838">
        <w:rPr>
          <w:sz w:val="18"/>
          <w:szCs w:val="18"/>
        </w:rPr>
        <w:t>proglašenje</w:t>
      </w:r>
      <w:proofErr w:type="spellEnd"/>
      <w:r w:rsidRPr="003A1838">
        <w:rPr>
          <w:sz w:val="18"/>
          <w:szCs w:val="18"/>
        </w:rPr>
        <w:t xml:space="preserve"> </w:t>
      </w:r>
      <w:proofErr w:type="spellStart"/>
      <w:r w:rsidRPr="003A1838">
        <w:rPr>
          <w:sz w:val="18"/>
          <w:szCs w:val="18"/>
        </w:rPr>
        <w:t>izvršivosti</w:t>
      </w:r>
      <w:proofErr w:type="spellEnd"/>
      <w:r w:rsidRPr="003A1838">
        <w:rPr>
          <w:sz w:val="18"/>
          <w:szCs w:val="18"/>
        </w:rPr>
        <w:t xml:space="preserve"> </w:t>
      </w:r>
      <w:proofErr w:type="spellStart"/>
      <w:r w:rsidRPr="003A1838">
        <w:rPr>
          <w:sz w:val="18"/>
          <w:szCs w:val="18"/>
        </w:rPr>
        <w:t>sudske</w:t>
      </w:r>
      <w:proofErr w:type="spellEnd"/>
      <w:r w:rsidRPr="003A1838">
        <w:rPr>
          <w:sz w:val="18"/>
          <w:szCs w:val="18"/>
        </w:rPr>
        <w:t xml:space="preserve"> </w:t>
      </w:r>
      <w:proofErr w:type="spellStart"/>
      <w:r w:rsidRPr="003A1838">
        <w:rPr>
          <w:sz w:val="18"/>
          <w:szCs w:val="18"/>
        </w:rPr>
        <w:t>odluke</w:t>
      </w:r>
      <w:proofErr w:type="spellEnd"/>
      <w:r w:rsidRPr="003A1838">
        <w:rPr>
          <w:sz w:val="18"/>
          <w:szCs w:val="18"/>
        </w:rPr>
        <w:t xml:space="preserve">, </w:t>
      </w:r>
      <w:proofErr w:type="spellStart"/>
      <w:r w:rsidRPr="003A1838">
        <w:rPr>
          <w:sz w:val="18"/>
          <w:szCs w:val="18"/>
        </w:rPr>
        <w:t>izvod</w:t>
      </w:r>
      <w:proofErr w:type="spellEnd"/>
      <w:r w:rsidRPr="003A1838">
        <w:rPr>
          <w:sz w:val="18"/>
          <w:szCs w:val="18"/>
        </w:rPr>
        <w:t xml:space="preserve"> </w:t>
      </w:r>
      <w:proofErr w:type="spellStart"/>
      <w:r w:rsidRPr="003A1838">
        <w:rPr>
          <w:sz w:val="18"/>
          <w:szCs w:val="18"/>
        </w:rPr>
        <w:t>iz</w:t>
      </w:r>
      <w:proofErr w:type="spellEnd"/>
      <w:r w:rsidRPr="003A1838">
        <w:rPr>
          <w:sz w:val="18"/>
          <w:szCs w:val="18"/>
        </w:rPr>
        <w:t xml:space="preserve"> </w:t>
      </w:r>
      <w:proofErr w:type="spellStart"/>
      <w:r w:rsidRPr="003A1838">
        <w:rPr>
          <w:sz w:val="18"/>
          <w:szCs w:val="18"/>
        </w:rPr>
        <w:t>odluke</w:t>
      </w:r>
      <w:proofErr w:type="spellEnd"/>
      <w:r w:rsidRPr="003A1838">
        <w:rPr>
          <w:sz w:val="18"/>
          <w:szCs w:val="18"/>
        </w:rPr>
        <w:t xml:space="preserve"> </w:t>
      </w:r>
      <w:proofErr w:type="spellStart"/>
      <w:r w:rsidRPr="003A1838">
        <w:rPr>
          <w:sz w:val="18"/>
          <w:szCs w:val="18"/>
        </w:rPr>
        <w:t>koju</w:t>
      </w:r>
      <w:proofErr w:type="spellEnd"/>
      <w:r w:rsidRPr="003A1838">
        <w:rPr>
          <w:sz w:val="18"/>
          <w:szCs w:val="18"/>
        </w:rPr>
        <w:t xml:space="preserve"> je </w:t>
      </w:r>
      <w:proofErr w:type="spellStart"/>
      <w:r w:rsidRPr="003A1838">
        <w:rPr>
          <w:sz w:val="18"/>
          <w:szCs w:val="18"/>
        </w:rPr>
        <w:t>donio</w:t>
      </w:r>
      <w:proofErr w:type="spellEnd"/>
      <w:r w:rsidRPr="003A1838">
        <w:rPr>
          <w:sz w:val="18"/>
          <w:szCs w:val="18"/>
        </w:rPr>
        <w:t xml:space="preserve"> </w:t>
      </w:r>
      <w:proofErr w:type="spellStart"/>
      <w:r w:rsidRPr="003A1838">
        <w:rPr>
          <w:sz w:val="18"/>
          <w:szCs w:val="18"/>
        </w:rPr>
        <w:t>sud</w:t>
      </w:r>
      <w:proofErr w:type="spellEnd"/>
      <w:r w:rsidRPr="003A1838">
        <w:rPr>
          <w:sz w:val="18"/>
          <w:szCs w:val="18"/>
        </w:rPr>
        <w:t xml:space="preserve"> </w:t>
      </w:r>
      <w:proofErr w:type="spellStart"/>
      <w:r w:rsidRPr="003A1838">
        <w:rPr>
          <w:sz w:val="18"/>
          <w:szCs w:val="18"/>
        </w:rPr>
        <w:t>podrijetla</w:t>
      </w:r>
      <w:proofErr w:type="spellEnd"/>
      <w:r w:rsidRPr="003A1838">
        <w:rPr>
          <w:sz w:val="18"/>
          <w:szCs w:val="18"/>
        </w:rPr>
        <w:t xml:space="preserve"> </w:t>
      </w:r>
      <w:proofErr w:type="spellStart"/>
      <w:r w:rsidRPr="003A1838">
        <w:rPr>
          <w:sz w:val="18"/>
          <w:szCs w:val="18"/>
        </w:rPr>
        <w:t>uporabom</w:t>
      </w:r>
      <w:proofErr w:type="spellEnd"/>
      <w:r w:rsidRPr="003A1838">
        <w:rPr>
          <w:sz w:val="18"/>
          <w:szCs w:val="18"/>
        </w:rPr>
        <w:t xml:space="preserve"> </w:t>
      </w:r>
      <w:proofErr w:type="spellStart"/>
      <w:r w:rsidRPr="003A1838">
        <w:rPr>
          <w:sz w:val="18"/>
          <w:szCs w:val="18"/>
        </w:rPr>
        <w:t>obrasca</w:t>
      </w:r>
      <w:proofErr w:type="spellEnd"/>
      <w:r w:rsidRPr="003A1838">
        <w:rPr>
          <w:sz w:val="18"/>
          <w:szCs w:val="18"/>
        </w:rPr>
        <w:t xml:space="preserve"> </w:t>
      </w:r>
      <w:proofErr w:type="spellStart"/>
      <w:r w:rsidRPr="003A1838">
        <w:rPr>
          <w:sz w:val="18"/>
          <w:szCs w:val="18"/>
        </w:rPr>
        <w:t>iz</w:t>
      </w:r>
      <w:proofErr w:type="spellEnd"/>
      <w:r w:rsidRPr="003A1838">
        <w:rPr>
          <w:sz w:val="18"/>
          <w:szCs w:val="18"/>
        </w:rPr>
        <w:t xml:space="preserve"> </w:t>
      </w:r>
      <w:proofErr w:type="spellStart"/>
      <w:r w:rsidRPr="003A1838">
        <w:rPr>
          <w:sz w:val="18"/>
          <w:szCs w:val="18"/>
        </w:rPr>
        <w:t>Priloga</w:t>
      </w:r>
      <w:proofErr w:type="spellEnd"/>
      <w:r w:rsidRPr="003A1838">
        <w:rPr>
          <w:sz w:val="18"/>
          <w:szCs w:val="18"/>
        </w:rPr>
        <w:t xml:space="preserve"> I </w:t>
      </w:r>
      <w:proofErr w:type="spellStart"/>
      <w:r w:rsidRPr="003A1838">
        <w:rPr>
          <w:sz w:val="18"/>
          <w:szCs w:val="18"/>
        </w:rPr>
        <w:t>ili</w:t>
      </w:r>
      <w:proofErr w:type="spellEnd"/>
      <w:r w:rsidRPr="003A1838">
        <w:rPr>
          <w:sz w:val="18"/>
          <w:szCs w:val="18"/>
        </w:rPr>
        <w:t xml:space="preserve"> </w:t>
      </w:r>
      <w:proofErr w:type="spellStart"/>
      <w:r w:rsidRPr="003A1838">
        <w:rPr>
          <w:sz w:val="18"/>
          <w:szCs w:val="18"/>
        </w:rPr>
        <w:t>priloga</w:t>
      </w:r>
      <w:proofErr w:type="spellEnd"/>
      <w:r w:rsidRPr="003A1838">
        <w:rPr>
          <w:sz w:val="18"/>
          <w:szCs w:val="18"/>
        </w:rPr>
        <w:t xml:space="preserve"> II </w:t>
      </w:r>
      <w:proofErr w:type="spellStart"/>
      <w:r w:rsidRPr="003A1838">
        <w:rPr>
          <w:sz w:val="18"/>
          <w:szCs w:val="18"/>
        </w:rPr>
        <w:t>mora</w:t>
      </w:r>
      <w:proofErr w:type="spellEnd"/>
      <w:r w:rsidRPr="003A1838">
        <w:rPr>
          <w:sz w:val="18"/>
          <w:szCs w:val="18"/>
        </w:rPr>
        <w:t xml:space="preserve"> </w:t>
      </w:r>
      <w:proofErr w:type="spellStart"/>
      <w:r w:rsidRPr="003A1838">
        <w:rPr>
          <w:sz w:val="18"/>
          <w:szCs w:val="18"/>
        </w:rPr>
        <w:t>biti</w:t>
      </w:r>
      <w:proofErr w:type="spellEnd"/>
      <w:r w:rsidRPr="003A1838">
        <w:rPr>
          <w:sz w:val="18"/>
          <w:szCs w:val="18"/>
        </w:rPr>
        <w:t xml:space="preserve"> </w:t>
      </w:r>
      <w:proofErr w:type="spellStart"/>
      <w:r w:rsidRPr="003A1838">
        <w:rPr>
          <w:sz w:val="18"/>
          <w:szCs w:val="18"/>
        </w:rPr>
        <w:t>transliteriran</w:t>
      </w:r>
      <w:proofErr w:type="spellEnd"/>
      <w:r w:rsidRPr="003A1838">
        <w:rPr>
          <w:sz w:val="18"/>
          <w:szCs w:val="18"/>
        </w:rPr>
        <w:t xml:space="preserve"> </w:t>
      </w:r>
      <w:proofErr w:type="spellStart"/>
      <w:r w:rsidRPr="003A1838">
        <w:rPr>
          <w:sz w:val="18"/>
          <w:szCs w:val="18"/>
        </w:rPr>
        <w:t>ili</w:t>
      </w:r>
      <w:proofErr w:type="spellEnd"/>
      <w:r w:rsidRPr="003A1838">
        <w:rPr>
          <w:sz w:val="18"/>
          <w:szCs w:val="18"/>
        </w:rPr>
        <w:t xml:space="preserve"> </w:t>
      </w:r>
      <w:proofErr w:type="spellStart"/>
      <w:r w:rsidRPr="003A1838">
        <w:rPr>
          <w:sz w:val="18"/>
          <w:szCs w:val="18"/>
        </w:rPr>
        <w:t>preveden</w:t>
      </w:r>
      <w:proofErr w:type="spellEnd"/>
      <w:r w:rsidRPr="003A1838">
        <w:rPr>
          <w:sz w:val="18"/>
          <w:szCs w:val="18"/>
        </w:rPr>
        <w:t xml:space="preserve"> </w:t>
      </w:r>
      <w:proofErr w:type="spellStart"/>
      <w:r w:rsidRPr="003A1838">
        <w:rPr>
          <w:sz w:val="18"/>
          <w:szCs w:val="18"/>
        </w:rPr>
        <w:t>na</w:t>
      </w:r>
      <w:proofErr w:type="spellEnd"/>
      <w:r w:rsidRPr="003A1838">
        <w:rPr>
          <w:sz w:val="18"/>
          <w:szCs w:val="18"/>
        </w:rPr>
        <w:t xml:space="preserve"> </w:t>
      </w:r>
      <w:proofErr w:type="spellStart"/>
      <w:r w:rsidRPr="003A1838">
        <w:rPr>
          <w:sz w:val="18"/>
          <w:szCs w:val="18"/>
        </w:rPr>
        <w:t>službeni</w:t>
      </w:r>
      <w:proofErr w:type="spellEnd"/>
      <w:r w:rsidRPr="003A1838">
        <w:rPr>
          <w:sz w:val="18"/>
          <w:szCs w:val="18"/>
        </w:rPr>
        <w:t xml:space="preserve"> </w:t>
      </w:r>
      <w:proofErr w:type="spellStart"/>
      <w:r w:rsidRPr="003A1838">
        <w:rPr>
          <w:sz w:val="18"/>
          <w:szCs w:val="18"/>
        </w:rPr>
        <w:t>jezik</w:t>
      </w:r>
      <w:proofErr w:type="spellEnd"/>
      <w:r w:rsidRPr="003A1838">
        <w:rPr>
          <w:sz w:val="18"/>
          <w:szCs w:val="18"/>
        </w:rPr>
        <w:t xml:space="preserve"> </w:t>
      </w:r>
      <w:proofErr w:type="spellStart"/>
      <w:r w:rsidRPr="003A1838">
        <w:rPr>
          <w:sz w:val="18"/>
          <w:szCs w:val="18"/>
        </w:rPr>
        <w:t>države</w:t>
      </w:r>
      <w:proofErr w:type="spellEnd"/>
      <w:r w:rsidRPr="003A1838">
        <w:rPr>
          <w:sz w:val="18"/>
          <w:szCs w:val="18"/>
        </w:rPr>
        <w:t xml:space="preserve"> </w:t>
      </w:r>
      <w:proofErr w:type="spellStart"/>
      <w:r w:rsidRPr="003A1838">
        <w:rPr>
          <w:sz w:val="18"/>
          <w:szCs w:val="18"/>
        </w:rPr>
        <w:t>članice</w:t>
      </w:r>
      <w:proofErr w:type="spellEnd"/>
      <w:r w:rsidRPr="003A1838">
        <w:rPr>
          <w:sz w:val="18"/>
          <w:szCs w:val="18"/>
        </w:rPr>
        <w:t xml:space="preserve"> </w:t>
      </w:r>
      <w:proofErr w:type="spellStart"/>
      <w:r w:rsidRPr="003A1838">
        <w:rPr>
          <w:sz w:val="18"/>
          <w:szCs w:val="18"/>
        </w:rPr>
        <w:t>koja</w:t>
      </w:r>
      <w:proofErr w:type="spellEnd"/>
      <w:r w:rsidRPr="003A1838">
        <w:rPr>
          <w:sz w:val="18"/>
          <w:szCs w:val="18"/>
        </w:rPr>
        <w:t xml:space="preserve"> </w:t>
      </w:r>
      <w:proofErr w:type="spellStart"/>
      <w:r w:rsidRPr="003A1838">
        <w:rPr>
          <w:sz w:val="18"/>
          <w:szCs w:val="18"/>
        </w:rPr>
        <w:t>obavlja</w:t>
      </w:r>
      <w:proofErr w:type="spellEnd"/>
      <w:r w:rsidRPr="003A1838">
        <w:rPr>
          <w:sz w:val="18"/>
          <w:szCs w:val="18"/>
        </w:rPr>
        <w:t xml:space="preserve"> </w:t>
      </w:r>
      <w:proofErr w:type="spellStart"/>
      <w:r w:rsidRPr="003A1838">
        <w:rPr>
          <w:sz w:val="18"/>
          <w:szCs w:val="18"/>
        </w:rPr>
        <w:t>izvršenje</w:t>
      </w:r>
      <w:proofErr w:type="spellEnd"/>
      <w:r w:rsidRPr="003A1838">
        <w:rPr>
          <w:sz w:val="18"/>
          <w:szCs w:val="18"/>
        </w:rPr>
        <w:t xml:space="preserve"> </w:t>
      </w:r>
      <w:proofErr w:type="spellStart"/>
      <w:r w:rsidRPr="003A1838">
        <w:rPr>
          <w:sz w:val="18"/>
          <w:szCs w:val="18"/>
        </w:rPr>
        <w:t>ili</w:t>
      </w:r>
      <w:proofErr w:type="spellEnd"/>
      <w:r w:rsidRPr="003A1838">
        <w:rPr>
          <w:sz w:val="18"/>
          <w:szCs w:val="18"/>
        </w:rPr>
        <w:t xml:space="preserve"> </w:t>
      </w:r>
      <w:proofErr w:type="spellStart"/>
      <w:r w:rsidRPr="003A1838">
        <w:rPr>
          <w:sz w:val="18"/>
          <w:szCs w:val="18"/>
        </w:rPr>
        <w:t>kad</w:t>
      </w:r>
      <w:proofErr w:type="spellEnd"/>
      <w:r w:rsidRPr="003A1838">
        <w:rPr>
          <w:sz w:val="18"/>
          <w:szCs w:val="18"/>
        </w:rPr>
        <w:t xml:space="preserve"> u </w:t>
      </w:r>
      <w:proofErr w:type="spellStart"/>
      <w:r w:rsidRPr="003A1838">
        <w:rPr>
          <w:sz w:val="18"/>
          <w:szCs w:val="18"/>
        </w:rPr>
        <w:t>državi</w:t>
      </w:r>
      <w:proofErr w:type="spellEnd"/>
      <w:r w:rsidRPr="003A1838">
        <w:rPr>
          <w:sz w:val="18"/>
          <w:szCs w:val="18"/>
        </w:rPr>
        <w:t xml:space="preserve"> </w:t>
      </w:r>
      <w:proofErr w:type="spellStart"/>
      <w:r w:rsidRPr="003A1838">
        <w:rPr>
          <w:sz w:val="18"/>
          <w:szCs w:val="18"/>
        </w:rPr>
        <w:t>članici</w:t>
      </w:r>
      <w:proofErr w:type="spellEnd"/>
      <w:r w:rsidRPr="003A1838">
        <w:rPr>
          <w:sz w:val="18"/>
          <w:szCs w:val="18"/>
        </w:rPr>
        <w:t xml:space="preserve"> </w:t>
      </w:r>
      <w:proofErr w:type="spellStart"/>
      <w:r w:rsidRPr="003A1838">
        <w:rPr>
          <w:sz w:val="18"/>
          <w:szCs w:val="18"/>
        </w:rPr>
        <w:t>ima</w:t>
      </w:r>
      <w:proofErr w:type="spellEnd"/>
      <w:r w:rsidRPr="003A1838">
        <w:rPr>
          <w:sz w:val="18"/>
          <w:szCs w:val="18"/>
        </w:rPr>
        <w:t xml:space="preserve"> </w:t>
      </w:r>
      <w:proofErr w:type="spellStart"/>
      <w:r w:rsidRPr="003A1838">
        <w:rPr>
          <w:sz w:val="18"/>
          <w:szCs w:val="18"/>
        </w:rPr>
        <w:t>više</w:t>
      </w:r>
      <w:proofErr w:type="spellEnd"/>
      <w:r w:rsidRPr="003A1838">
        <w:rPr>
          <w:sz w:val="18"/>
          <w:szCs w:val="18"/>
        </w:rPr>
        <w:t xml:space="preserve"> </w:t>
      </w:r>
      <w:proofErr w:type="spellStart"/>
      <w:r w:rsidRPr="003A1838">
        <w:rPr>
          <w:sz w:val="18"/>
          <w:szCs w:val="18"/>
        </w:rPr>
        <w:t>službenih</w:t>
      </w:r>
      <w:proofErr w:type="spellEnd"/>
      <w:r w:rsidRPr="003A1838">
        <w:rPr>
          <w:sz w:val="18"/>
          <w:szCs w:val="18"/>
        </w:rPr>
        <w:t xml:space="preserve"> </w:t>
      </w:r>
      <w:proofErr w:type="spellStart"/>
      <w:r w:rsidRPr="003A1838">
        <w:rPr>
          <w:sz w:val="18"/>
          <w:szCs w:val="18"/>
        </w:rPr>
        <w:t>jezika</w:t>
      </w:r>
      <w:proofErr w:type="spellEnd"/>
      <w:r w:rsidRPr="003A1838">
        <w:rPr>
          <w:sz w:val="18"/>
          <w:szCs w:val="18"/>
        </w:rPr>
        <w:t xml:space="preserve">, </w:t>
      </w:r>
      <w:proofErr w:type="spellStart"/>
      <w:r w:rsidRPr="003A1838">
        <w:rPr>
          <w:sz w:val="18"/>
          <w:szCs w:val="18"/>
        </w:rPr>
        <w:t>na</w:t>
      </w:r>
      <w:proofErr w:type="spellEnd"/>
      <w:r w:rsidRPr="003A1838">
        <w:rPr>
          <w:sz w:val="18"/>
          <w:szCs w:val="18"/>
        </w:rPr>
        <w:t xml:space="preserve"> </w:t>
      </w:r>
      <w:proofErr w:type="spellStart"/>
      <w:r w:rsidRPr="003A1838">
        <w:rPr>
          <w:sz w:val="18"/>
          <w:szCs w:val="18"/>
        </w:rPr>
        <w:t>službeni</w:t>
      </w:r>
      <w:proofErr w:type="spellEnd"/>
      <w:r w:rsidRPr="003A1838">
        <w:rPr>
          <w:sz w:val="18"/>
          <w:szCs w:val="18"/>
        </w:rPr>
        <w:t xml:space="preserve"> </w:t>
      </w:r>
      <w:proofErr w:type="spellStart"/>
      <w:r w:rsidRPr="003A1838">
        <w:rPr>
          <w:sz w:val="18"/>
          <w:szCs w:val="18"/>
        </w:rPr>
        <w:t>jezik</w:t>
      </w:r>
      <w:proofErr w:type="spellEnd"/>
      <w:r w:rsidRPr="003A1838">
        <w:rPr>
          <w:sz w:val="18"/>
          <w:szCs w:val="18"/>
        </w:rPr>
        <w:t xml:space="preserve"> </w:t>
      </w:r>
      <w:proofErr w:type="spellStart"/>
      <w:r w:rsidRPr="003A1838">
        <w:rPr>
          <w:sz w:val="18"/>
          <w:szCs w:val="18"/>
        </w:rPr>
        <w:t>ili</w:t>
      </w:r>
      <w:proofErr w:type="spellEnd"/>
      <w:r w:rsidRPr="003A1838">
        <w:rPr>
          <w:sz w:val="18"/>
          <w:szCs w:val="18"/>
        </w:rPr>
        <w:t xml:space="preserve"> </w:t>
      </w:r>
      <w:proofErr w:type="spellStart"/>
      <w:r w:rsidRPr="003A1838">
        <w:rPr>
          <w:sz w:val="18"/>
          <w:szCs w:val="18"/>
        </w:rPr>
        <w:t>na</w:t>
      </w:r>
      <w:proofErr w:type="spellEnd"/>
      <w:r w:rsidRPr="003A1838">
        <w:rPr>
          <w:sz w:val="18"/>
          <w:szCs w:val="18"/>
        </w:rPr>
        <w:t xml:space="preserve"> </w:t>
      </w:r>
      <w:proofErr w:type="spellStart"/>
      <w:r w:rsidRPr="003A1838">
        <w:rPr>
          <w:sz w:val="18"/>
          <w:szCs w:val="18"/>
        </w:rPr>
        <w:t>jedan</w:t>
      </w:r>
      <w:proofErr w:type="spellEnd"/>
      <w:r w:rsidRPr="003A1838">
        <w:rPr>
          <w:sz w:val="18"/>
          <w:szCs w:val="18"/>
        </w:rPr>
        <w:t xml:space="preserve"> od </w:t>
      </w:r>
      <w:proofErr w:type="spellStart"/>
      <w:r w:rsidRPr="003A1838">
        <w:rPr>
          <w:sz w:val="18"/>
          <w:szCs w:val="18"/>
        </w:rPr>
        <w:t>službenih</w:t>
      </w:r>
      <w:proofErr w:type="spellEnd"/>
      <w:r w:rsidRPr="003A1838">
        <w:rPr>
          <w:sz w:val="18"/>
          <w:szCs w:val="18"/>
        </w:rPr>
        <w:t xml:space="preserve"> </w:t>
      </w:r>
      <w:proofErr w:type="spellStart"/>
      <w:r w:rsidRPr="003A1838">
        <w:rPr>
          <w:sz w:val="18"/>
          <w:szCs w:val="18"/>
        </w:rPr>
        <w:t>jezika</w:t>
      </w:r>
      <w:proofErr w:type="spellEnd"/>
      <w:r w:rsidRPr="003A1838">
        <w:rPr>
          <w:sz w:val="18"/>
          <w:szCs w:val="18"/>
        </w:rPr>
        <w:t xml:space="preserve"> </w:t>
      </w:r>
      <w:proofErr w:type="spellStart"/>
      <w:r w:rsidRPr="003A1838">
        <w:rPr>
          <w:sz w:val="18"/>
          <w:szCs w:val="18"/>
        </w:rPr>
        <w:t>sudskog</w:t>
      </w:r>
      <w:proofErr w:type="spellEnd"/>
      <w:r w:rsidRPr="003A1838">
        <w:rPr>
          <w:sz w:val="18"/>
          <w:szCs w:val="18"/>
        </w:rPr>
        <w:t xml:space="preserve"> </w:t>
      </w:r>
      <w:proofErr w:type="spellStart"/>
      <w:r w:rsidRPr="003A1838">
        <w:rPr>
          <w:sz w:val="18"/>
          <w:szCs w:val="18"/>
        </w:rPr>
        <w:t>postupka</w:t>
      </w:r>
      <w:proofErr w:type="spellEnd"/>
      <w:r w:rsidRPr="003A1838">
        <w:rPr>
          <w:sz w:val="18"/>
          <w:szCs w:val="18"/>
        </w:rPr>
        <w:t xml:space="preserve"> </w:t>
      </w:r>
      <w:proofErr w:type="spellStart"/>
      <w:r w:rsidRPr="003A1838">
        <w:rPr>
          <w:sz w:val="18"/>
          <w:szCs w:val="18"/>
        </w:rPr>
        <w:t>mjesta</w:t>
      </w:r>
      <w:proofErr w:type="spellEnd"/>
      <w:r w:rsidRPr="003A1838">
        <w:rPr>
          <w:sz w:val="18"/>
          <w:szCs w:val="18"/>
        </w:rPr>
        <w:t xml:space="preserve"> u </w:t>
      </w:r>
      <w:proofErr w:type="spellStart"/>
      <w:r w:rsidRPr="003A1838">
        <w:rPr>
          <w:sz w:val="18"/>
          <w:szCs w:val="18"/>
        </w:rPr>
        <w:t>kojem</w:t>
      </w:r>
      <w:proofErr w:type="spellEnd"/>
      <w:r w:rsidRPr="003A1838">
        <w:rPr>
          <w:sz w:val="18"/>
          <w:szCs w:val="18"/>
        </w:rPr>
        <w:t xml:space="preserve"> je </w:t>
      </w:r>
      <w:proofErr w:type="spellStart"/>
      <w:r w:rsidRPr="003A1838">
        <w:rPr>
          <w:sz w:val="18"/>
          <w:szCs w:val="18"/>
        </w:rPr>
        <w:t>uložen</w:t>
      </w:r>
      <w:proofErr w:type="spellEnd"/>
      <w:r w:rsidRPr="003A1838">
        <w:rPr>
          <w:sz w:val="18"/>
          <w:szCs w:val="18"/>
        </w:rPr>
        <w:t xml:space="preserve"> </w:t>
      </w:r>
      <w:proofErr w:type="spellStart"/>
      <w:r w:rsidRPr="003A1838">
        <w:rPr>
          <w:sz w:val="18"/>
          <w:szCs w:val="18"/>
        </w:rPr>
        <w:t>zahtjev</w:t>
      </w:r>
      <w:proofErr w:type="spellEnd"/>
      <w:r w:rsidRPr="003A1838">
        <w:rPr>
          <w:sz w:val="18"/>
          <w:szCs w:val="18"/>
        </w:rPr>
        <w:t xml:space="preserve"> u </w:t>
      </w:r>
      <w:proofErr w:type="spellStart"/>
      <w:r w:rsidRPr="003A1838">
        <w:rPr>
          <w:sz w:val="18"/>
          <w:szCs w:val="18"/>
        </w:rPr>
        <w:t>skladu</w:t>
      </w:r>
      <w:proofErr w:type="spellEnd"/>
      <w:r w:rsidRPr="003A1838">
        <w:rPr>
          <w:sz w:val="18"/>
          <w:szCs w:val="18"/>
        </w:rPr>
        <w:t xml:space="preserve"> s </w:t>
      </w:r>
      <w:proofErr w:type="spellStart"/>
      <w:r w:rsidRPr="003A1838">
        <w:rPr>
          <w:sz w:val="18"/>
          <w:szCs w:val="18"/>
        </w:rPr>
        <w:t>pravom</w:t>
      </w:r>
      <w:proofErr w:type="spellEnd"/>
      <w:r w:rsidRPr="003A1838">
        <w:rPr>
          <w:sz w:val="18"/>
          <w:szCs w:val="18"/>
        </w:rPr>
        <w:t xml:space="preserve"> </w:t>
      </w:r>
      <w:proofErr w:type="spellStart"/>
      <w:r w:rsidRPr="003A1838">
        <w:rPr>
          <w:sz w:val="18"/>
          <w:szCs w:val="18"/>
        </w:rPr>
        <w:t>te</w:t>
      </w:r>
      <w:proofErr w:type="spellEnd"/>
      <w:r w:rsidRPr="003A1838">
        <w:rPr>
          <w:sz w:val="18"/>
          <w:szCs w:val="18"/>
        </w:rPr>
        <w:t xml:space="preserve"> </w:t>
      </w:r>
      <w:proofErr w:type="spellStart"/>
      <w:r w:rsidRPr="003A1838">
        <w:rPr>
          <w:sz w:val="18"/>
          <w:szCs w:val="18"/>
        </w:rPr>
        <w:t>države</w:t>
      </w:r>
      <w:proofErr w:type="spellEnd"/>
      <w:r w:rsidRPr="003A1838">
        <w:rPr>
          <w:sz w:val="18"/>
          <w:szCs w:val="18"/>
        </w:rPr>
        <w:t xml:space="preserve"> </w:t>
      </w:r>
      <w:proofErr w:type="spellStart"/>
      <w:r w:rsidRPr="003A1838">
        <w:rPr>
          <w:sz w:val="18"/>
          <w:szCs w:val="18"/>
        </w:rPr>
        <w:t>članice</w:t>
      </w:r>
      <w:proofErr w:type="spellEnd"/>
      <w:r w:rsidRPr="003A1838">
        <w:rPr>
          <w:sz w:val="18"/>
          <w:szCs w:val="18"/>
        </w:rPr>
        <w:t xml:space="preserve"> </w:t>
      </w:r>
      <w:proofErr w:type="spellStart"/>
      <w:r w:rsidRPr="003A1838">
        <w:rPr>
          <w:sz w:val="18"/>
          <w:szCs w:val="18"/>
        </w:rPr>
        <w:t>ili</w:t>
      </w:r>
      <w:proofErr w:type="spellEnd"/>
      <w:r w:rsidRPr="003A1838">
        <w:rPr>
          <w:sz w:val="18"/>
          <w:szCs w:val="18"/>
        </w:rPr>
        <w:t xml:space="preserve"> </w:t>
      </w:r>
      <w:proofErr w:type="spellStart"/>
      <w:r w:rsidRPr="003A1838">
        <w:rPr>
          <w:sz w:val="18"/>
          <w:szCs w:val="18"/>
        </w:rPr>
        <w:t>na</w:t>
      </w:r>
      <w:proofErr w:type="spellEnd"/>
      <w:r w:rsidRPr="003A1838">
        <w:rPr>
          <w:sz w:val="18"/>
          <w:szCs w:val="18"/>
        </w:rPr>
        <w:t xml:space="preserve"> </w:t>
      </w:r>
      <w:proofErr w:type="spellStart"/>
      <w:r w:rsidRPr="003A1838">
        <w:rPr>
          <w:sz w:val="18"/>
          <w:szCs w:val="18"/>
        </w:rPr>
        <w:t>drugi</w:t>
      </w:r>
      <w:proofErr w:type="spellEnd"/>
      <w:r w:rsidRPr="003A1838">
        <w:rPr>
          <w:sz w:val="18"/>
          <w:szCs w:val="18"/>
        </w:rPr>
        <w:t xml:space="preserve"> </w:t>
      </w:r>
      <w:proofErr w:type="spellStart"/>
      <w:r w:rsidRPr="003A1838">
        <w:rPr>
          <w:sz w:val="18"/>
          <w:szCs w:val="18"/>
        </w:rPr>
        <w:t>jezik</w:t>
      </w:r>
      <w:proofErr w:type="spellEnd"/>
      <w:r w:rsidRPr="003A1838">
        <w:rPr>
          <w:sz w:val="18"/>
          <w:szCs w:val="18"/>
        </w:rPr>
        <w:t xml:space="preserve"> </w:t>
      </w:r>
      <w:proofErr w:type="spellStart"/>
      <w:r w:rsidRPr="003A1838">
        <w:rPr>
          <w:sz w:val="18"/>
          <w:szCs w:val="18"/>
        </w:rPr>
        <w:t>koji</w:t>
      </w:r>
      <w:proofErr w:type="spellEnd"/>
      <w:r w:rsidRPr="003A1838">
        <w:rPr>
          <w:sz w:val="18"/>
          <w:szCs w:val="18"/>
        </w:rPr>
        <w:t xml:space="preserve"> je </w:t>
      </w:r>
      <w:proofErr w:type="spellStart"/>
      <w:r w:rsidRPr="003A1838">
        <w:rPr>
          <w:sz w:val="18"/>
          <w:szCs w:val="18"/>
        </w:rPr>
        <w:t>predmetna</w:t>
      </w:r>
      <w:proofErr w:type="spellEnd"/>
      <w:r w:rsidRPr="003A1838">
        <w:rPr>
          <w:sz w:val="18"/>
          <w:szCs w:val="18"/>
        </w:rPr>
        <w:t xml:space="preserve"> </w:t>
      </w:r>
      <w:proofErr w:type="spellStart"/>
      <w:r w:rsidRPr="003A1838">
        <w:rPr>
          <w:sz w:val="18"/>
          <w:szCs w:val="18"/>
        </w:rPr>
        <w:t>država</w:t>
      </w:r>
      <w:proofErr w:type="spellEnd"/>
      <w:r w:rsidRPr="003A1838">
        <w:rPr>
          <w:sz w:val="18"/>
          <w:szCs w:val="18"/>
        </w:rPr>
        <w:t xml:space="preserve"> </w:t>
      </w:r>
      <w:proofErr w:type="spellStart"/>
      <w:r w:rsidRPr="003A1838">
        <w:rPr>
          <w:sz w:val="18"/>
          <w:szCs w:val="18"/>
        </w:rPr>
        <w:t>članica</w:t>
      </w:r>
      <w:proofErr w:type="spellEnd"/>
      <w:r w:rsidRPr="003A1838">
        <w:rPr>
          <w:sz w:val="18"/>
          <w:szCs w:val="18"/>
        </w:rPr>
        <w:t xml:space="preserve"> </w:t>
      </w:r>
      <w:proofErr w:type="spellStart"/>
      <w:r w:rsidRPr="003A1838">
        <w:rPr>
          <w:sz w:val="18"/>
          <w:szCs w:val="18"/>
        </w:rPr>
        <w:t>navela</w:t>
      </w:r>
      <w:proofErr w:type="spellEnd"/>
      <w:r w:rsidRPr="003A1838">
        <w:rPr>
          <w:sz w:val="18"/>
          <w:szCs w:val="18"/>
        </w:rPr>
        <w:t xml:space="preserve"> </w:t>
      </w:r>
      <w:proofErr w:type="spellStart"/>
      <w:r w:rsidRPr="003A1838">
        <w:rPr>
          <w:sz w:val="18"/>
          <w:szCs w:val="18"/>
        </w:rPr>
        <w:t>kao</w:t>
      </w:r>
      <w:proofErr w:type="spellEnd"/>
      <w:r w:rsidRPr="003A1838">
        <w:rPr>
          <w:sz w:val="18"/>
          <w:szCs w:val="18"/>
        </w:rPr>
        <w:t xml:space="preserve"> </w:t>
      </w:r>
      <w:proofErr w:type="spellStart"/>
      <w:r w:rsidRPr="003A1838">
        <w:rPr>
          <w:sz w:val="18"/>
          <w:szCs w:val="18"/>
        </w:rPr>
        <w:t>prihvatljiv</w:t>
      </w:r>
      <w:proofErr w:type="spellEnd"/>
      <w:r w:rsidRPr="003A1838">
        <w:rPr>
          <w:sz w:val="18"/>
          <w:szCs w:val="18"/>
        </w:rPr>
        <w:t xml:space="preserve">. </w:t>
      </w:r>
      <w:proofErr w:type="spellStart"/>
      <w:proofErr w:type="gramStart"/>
      <w:r w:rsidRPr="003A1838">
        <w:rPr>
          <w:sz w:val="18"/>
          <w:szCs w:val="18"/>
        </w:rPr>
        <w:t>Čl</w:t>
      </w:r>
      <w:proofErr w:type="spellEnd"/>
      <w:r w:rsidRPr="003A1838">
        <w:rPr>
          <w:sz w:val="18"/>
          <w:szCs w:val="18"/>
        </w:rPr>
        <w:t>. 20.</w:t>
      </w:r>
      <w:proofErr w:type="gramEnd"/>
      <w:r w:rsidRPr="003A1838">
        <w:rPr>
          <w:sz w:val="18"/>
          <w:szCs w:val="18"/>
        </w:rPr>
        <w:t xml:space="preserve"> </w:t>
      </w:r>
      <w:proofErr w:type="spellStart"/>
      <w:r w:rsidRPr="003A1838">
        <w:rPr>
          <w:sz w:val="18"/>
          <w:szCs w:val="18"/>
        </w:rPr>
        <w:t>st.</w:t>
      </w:r>
      <w:proofErr w:type="spellEnd"/>
      <w:r w:rsidRPr="003A1838">
        <w:rPr>
          <w:sz w:val="18"/>
          <w:szCs w:val="18"/>
        </w:rPr>
        <w:t xml:space="preserve"> 3. </w:t>
      </w:r>
      <w:proofErr w:type="gramStart"/>
      <w:r w:rsidRPr="003A1838">
        <w:rPr>
          <w:sz w:val="18"/>
          <w:szCs w:val="18"/>
        </w:rPr>
        <w:t>i</w:t>
      </w:r>
      <w:proofErr w:type="gramEnd"/>
      <w:r w:rsidRPr="003A1838">
        <w:rPr>
          <w:sz w:val="18"/>
          <w:szCs w:val="18"/>
        </w:rPr>
        <w:t xml:space="preserve"> 28. </w:t>
      </w:r>
      <w:proofErr w:type="spellStart"/>
      <w:r w:rsidRPr="003A1838">
        <w:rPr>
          <w:sz w:val="18"/>
          <w:szCs w:val="18"/>
        </w:rPr>
        <w:t>st.</w:t>
      </w:r>
      <w:proofErr w:type="spellEnd"/>
      <w:r w:rsidRPr="003A1838">
        <w:rPr>
          <w:sz w:val="18"/>
          <w:szCs w:val="18"/>
        </w:rPr>
        <w:t xml:space="preserve"> 3. </w:t>
      </w:r>
      <w:proofErr w:type="spellStart"/>
      <w:proofErr w:type="gramStart"/>
      <w:r w:rsidRPr="003A1838">
        <w:rPr>
          <w:sz w:val="18"/>
          <w:szCs w:val="18"/>
        </w:rPr>
        <w:t>određuju</w:t>
      </w:r>
      <w:proofErr w:type="spellEnd"/>
      <w:proofErr w:type="gramEnd"/>
      <w:r w:rsidRPr="003A1838">
        <w:rPr>
          <w:sz w:val="18"/>
          <w:szCs w:val="18"/>
        </w:rPr>
        <w:t xml:space="preserve"> </w:t>
      </w:r>
      <w:proofErr w:type="spellStart"/>
      <w:r w:rsidRPr="003A1838">
        <w:rPr>
          <w:sz w:val="18"/>
          <w:szCs w:val="18"/>
        </w:rPr>
        <w:t>kako</w:t>
      </w:r>
      <w:proofErr w:type="spellEnd"/>
      <w:r w:rsidRPr="003A1838">
        <w:rPr>
          <w:sz w:val="18"/>
          <w:szCs w:val="18"/>
        </w:rPr>
        <w:t xml:space="preserve"> </w:t>
      </w:r>
      <w:proofErr w:type="spellStart"/>
      <w:r w:rsidRPr="003A1838">
        <w:rPr>
          <w:sz w:val="18"/>
          <w:szCs w:val="18"/>
        </w:rPr>
        <w:t>svaka</w:t>
      </w:r>
      <w:proofErr w:type="spellEnd"/>
      <w:r w:rsidRPr="003A1838">
        <w:rPr>
          <w:sz w:val="18"/>
          <w:szCs w:val="18"/>
        </w:rPr>
        <w:t xml:space="preserve"> </w:t>
      </w:r>
      <w:proofErr w:type="spellStart"/>
      <w:r w:rsidRPr="003A1838">
        <w:rPr>
          <w:sz w:val="18"/>
          <w:szCs w:val="18"/>
        </w:rPr>
        <w:t>država</w:t>
      </w:r>
      <w:proofErr w:type="spellEnd"/>
      <w:r w:rsidRPr="003A1838">
        <w:rPr>
          <w:sz w:val="18"/>
          <w:szCs w:val="18"/>
        </w:rPr>
        <w:t xml:space="preserve"> </w:t>
      </w:r>
      <w:proofErr w:type="spellStart"/>
      <w:r w:rsidRPr="003A1838">
        <w:rPr>
          <w:sz w:val="18"/>
          <w:szCs w:val="18"/>
        </w:rPr>
        <w:t>članica</w:t>
      </w:r>
      <w:proofErr w:type="spellEnd"/>
      <w:r w:rsidRPr="003A1838">
        <w:rPr>
          <w:sz w:val="18"/>
          <w:szCs w:val="18"/>
        </w:rPr>
        <w:t xml:space="preserve"> </w:t>
      </w:r>
      <w:proofErr w:type="spellStart"/>
      <w:r w:rsidRPr="003A1838">
        <w:rPr>
          <w:sz w:val="18"/>
          <w:szCs w:val="18"/>
        </w:rPr>
        <w:t>može</w:t>
      </w:r>
      <w:proofErr w:type="spellEnd"/>
      <w:r w:rsidRPr="003A1838">
        <w:rPr>
          <w:sz w:val="18"/>
          <w:szCs w:val="18"/>
        </w:rPr>
        <w:t xml:space="preserve"> </w:t>
      </w:r>
      <w:proofErr w:type="spellStart"/>
      <w:r w:rsidRPr="003A1838">
        <w:rPr>
          <w:sz w:val="18"/>
          <w:szCs w:val="18"/>
        </w:rPr>
        <w:t>navesti</w:t>
      </w:r>
      <w:proofErr w:type="spellEnd"/>
      <w:r w:rsidRPr="003A1838">
        <w:rPr>
          <w:sz w:val="18"/>
          <w:szCs w:val="18"/>
        </w:rPr>
        <w:t xml:space="preserve"> </w:t>
      </w:r>
      <w:proofErr w:type="spellStart"/>
      <w:r w:rsidRPr="003A1838">
        <w:rPr>
          <w:sz w:val="18"/>
          <w:szCs w:val="18"/>
        </w:rPr>
        <w:t>službeni</w:t>
      </w:r>
      <w:proofErr w:type="spellEnd"/>
      <w:r w:rsidRPr="003A1838">
        <w:rPr>
          <w:sz w:val="18"/>
          <w:szCs w:val="18"/>
        </w:rPr>
        <w:t xml:space="preserve"> </w:t>
      </w:r>
      <w:proofErr w:type="spellStart"/>
      <w:r w:rsidRPr="003A1838">
        <w:rPr>
          <w:sz w:val="18"/>
          <w:szCs w:val="18"/>
        </w:rPr>
        <w:t>jezik</w:t>
      </w:r>
      <w:proofErr w:type="spellEnd"/>
      <w:r w:rsidRPr="003A1838">
        <w:rPr>
          <w:sz w:val="18"/>
          <w:szCs w:val="18"/>
        </w:rPr>
        <w:t xml:space="preserve"> </w:t>
      </w:r>
      <w:proofErr w:type="spellStart"/>
      <w:r w:rsidRPr="003A1838">
        <w:rPr>
          <w:sz w:val="18"/>
          <w:szCs w:val="18"/>
        </w:rPr>
        <w:t>ili</w:t>
      </w:r>
      <w:proofErr w:type="spellEnd"/>
      <w:r w:rsidRPr="003A1838">
        <w:rPr>
          <w:sz w:val="18"/>
          <w:szCs w:val="18"/>
        </w:rPr>
        <w:t xml:space="preserve"> </w:t>
      </w:r>
      <w:proofErr w:type="spellStart"/>
      <w:r w:rsidRPr="003A1838">
        <w:rPr>
          <w:sz w:val="18"/>
          <w:szCs w:val="18"/>
        </w:rPr>
        <w:t>jezike</w:t>
      </w:r>
      <w:proofErr w:type="spellEnd"/>
      <w:r w:rsidRPr="003A1838">
        <w:rPr>
          <w:sz w:val="18"/>
          <w:szCs w:val="18"/>
        </w:rPr>
        <w:t xml:space="preserve"> </w:t>
      </w:r>
      <w:proofErr w:type="spellStart"/>
      <w:r w:rsidRPr="003A1838">
        <w:rPr>
          <w:sz w:val="18"/>
          <w:szCs w:val="18"/>
        </w:rPr>
        <w:t>institucija</w:t>
      </w:r>
      <w:proofErr w:type="spellEnd"/>
      <w:r w:rsidRPr="003A1838">
        <w:rPr>
          <w:sz w:val="18"/>
          <w:szCs w:val="18"/>
        </w:rPr>
        <w:t xml:space="preserve"> </w:t>
      </w:r>
      <w:proofErr w:type="spellStart"/>
      <w:r w:rsidRPr="003A1838">
        <w:rPr>
          <w:sz w:val="18"/>
          <w:szCs w:val="18"/>
        </w:rPr>
        <w:t>Europske</w:t>
      </w:r>
      <w:proofErr w:type="spellEnd"/>
      <w:r w:rsidRPr="003A1838">
        <w:rPr>
          <w:sz w:val="18"/>
          <w:szCs w:val="18"/>
        </w:rPr>
        <w:t xml:space="preserve"> </w:t>
      </w:r>
      <w:proofErr w:type="spellStart"/>
      <w:r w:rsidRPr="003A1838">
        <w:rPr>
          <w:sz w:val="18"/>
          <w:szCs w:val="18"/>
        </w:rPr>
        <w:t>unije</w:t>
      </w:r>
      <w:proofErr w:type="spellEnd"/>
      <w:r w:rsidRPr="003A1838">
        <w:rPr>
          <w:sz w:val="18"/>
          <w:szCs w:val="18"/>
        </w:rPr>
        <w:t xml:space="preserve">, a </w:t>
      </w:r>
      <w:proofErr w:type="spellStart"/>
      <w:r w:rsidRPr="003A1838">
        <w:rPr>
          <w:sz w:val="18"/>
          <w:szCs w:val="18"/>
        </w:rPr>
        <w:t>koji</w:t>
      </w:r>
      <w:proofErr w:type="spellEnd"/>
      <w:r w:rsidRPr="003A1838">
        <w:rPr>
          <w:sz w:val="18"/>
          <w:szCs w:val="18"/>
        </w:rPr>
        <w:t xml:space="preserve"> je </w:t>
      </w:r>
      <w:proofErr w:type="spellStart"/>
      <w:r w:rsidRPr="003A1838">
        <w:rPr>
          <w:sz w:val="18"/>
          <w:szCs w:val="18"/>
        </w:rPr>
        <w:t>drukčiji</w:t>
      </w:r>
      <w:proofErr w:type="spellEnd"/>
      <w:r w:rsidRPr="003A1838">
        <w:rPr>
          <w:sz w:val="18"/>
          <w:szCs w:val="18"/>
        </w:rPr>
        <w:t xml:space="preserve"> od </w:t>
      </w:r>
      <w:proofErr w:type="spellStart"/>
      <w:r w:rsidRPr="003A1838">
        <w:rPr>
          <w:sz w:val="18"/>
          <w:szCs w:val="18"/>
        </w:rPr>
        <w:t>njezina</w:t>
      </w:r>
      <w:proofErr w:type="spellEnd"/>
      <w:r w:rsidRPr="003A1838">
        <w:rPr>
          <w:sz w:val="18"/>
          <w:szCs w:val="18"/>
        </w:rPr>
        <w:t xml:space="preserve"> </w:t>
      </w:r>
      <w:proofErr w:type="spellStart"/>
      <w:r w:rsidRPr="003A1838">
        <w:rPr>
          <w:sz w:val="18"/>
          <w:szCs w:val="18"/>
        </w:rPr>
        <w:t>jezika</w:t>
      </w:r>
      <w:proofErr w:type="spellEnd"/>
      <w:r w:rsidRPr="003A1838">
        <w:rPr>
          <w:sz w:val="18"/>
          <w:szCs w:val="18"/>
        </w:rPr>
        <w:t xml:space="preserve">, </w:t>
      </w:r>
      <w:proofErr w:type="spellStart"/>
      <w:r w:rsidRPr="003A1838">
        <w:rPr>
          <w:sz w:val="18"/>
          <w:szCs w:val="18"/>
        </w:rPr>
        <w:t>koji</w:t>
      </w:r>
      <w:proofErr w:type="spellEnd"/>
      <w:r w:rsidRPr="003A1838">
        <w:rPr>
          <w:sz w:val="18"/>
          <w:szCs w:val="18"/>
        </w:rPr>
        <w:t xml:space="preserve"> </w:t>
      </w:r>
      <w:proofErr w:type="spellStart"/>
      <w:r w:rsidRPr="003A1838">
        <w:rPr>
          <w:sz w:val="18"/>
          <w:szCs w:val="18"/>
        </w:rPr>
        <w:t>prihvaća</w:t>
      </w:r>
      <w:proofErr w:type="spellEnd"/>
      <w:r w:rsidRPr="003A1838">
        <w:rPr>
          <w:sz w:val="18"/>
          <w:szCs w:val="18"/>
        </w:rPr>
        <w:t xml:space="preserve"> </w:t>
      </w:r>
      <w:proofErr w:type="spellStart"/>
      <w:r w:rsidRPr="003A1838">
        <w:rPr>
          <w:sz w:val="18"/>
          <w:szCs w:val="18"/>
        </w:rPr>
        <w:t>za</w:t>
      </w:r>
      <w:proofErr w:type="spellEnd"/>
      <w:r w:rsidRPr="003A1838">
        <w:rPr>
          <w:sz w:val="18"/>
          <w:szCs w:val="18"/>
        </w:rPr>
        <w:t xml:space="preserve"> </w:t>
      </w:r>
      <w:proofErr w:type="spellStart"/>
      <w:r w:rsidRPr="003A1838">
        <w:rPr>
          <w:sz w:val="18"/>
          <w:szCs w:val="18"/>
        </w:rPr>
        <w:t>ispunjavanje</w:t>
      </w:r>
      <w:proofErr w:type="spellEnd"/>
      <w:r w:rsidRPr="003A1838">
        <w:rPr>
          <w:sz w:val="18"/>
          <w:szCs w:val="18"/>
        </w:rPr>
        <w:t xml:space="preserve"> </w:t>
      </w:r>
      <w:proofErr w:type="spellStart"/>
      <w:r w:rsidRPr="003A1838">
        <w:rPr>
          <w:sz w:val="18"/>
          <w:szCs w:val="18"/>
        </w:rPr>
        <w:t>obrazaca</w:t>
      </w:r>
      <w:proofErr w:type="spellEnd"/>
      <w:r w:rsidRPr="003A1838">
        <w:rPr>
          <w:sz w:val="18"/>
          <w:szCs w:val="18"/>
        </w:rPr>
        <w:t xml:space="preserve">. </w:t>
      </w:r>
      <w:proofErr w:type="spellStart"/>
      <w:r w:rsidRPr="003A1838">
        <w:rPr>
          <w:sz w:val="18"/>
          <w:szCs w:val="18"/>
        </w:rPr>
        <w:t>Svaki</w:t>
      </w:r>
      <w:proofErr w:type="spellEnd"/>
      <w:r w:rsidRPr="003A1838">
        <w:rPr>
          <w:sz w:val="18"/>
          <w:szCs w:val="18"/>
        </w:rPr>
        <w:t xml:space="preserve"> </w:t>
      </w:r>
      <w:proofErr w:type="spellStart"/>
      <w:r w:rsidRPr="003A1838">
        <w:rPr>
          <w:sz w:val="18"/>
          <w:szCs w:val="18"/>
        </w:rPr>
        <w:t>prijevod</w:t>
      </w:r>
      <w:proofErr w:type="spellEnd"/>
      <w:r w:rsidRPr="003A1838">
        <w:rPr>
          <w:sz w:val="18"/>
          <w:szCs w:val="18"/>
        </w:rPr>
        <w:t xml:space="preserve"> </w:t>
      </w:r>
      <w:proofErr w:type="spellStart"/>
      <w:r w:rsidRPr="003A1838">
        <w:rPr>
          <w:sz w:val="18"/>
          <w:szCs w:val="18"/>
        </w:rPr>
        <w:t>mora</w:t>
      </w:r>
      <w:proofErr w:type="spellEnd"/>
      <w:r w:rsidRPr="003A1838">
        <w:rPr>
          <w:sz w:val="18"/>
          <w:szCs w:val="18"/>
        </w:rPr>
        <w:t xml:space="preserve"> </w:t>
      </w:r>
      <w:proofErr w:type="spellStart"/>
      <w:r w:rsidRPr="003A1838">
        <w:rPr>
          <w:sz w:val="18"/>
          <w:szCs w:val="18"/>
        </w:rPr>
        <w:t>učiniti</w:t>
      </w:r>
      <w:proofErr w:type="spellEnd"/>
      <w:r w:rsidRPr="003A1838">
        <w:rPr>
          <w:sz w:val="18"/>
          <w:szCs w:val="18"/>
        </w:rPr>
        <w:t xml:space="preserve"> </w:t>
      </w:r>
      <w:proofErr w:type="spellStart"/>
      <w:r w:rsidRPr="003A1838">
        <w:rPr>
          <w:sz w:val="18"/>
          <w:szCs w:val="18"/>
        </w:rPr>
        <w:t>osoba</w:t>
      </w:r>
      <w:proofErr w:type="spellEnd"/>
      <w:r w:rsidRPr="003A1838">
        <w:rPr>
          <w:sz w:val="18"/>
          <w:szCs w:val="18"/>
        </w:rPr>
        <w:t xml:space="preserve"> </w:t>
      </w:r>
      <w:proofErr w:type="spellStart"/>
      <w:r w:rsidRPr="003A1838">
        <w:rPr>
          <w:sz w:val="18"/>
          <w:szCs w:val="18"/>
        </w:rPr>
        <w:t>kvalificirana</w:t>
      </w:r>
      <w:proofErr w:type="spellEnd"/>
      <w:r w:rsidRPr="003A1838">
        <w:rPr>
          <w:sz w:val="18"/>
          <w:szCs w:val="18"/>
        </w:rPr>
        <w:t xml:space="preserve"> </w:t>
      </w:r>
      <w:proofErr w:type="spellStart"/>
      <w:r w:rsidRPr="003A1838">
        <w:rPr>
          <w:sz w:val="18"/>
          <w:szCs w:val="18"/>
        </w:rPr>
        <w:t>za</w:t>
      </w:r>
      <w:proofErr w:type="spellEnd"/>
      <w:r w:rsidRPr="003A1838">
        <w:rPr>
          <w:sz w:val="18"/>
          <w:szCs w:val="18"/>
        </w:rPr>
        <w:t xml:space="preserve"> </w:t>
      </w:r>
      <w:proofErr w:type="spellStart"/>
      <w:r w:rsidRPr="003A1838">
        <w:rPr>
          <w:sz w:val="18"/>
          <w:szCs w:val="18"/>
        </w:rPr>
        <w:t>prevođenje</w:t>
      </w:r>
      <w:proofErr w:type="spellEnd"/>
      <w:r w:rsidRPr="003A1838">
        <w:rPr>
          <w:sz w:val="18"/>
          <w:szCs w:val="18"/>
        </w:rPr>
        <w:t xml:space="preserve"> u </w:t>
      </w:r>
      <w:proofErr w:type="spellStart"/>
      <w:r w:rsidRPr="003A1838">
        <w:rPr>
          <w:sz w:val="18"/>
          <w:szCs w:val="18"/>
        </w:rPr>
        <w:t>jednoj</w:t>
      </w:r>
      <w:proofErr w:type="spellEnd"/>
      <w:r w:rsidRPr="003A1838">
        <w:rPr>
          <w:sz w:val="18"/>
          <w:szCs w:val="18"/>
        </w:rPr>
        <w:t xml:space="preserve"> </w:t>
      </w:r>
      <w:proofErr w:type="gramStart"/>
      <w:r w:rsidRPr="003A1838">
        <w:rPr>
          <w:sz w:val="18"/>
          <w:szCs w:val="18"/>
        </w:rPr>
        <w:t>od</w:t>
      </w:r>
      <w:proofErr w:type="gramEnd"/>
      <w:r w:rsidRPr="003A1838">
        <w:rPr>
          <w:sz w:val="18"/>
          <w:szCs w:val="18"/>
        </w:rPr>
        <w:t xml:space="preserve"> </w:t>
      </w:r>
      <w:proofErr w:type="spellStart"/>
      <w:r w:rsidRPr="003A1838">
        <w:rPr>
          <w:sz w:val="18"/>
          <w:szCs w:val="18"/>
        </w:rPr>
        <w:t>država</w:t>
      </w:r>
      <w:proofErr w:type="spellEnd"/>
      <w:r w:rsidRPr="003A1838">
        <w:rPr>
          <w:sz w:val="18"/>
          <w:szCs w:val="18"/>
        </w:rPr>
        <w:t xml:space="preserve"> </w:t>
      </w:r>
      <w:proofErr w:type="spellStart"/>
      <w:r w:rsidRPr="003A1838">
        <w:rPr>
          <w:sz w:val="18"/>
          <w:szCs w:val="18"/>
        </w:rPr>
        <w:t>članica</w:t>
      </w:r>
      <w:proofErr w:type="spellEnd"/>
      <w:r w:rsidRPr="003A1838">
        <w:rPr>
          <w:sz w:val="18"/>
          <w:szCs w:val="18"/>
        </w:rPr>
        <w:t xml:space="preserve">. </w:t>
      </w:r>
    </w:p>
  </w:footnote>
  <w:footnote w:id="25">
    <w:p w:rsidR="003A1838" w:rsidRPr="003A1838" w:rsidRDefault="003A1838" w:rsidP="003A1838">
      <w:pPr>
        <w:pStyle w:val="FootnoteText"/>
        <w:jc w:val="both"/>
        <w:rPr>
          <w:sz w:val="18"/>
          <w:szCs w:val="18"/>
        </w:rPr>
      </w:pPr>
      <w:r w:rsidRPr="003A1838">
        <w:rPr>
          <w:rStyle w:val="FootnoteReference"/>
          <w:sz w:val="18"/>
          <w:szCs w:val="18"/>
        </w:rPr>
        <w:footnoteRef/>
      </w:r>
      <w:r w:rsidRPr="003A1838">
        <w:rPr>
          <w:sz w:val="18"/>
          <w:szCs w:val="18"/>
        </w:rPr>
        <w:t xml:space="preserve"> </w:t>
      </w:r>
      <w:proofErr w:type="spellStart"/>
      <w:proofErr w:type="gramStart"/>
      <w:r w:rsidRPr="003A1838">
        <w:rPr>
          <w:sz w:val="18"/>
          <w:szCs w:val="18"/>
        </w:rPr>
        <w:t>Čl</w:t>
      </w:r>
      <w:proofErr w:type="spellEnd"/>
      <w:r w:rsidRPr="003A1838">
        <w:rPr>
          <w:sz w:val="18"/>
          <w:szCs w:val="18"/>
        </w:rPr>
        <w:t xml:space="preserve">. 46.-48., </w:t>
      </w:r>
      <w:proofErr w:type="spellStart"/>
      <w:r w:rsidRPr="003A1838">
        <w:rPr>
          <w:i/>
          <w:sz w:val="18"/>
          <w:szCs w:val="18"/>
        </w:rPr>
        <w:t>Zakon</w:t>
      </w:r>
      <w:proofErr w:type="spellEnd"/>
      <w:r w:rsidRPr="003A1838">
        <w:rPr>
          <w:i/>
          <w:sz w:val="18"/>
          <w:szCs w:val="18"/>
        </w:rPr>
        <w:t xml:space="preserve"> o </w:t>
      </w:r>
      <w:proofErr w:type="spellStart"/>
      <w:r w:rsidRPr="003A1838">
        <w:rPr>
          <w:i/>
          <w:sz w:val="18"/>
          <w:szCs w:val="18"/>
        </w:rPr>
        <w:t>socijalnoj</w:t>
      </w:r>
      <w:proofErr w:type="spellEnd"/>
      <w:r w:rsidRPr="003A1838">
        <w:rPr>
          <w:i/>
          <w:sz w:val="18"/>
          <w:szCs w:val="18"/>
        </w:rPr>
        <w:t xml:space="preserve"> </w:t>
      </w:r>
      <w:proofErr w:type="spellStart"/>
      <w:r w:rsidRPr="003A1838">
        <w:rPr>
          <w:i/>
          <w:sz w:val="18"/>
          <w:szCs w:val="18"/>
        </w:rPr>
        <w:t>skrbi</w:t>
      </w:r>
      <w:proofErr w:type="spellEnd"/>
      <w:r w:rsidRPr="003A1838">
        <w:rPr>
          <w:sz w:val="18"/>
          <w:szCs w:val="18"/>
        </w:rPr>
        <w:t xml:space="preserve">, </w:t>
      </w:r>
      <w:proofErr w:type="spellStart"/>
      <w:r w:rsidRPr="003A1838">
        <w:rPr>
          <w:sz w:val="18"/>
          <w:szCs w:val="18"/>
        </w:rPr>
        <w:t>Narodne</w:t>
      </w:r>
      <w:proofErr w:type="spellEnd"/>
      <w:r w:rsidRPr="003A1838">
        <w:rPr>
          <w:sz w:val="18"/>
          <w:szCs w:val="18"/>
        </w:rPr>
        <w:t xml:space="preserve"> </w:t>
      </w:r>
      <w:proofErr w:type="spellStart"/>
      <w:r w:rsidRPr="003A1838">
        <w:rPr>
          <w:sz w:val="18"/>
          <w:szCs w:val="18"/>
        </w:rPr>
        <w:t>novine</w:t>
      </w:r>
      <w:proofErr w:type="spellEnd"/>
      <w:r w:rsidRPr="003A1838">
        <w:rPr>
          <w:sz w:val="18"/>
          <w:szCs w:val="18"/>
        </w:rPr>
        <w:t xml:space="preserve"> br. </w:t>
      </w:r>
      <w:r w:rsidRPr="003A1838">
        <w:rPr>
          <w:rFonts w:eastAsia="Times New Roman"/>
          <w:color w:val="000000"/>
          <w:sz w:val="18"/>
          <w:szCs w:val="18"/>
        </w:rPr>
        <w:t>157/13 i </w:t>
      </w:r>
      <w:r w:rsidRPr="003A1838">
        <w:rPr>
          <w:rFonts w:eastAsia="Times New Roman"/>
          <w:bCs/>
          <w:color w:val="000000"/>
          <w:sz w:val="18"/>
          <w:szCs w:val="18"/>
        </w:rPr>
        <w:t>152/14.</w:t>
      </w:r>
      <w:proofErr w:type="gramEnd"/>
    </w:p>
  </w:footnote>
  <w:footnote w:id="26">
    <w:p w:rsidR="003A1838" w:rsidRPr="003A1838" w:rsidRDefault="003A1838" w:rsidP="003A1838">
      <w:pPr>
        <w:pStyle w:val="FootnoteText"/>
        <w:jc w:val="both"/>
        <w:rPr>
          <w:sz w:val="18"/>
          <w:szCs w:val="18"/>
        </w:rPr>
      </w:pPr>
      <w:r w:rsidRPr="003A1838">
        <w:rPr>
          <w:rStyle w:val="FootnoteReference"/>
          <w:sz w:val="18"/>
          <w:szCs w:val="18"/>
        </w:rPr>
        <w:footnoteRef/>
      </w:r>
      <w:r w:rsidRPr="003A1838">
        <w:rPr>
          <w:sz w:val="18"/>
          <w:szCs w:val="18"/>
        </w:rPr>
        <w:t xml:space="preserve"> </w:t>
      </w:r>
      <w:proofErr w:type="spellStart"/>
      <w:r w:rsidRPr="003A1838">
        <w:rPr>
          <w:sz w:val="18"/>
          <w:szCs w:val="18"/>
        </w:rPr>
        <w:t>Bitno</w:t>
      </w:r>
      <w:proofErr w:type="spellEnd"/>
      <w:r w:rsidRPr="003A1838">
        <w:rPr>
          <w:sz w:val="18"/>
          <w:szCs w:val="18"/>
        </w:rPr>
        <w:t xml:space="preserve"> je </w:t>
      </w:r>
      <w:proofErr w:type="spellStart"/>
      <w:r w:rsidRPr="003A1838">
        <w:rPr>
          <w:sz w:val="18"/>
          <w:szCs w:val="18"/>
        </w:rPr>
        <w:t>napomenuti</w:t>
      </w:r>
      <w:proofErr w:type="spellEnd"/>
      <w:r w:rsidRPr="003A1838">
        <w:rPr>
          <w:sz w:val="18"/>
          <w:szCs w:val="18"/>
        </w:rPr>
        <w:t xml:space="preserve"> da </w:t>
      </w:r>
      <w:proofErr w:type="spellStart"/>
      <w:r w:rsidRPr="003A1838">
        <w:rPr>
          <w:sz w:val="18"/>
          <w:szCs w:val="18"/>
        </w:rPr>
        <w:t>ovaj</w:t>
      </w:r>
      <w:proofErr w:type="spellEnd"/>
      <w:r w:rsidRPr="003A1838">
        <w:rPr>
          <w:sz w:val="18"/>
          <w:szCs w:val="18"/>
        </w:rPr>
        <w:t xml:space="preserve"> </w:t>
      </w:r>
      <w:proofErr w:type="spellStart"/>
      <w:r w:rsidRPr="003A1838">
        <w:rPr>
          <w:sz w:val="18"/>
          <w:szCs w:val="18"/>
        </w:rPr>
        <w:t>sustav</w:t>
      </w:r>
      <w:proofErr w:type="spellEnd"/>
      <w:r w:rsidRPr="003A1838">
        <w:rPr>
          <w:sz w:val="18"/>
          <w:szCs w:val="18"/>
        </w:rPr>
        <w:t xml:space="preserve"> </w:t>
      </w:r>
      <w:proofErr w:type="spellStart"/>
      <w:r w:rsidRPr="003A1838">
        <w:rPr>
          <w:sz w:val="18"/>
          <w:szCs w:val="18"/>
        </w:rPr>
        <w:t>prevodi</w:t>
      </w:r>
      <w:proofErr w:type="spellEnd"/>
      <w:r w:rsidRPr="003A1838">
        <w:rPr>
          <w:sz w:val="18"/>
          <w:szCs w:val="18"/>
        </w:rPr>
        <w:t xml:space="preserve"> </w:t>
      </w:r>
      <w:proofErr w:type="spellStart"/>
      <w:r w:rsidRPr="003A1838">
        <w:rPr>
          <w:sz w:val="18"/>
          <w:szCs w:val="18"/>
        </w:rPr>
        <w:t>samo</w:t>
      </w:r>
      <w:proofErr w:type="spellEnd"/>
      <w:r w:rsidRPr="003A1838">
        <w:rPr>
          <w:sz w:val="18"/>
          <w:szCs w:val="18"/>
        </w:rPr>
        <w:t xml:space="preserve"> </w:t>
      </w:r>
      <w:proofErr w:type="spellStart"/>
      <w:r w:rsidRPr="003A1838">
        <w:rPr>
          <w:sz w:val="18"/>
          <w:szCs w:val="18"/>
        </w:rPr>
        <w:t>formu</w:t>
      </w:r>
      <w:proofErr w:type="spellEnd"/>
      <w:r w:rsidRPr="003A1838">
        <w:rPr>
          <w:sz w:val="18"/>
          <w:szCs w:val="18"/>
        </w:rPr>
        <w:t xml:space="preserve"> </w:t>
      </w:r>
      <w:proofErr w:type="spellStart"/>
      <w:r w:rsidRPr="003A1838">
        <w:rPr>
          <w:sz w:val="18"/>
          <w:szCs w:val="18"/>
        </w:rPr>
        <w:t>obrasca</w:t>
      </w:r>
      <w:proofErr w:type="spellEnd"/>
      <w:r w:rsidRPr="003A1838">
        <w:rPr>
          <w:sz w:val="18"/>
          <w:szCs w:val="18"/>
        </w:rPr>
        <w:t xml:space="preserve">, </w:t>
      </w:r>
      <w:proofErr w:type="spellStart"/>
      <w:r w:rsidRPr="003A1838">
        <w:rPr>
          <w:sz w:val="18"/>
          <w:szCs w:val="18"/>
        </w:rPr>
        <w:t>dok</w:t>
      </w:r>
      <w:proofErr w:type="spellEnd"/>
      <w:r w:rsidRPr="003A1838">
        <w:rPr>
          <w:sz w:val="18"/>
          <w:szCs w:val="18"/>
        </w:rPr>
        <w:t xml:space="preserve"> </w:t>
      </w:r>
      <w:proofErr w:type="spellStart"/>
      <w:proofErr w:type="gramStart"/>
      <w:r w:rsidRPr="003A1838">
        <w:rPr>
          <w:sz w:val="18"/>
          <w:szCs w:val="18"/>
        </w:rPr>
        <w:t>će</w:t>
      </w:r>
      <w:proofErr w:type="spellEnd"/>
      <w:proofErr w:type="gramEnd"/>
      <w:r w:rsidRPr="003A1838">
        <w:rPr>
          <w:sz w:val="18"/>
          <w:szCs w:val="18"/>
        </w:rPr>
        <w:t xml:space="preserve"> </w:t>
      </w:r>
      <w:proofErr w:type="spellStart"/>
      <w:r w:rsidRPr="003A1838">
        <w:rPr>
          <w:sz w:val="18"/>
          <w:szCs w:val="18"/>
        </w:rPr>
        <w:t>ispunjeni</w:t>
      </w:r>
      <w:proofErr w:type="spellEnd"/>
      <w:r w:rsidRPr="003A1838">
        <w:rPr>
          <w:sz w:val="18"/>
          <w:szCs w:val="18"/>
        </w:rPr>
        <w:t xml:space="preserve"> </w:t>
      </w:r>
      <w:proofErr w:type="spellStart"/>
      <w:r w:rsidRPr="003A1838">
        <w:rPr>
          <w:sz w:val="18"/>
          <w:szCs w:val="18"/>
        </w:rPr>
        <w:t>tekst</w:t>
      </w:r>
      <w:proofErr w:type="spellEnd"/>
      <w:r w:rsidRPr="003A1838">
        <w:rPr>
          <w:sz w:val="18"/>
          <w:szCs w:val="18"/>
        </w:rPr>
        <w:t xml:space="preserve"> </w:t>
      </w:r>
      <w:proofErr w:type="spellStart"/>
      <w:r w:rsidRPr="003A1838">
        <w:rPr>
          <w:sz w:val="18"/>
          <w:szCs w:val="18"/>
        </w:rPr>
        <w:t>obrasca</w:t>
      </w:r>
      <w:proofErr w:type="spellEnd"/>
      <w:r w:rsidRPr="003A1838">
        <w:rPr>
          <w:sz w:val="18"/>
          <w:szCs w:val="18"/>
        </w:rPr>
        <w:t xml:space="preserve"> </w:t>
      </w:r>
      <w:proofErr w:type="spellStart"/>
      <w:r w:rsidRPr="003A1838">
        <w:rPr>
          <w:sz w:val="18"/>
          <w:szCs w:val="18"/>
        </w:rPr>
        <w:t>ostati</w:t>
      </w:r>
      <w:proofErr w:type="spellEnd"/>
      <w:r w:rsidRPr="003A1838">
        <w:rPr>
          <w:sz w:val="18"/>
          <w:szCs w:val="18"/>
        </w:rPr>
        <w:t xml:space="preserve"> </w:t>
      </w:r>
      <w:proofErr w:type="spellStart"/>
      <w:r w:rsidRPr="003A1838">
        <w:rPr>
          <w:sz w:val="18"/>
          <w:szCs w:val="18"/>
        </w:rPr>
        <w:t>na</w:t>
      </w:r>
      <w:proofErr w:type="spellEnd"/>
      <w:r w:rsidRPr="003A1838">
        <w:rPr>
          <w:sz w:val="18"/>
          <w:szCs w:val="18"/>
        </w:rPr>
        <w:t xml:space="preserve"> </w:t>
      </w:r>
      <w:proofErr w:type="spellStart"/>
      <w:r w:rsidRPr="003A1838">
        <w:rPr>
          <w:sz w:val="18"/>
          <w:szCs w:val="18"/>
        </w:rPr>
        <w:t>jeziku</w:t>
      </w:r>
      <w:proofErr w:type="spellEnd"/>
      <w:r w:rsidRPr="003A1838">
        <w:rPr>
          <w:sz w:val="18"/>
          <w:szCs w:val="18"/>
        </w:rPr>
        <w:t xml:space="preserve"> </w:t>
      </w:r>
      <w:proofErr w:type="spellStart"/>
      <w:r w:rsidRPr="003A1838">
        <w:rPr>
          <w:sz w:val="18"/>
          <w:szCs w:val="18"/>
        </w:rPr>
        <w:t>na</w:t>
      </w:r>
      <w:proofErr w:type="spellEnd"/>
      <w:r w:rsidRPr="003A1838">
        <w:rPr>
          <w:sz w:val="18"/>
          <w:szCs w:val="18"/>
        </w:rPr>
        <w:t xml:space="preserve"> </w:t>
      </w:r>
      <w:proofErr w:type="spellStart"/>
      <w:r w:rsidRPr="003A1838">
        <w:rPr>
          <w:sz w:val="18"/>
          <w:szCs w:val="18"/>
        </w:rPr>
        <w:t>kojemu</w:t>
      </w:r>
      <w:proofErr w:type="spellEnd"/>
      <w:r w:rsidRPr="003A1838">
        <w:rPr>
          <w:sz w:val="18"/>
          <w:szCs w:val="18"/>
        </w:rPr>
        <w:t xml:space="preserve"> je </w:t>
      </w:r>
      <w:proofErr w:type="spellStart"/>
      <w:r w:rsidRPr="003A1838">
        <w:rPr>
          <w:sz w:val="18"/>
          <w:szCs w:val="18"/>
        </w:rPr>
        <w:t>upisan</w:t>
      </w:r>
      <w:proofErr w:type="spellEnd"/>
      <w:r w:rsidRPr="003A1838">
        <w:rPr>
          <w:sz w:val="18"/>
          <w:szCs w:val="18"/>
        </w:rPr>
        <w:t xml:space="preserve">, </w:t>
      </w:r>
      <w:proofErr w:type="spellStart"/>
      <w:r w:rsidRPr="003A1838">
        <w:rPr>
          <w:sz w:val="18"/>
          <w:szCs w:val="18"/>
        </w:rPr>
        <w:t>stoga</w:t>
      </w:r>
      <w:proofErr w:type="spellEnd"/>
      <w:r w:rsidRPr="003A1838">
        <w:rPr>
          <w:sz w:val="18"/>
          <w:szCs w:val="18"/>
        </w:rPr>
        <w:t xml:space="preserve"> je </w:t>
      </w:r>
      <w:proofErr w:type="spellStart"/>
      <w:r w:rsidRPr="003A1838">
        <w:rPr>
          <w:sz w:val="18"/>
          <w:szCs w:val="18"/>
        </w:rPr>
        <w:t>uobičajena</w:t>
      </w:r>
      <w:proofErr w:type="spellEnd"/>
      <w:r w:rsidRPr="003A1838">
        <w:rPr>
          <w:sz w:val="18"/>
          <w:szCs w:val="18"/>
        </w:rPr>
        <w:t xml:space="preserve"> </w:t>
      </w:r>
      <w:proofErr w:type="spellStart"/>
      <w:r w:rsidRPr="003A1838">
        <w:rPr>
          <w:sz w:val="18"/>
          <w:szCs w:val="18"/>
        </w:rPr>
        <w:t>praksa</w:t>
      </w:r>
      <w:proofErr w:type="spellEnd"/>
      <w:r w:rsidRPr="003A1838">
        <w:rPr>
          <w:sz w:val="18"/>
          <w:szCs w:val="18"/>
        </w:rPr>
        <w:t xml:space="preserve"> </w:t>
      </w:r>
      <w:proofErr w:type="spellStart"/>
      <w:r w:rsidRPr="003A1838">
        <w:rPr>
          <w:sz w:val="18"/>
          <w:szCs w:val="18"/>
        </w:rPr>
        <w:t>između</w:t>
      </w:r>
      <w:proofErr w:type="spellEnd"/>
      <w:r w:rsidRPr="003A1838">
        <w:rPr>
          <w:sz w:val="18"/>
          <w:szCs w:val="18"/>
        </w:rPr>
        <w:t xml:space="preserve"> </w:t>
      </w:r>
      <w:proofErr w:type="spellStart"/>
      <w:r w:rsidRPr="003A1838">
        <w:rPr>
          <w:sz w:val="18"/>
          <w:szCs w:val="18"/>
        </w:rPr>
        <w:t>središnjih</w:t>
      </w:r>
      <w:proofErr w:type="spellEnd"/>
      <w:r w:rsidRPr="003A1838">
        <w:rPr>
          <w:sz w:val="18"/>
          <w:szCs w:val="18"/>
        </w:rPr>
        <w:t xml:space="preserve"> </w:t>
      </w:r>
      <w:proofErr w:type="spellStart"/>
      <w:r w:rsidRPr="003A1838">
        <w:rPr>
          <w:sz w:val="18"/>
          <w:szCs w:val="18"/>
        </w:rPr>
        <w:t>tijela</w:t>
      </w:r>
      <w:proofErr w:type="spellEnd"/>
      <w:r w:rsidRPr="003A1838">
        <w:rPr>
          <w:sz w:val="18"/>
          <w:szCs w:val="18"/>
        </w:rPr>
        <w:t xml:space="preserve"> da se </w:t>
      </w:r>
      <w:proofErr w:type="spellStart"/>
      <w:r w:rsidRPr="003A1838">
        <w:rPr>
          <w:sz w:val="18"/>
          <w:szCs w:val="18"/>
        </w:rPr>
        <w:t>tekst</w:t>
      </w:r>
      <w:proofErr w:type="spellEnd"/>
      <w:r w:rsidRPr="003A1838">
        <w:rPr>
          <w:sz w:val="18"/>
          <w:szCs w:val="18"/>
        </w:rPr>
        <w:t xml:space="preserve"> </w:t>
      </w:r>
      <w:proofErr w:type="spellStart"/>
      <w:r w:rsidRPr="003A1838">
        <w:rPr>
          <w:sz w:val="18"/>
          <w:szCs w:val="18"/>
        </w:rPr>
        <w:t>ispunjava</w:t>
      </w:r>
      <w:proofErr w:type="spellEnd"/>
      <w:r w:rsidRPr="003A1838">
        <w:rPr>
          <w:sz w:val="18"/>
          <w:szCs w:val="18"/>
        </w:rPr>
        <w:t xml:space="preserve"> </w:t>
      </w:r>
      <w:proofErr w:type="spellStart"/>
      <w:r w:rsidRPr="003A1838">
        <w:rPr>
          <w:sz w:val="18"/>
          <w:szCs w:val="18"/>
        </w:rPr>
        <w:t>na</w:t>
      </w:r>
      <w:proofErr w:type="spellEnd"/>
      <w:r w:rsidRPr="003A1838">
        <w:rPr>
          <w:sz w:val="18"/>
          <w:szCs w:val="18"/>
        </w:rPr>
        <w:t xml:space="preserve"> </w:t>
      </w:r>
      <w:proofErr w:type="spellStart"/>
      <w:r w:rsidRPr="003A1838">
        <w:rPr>
          <w:sz w:val="18"/>
          <w:szCs w:val="18"/>
        </w:rPr>
        <w:t>engleskom</w:t>
      </w:r>
      <w:proofErr w:type="spellEnd"/>
      <w:r w:rsidRPr="003A1838">
        <w:rPr>
          <w:sz w:val="18"/>
          <w:szCs w:val="18"/>
        </w:rPr>
        <w:t xml:space="preserve"> </w:t>
      </w:r>
      <w:proofErr w:type="spellStart"/>
      <w:r w:rsidRPr="003A1838">
        <w:rPr>
          <w:sz w:val="18"/>
          <w:szCs w:val="18"/>
        </w:rPr>
        <w:t>jeziku</w:t>
      </w:r>
      <w:proofErr w:type="spellEnd"/>
      <w:r w:rsidRPr="003A1838">
        <w:rPr>
          <w:sz w:val="18"/>
          <w:szCs w:val="18"/>
        </w:rPr>
        <w:t xml:space="preserve">. </w:t>
      </w:r>
      <w:proofErr w:type="spellStart"/>
      <w:r w:rsidRPr="003A1838">
        <w:rPr>
          <w:sz w:val="18"/>
          <w:szCs w:val="18"/>
        </w:rPr>
        <w:t>Budući</w:t>
      </w:r>
      <w:proofErr w:type="spellEnd"/>
      <w:r w:rsidRPr="003A1838">
        <w:rPr>
          <w:sz w:val="18"/>
          <w:szCs w:val="18"/>
        </w:rPr>
        <w:t xml:space="preserve"> da </w:t>
      </w:r>
      <w:proofErr w:type="spellStart"/>
      <w:r w:rsidRPr="003A1838">
        <w:rPr>
          <w:sz w:val="18"/>
          <w:szCs w:val="18"/>
        </w:rPr>
        <w:t>ispunjavani</w:t>
      </w:r>
      <w:proofErr w:type="spellEnd"/>
      <w:r w:rsidRPr="003A1838">
        <w:rPr>
          <w:sz w:val="18"/>
          <w:szCs w:val="18"/>
        </w:rPr>
        <w:t xml:space="preserve"> </w:t>
      </w:r>
      <w:proofErr w:type="spellStart"/>
      <w:r w:rsidRPr="003A1838">
        <w:rPr>
          <w:sz w:val="18"/>
          <w:szCs w:val="18"/>
        </w:rPr>
        <w:t>dio</w:t>
      </w:r>
      <w:proofErr w:type="spellEnd"/>
      <w:r w:rsidRPr="003A1838">
        <w:rPr>
          <w:sz w:val="18"/>
          <w:szCs w:val="18"/>
        </w:rPr>
        <w:t xml:space="preserve"> </w:t>
      </w:r>
      <w:proofErr w:type="spellStart"/>
      <w:r w:rsidRPr="003A1838">
        <w:rPr>
          <w:sz w:val="18"/>
          <w:szCs w:val="18"/>
        </w:rPr>
        <w:t>obrasca</w:t>
      </w:r>
      <w:proofErr w:type="spellEnd"/>
      <w:r w:rsidRPr="003A1838">
        <w:rPr>
          <w:sz w:val="18"/>
          <w:szCs w:val="18"/>
        </w:rPr>
        <w:t xml:space="preserve"> </w:t>
      </w:r>
      <w:proofErr w:type="spellStart"/>
      <w:r w:rsidRPr="003A1838">
        <w:rPr>
          <w:sz w:val="18"/>
          <w:szCs w:val="18"/>
        </w:rPr>
        <w:t>obično</w:t>
      </w:r>
      <w:proofErr w:type="spellEnd"/>
      <w:r w:rsidRPr="003A1838">
        <w:rPr>
          <w:sz w:val="18"/>
          <w:szCs w:val="18"/>
        </w:rPr>
        <w:t xml:space="preserve"> </w:t>
      </w:r>
      <w:proofErr w:type="spellStart"/>
      <w:r w:rsidRPr="003A1838">
        <w:rPr>
          <w:sz w:val="18"/>
          <w:szCs w:val="18"/>
        </w:rPr>
        <w:t>čine</w:t>
      </w:r>
      <w:proofErr w:type="spellEnd"/>
      <w:r w:rsidRPr="003A1838">
        <w:rPr>
          <w:sz w:val="18"/>
          <w:szCs w:val="18"/>
        </w:rPr>
        <w:t xml:space="preserve"> </w:t>
      </w:r>
      <w:proofErr w:type="spellStart"/>
      <w:r w:rsidRPr="003A1838">
        <w:rPr>
          <w:sz w:val="18"/>
          <w:szCs w:val="18"/>
        </w:rPr>
        <w:t>samo</w:t>
      </w:r>
      <w:proofErr w:type="spellEnd"/>
      <w:r w:rsidRPr="003A1838">
        <w:rPr>
          <w:sz w:val="18"/>
          <w:szCs w:val="18"/>
        </w:rPr>
        <w:t xml:space="preserve"> </w:t>
      </w:r>
      <w:proofErr w:type="spellStart"/>
      <w:r w:rsidRPr="003A1838">
        <w:rPr>
          <w:sz w:val="18"/>
          <w:szCs w:val="18"/>
        </w:rPr>
        <w:t>nazivi</w:t>
      </w:r>
      <w:proofErr w:type="spellEnd"/>
      <w:r w:rsidRPr="003A1838">
        <w:rPr>
          <w:sz w:val="18"/>
          <w:szCs w:val="18"/>
        </w:rPr>
        <w:t xml:space="preserve">, </w:t>
      </w:r>
      <w:proofErr w:type="spellStart"/>
      <w:r w:rsidRPr="003A1838">
        <w:rPr>
          <w:sz w:val="18"/>
          <w:szCs w:val="18"/>
        </w:rPr>
        <w:t>brojke</w:t>
      </w:r>
      <w:proofErr w:type="spellEnd"/>
      <w:r w:rsidRPr="003A1838">
        <w:rPr>
          <w:sz w:val="18"/>
          <w:szCs w:val="18"/>
        </w:rPr>
        <w:t xml:space="preserve"> i </w:t>
      </w:r>
      <w:proofErr w:type="spellStart"/>
      <w:r w:rsidRPr="003A1838">
        <w:rPr>
          <w:sz w:val="18"/>
          <w:szCs w:val="18"/>
        </w:rPr>
        <w:t>eventualno</w:t>
      </w:r>
      <w:proofErr w:type="spellEnd"/>
      <w:r w:rsidRPr="003A1838">
        <w:rPr>
          <w:sz w:val="18"/>
          <w:szCs w:val="18"/>
        </w:rPr>
        <w:t xml:space="preserve"> </w:t>
      </w:r>
      <w:proofErr w:type="spellStart"/>
      <w:r w:rsidRPr="003A1838">
        <w:rPr>
          <w:sz w:val="18"/>
          <w:szCs w:val="18"/>
        </w:rPr>
        <w:t>kratka</w:t>
      </w:r>
      <w:proofErr w:type="spellEnd"/>
      <w:r w:rsidRPr="003A1838">
        <w:rPr>
          <w:sz w:val="18"/>
          <w:szCs w:val="18"/>
        </w:rPr>
        <w:t xml:space="preserve"> </w:t>
      </w:r>
      <w:proofErr w:type="spellStart"/>
      <w:r w:rsidRPr="003A1838">
        <w:rPr>
          <w:sz w:val="18"/>
          <w:szCs w:val="18"/>
        </w:rPr>
        <w:t>pojašnjenja</w:t>
      </w:r>
      <w:proofErr w:type="spellEnd"/>
      <w:r w:rsidRPr="003A1838">
        <w:rPr>
          <w:sz w:val="18"/>
          <w:szCs w:val="18"/>
        </w:rPr>
        <w:t xml:space="preserve"> </w:t>
      </w:r>
      <w:proofErr w:type="spellStart"/>
      <w:r w:rsidRPr="003A1838">
        <w:rPr>
          <w:sz w:val="18"/>
          <w:szCs w:val="18"/>
        </w:rPr>
        <w:t>takva</w:t>
      </w:r>
      <w:proofErr w:type="spellEnd"/>
      <w:r w:rsidRPr="003A1838">
        <w:rPr>
          <w:sz w:val="18"/>
          <w:szCs w:val="18"/>
        </w:rPr>
        <w:t xml:space="preserve"> </w:t>
      </w:r>
      <w:proofErr w:type="spellStart"/>
      <w:r w:rsidRPr="003A1838">
        <w:rPr>
          <w:sz w:val="18"/>
          <w:szCs w:val="18"/>
        </w:rPr>
        <w:t>praksa</w:t>
      </w:r>
      <w:proofErr w:type="spellEnd"/>
      <w:r w:rsidRPr="003A1838">
        <w:rPr>
          <w:sz w:val="18"/>
          <w:szCs w:val="18"/>
        </w:rPr>
        <w:t xml:space="preserve"> do </w:t>
      </w:r>
      <w:proofErr w:type="spellStart"/>
      <w:r w:rsidRPr="003A1838">
        <w:rPr>
          <w:sz w:val="18"/>
          <w:szCs w:val="18"/>
        </w:rPr>
        <w:t>sada</w:t>
      </w:r>
      <w:proofErr w:type="spellEnd"/>
      <w:r w:rsidRPr="003A1838">
        <w:rPr>
          <w:sz w:val="18"/>
          <w:szCs w:val="18"/>
        </w:rPr>
        <w:t xml:space="preserve"> </w:t>
      </w:r>
      <w:proofErr w:type="spellStart"/>
      <w:r w:rsidRPr="003A1838">
        <w:rPr>
          <w:sz w:val="18"/>
          <w:szCs w:val="18"/>
        </w:rPr>
        <w:t>nije</w:t>
      </w:r>
      <w:proofErr w:type="spellEnd"/>
      <w:r w:rsidRPr="003A1838">
        <w:rPr>
          <w:sz w:val="18"/>
          <w:szCs w:val="18"/>
        </w:rPr>
        <w:t xml:space="preserve"> </w:t>
      </w:r>
      <w:proofErr w:type="spellStart"/>
      <w:r w:rsidRPr="003A1838">
        <w:rPr>
          <w:sz w:val="18"/>
          <w:szCs w:val="18"/>
        </w:rPr>
        <w:t>naišla</w:t>
      </w:r>
      <w:proofErr w:type="spellEnd"/>
      <w:r w:rsidRPr="003A1838">
        <w:rPr>
          <w:sz w:val="18"/>
          <w:szCs w:val="18"/>
        </w:rPr>
        <w:t xml:space="preserve"> </w:t>
      </w:r>
      <w:proofErr w:type="spellStart"/>
      <w:proofErr w:type="gramStart"/>
      <w:r w:rsidRPr="003A1838">
        <w:rPr>
          <w:sz w:val="18"/>
          <w:szCs w:val="18"/>
        </w:rPr>
        <w:t>na</w:t>
      </w:r>
      <w:proofErr w:type="spellEnd"/>
      <w:proofErr w:type="gramEnd"/>
      <w:r w:rsidRPr="003A1838">
        <w:rPr>
          <w:sz w:val="18"/>
          <w:szCs w:val="18"/>
        </w:rPr>
        <w:t xml:space="preserve"> </w:t>
      </w:r>
      <w:proofErr w:type="spellStart"/>
      <w:r w:rsidRPr="003A1838">
        <w:rPr>
          <w:sz w:val="18"/>
          <w:szCs w:val="18"/>
        </w:rPr>
        <w:t>poteškoće</w:t>
      </w:r>
      <w:proofErr w:type="spellEnd"/>
      <w:r w:rsidRPr="003A1838">
        <w:rPr>
          <w:sz w:val="18"/>
          <w:szCs w:val="18"/>
        </w:rPr>
        <w:t>.</w:t>
      </w:r>
    </w:p>
  </w:footnote>
  <w:footnote w:id="27">
    <w:p w:rsidR="003A1838" w:rsidRPr="003A1838" w:rsidRDefault="003A1838" w:rsidP="003A1838">
      <w:pPr>
        <w:pStyle w:val="FootnoteText"/>
        <w:jc w:val="both"/>
        <w:rPr>
          <w:sz w:val="18"/>
          <w:szCs w:val="18"/>
        </w:rPr>
      </w:pPr>
      <w:r w:rsidRPr="003A1838">
        <w:rPr>
          <w:rStyle w:val="FootnoteReference"/>
          <w:sz w:val="18"/>
          <w:szCs w:val="18"/>
        </w:rPr>
        <w:footnoteRef/>
      </w:r>
      <w:proofErr w:type="spellStart"/>
      <w:r w:rsidRPr="003A1838">
        <w:rPr>
          <w:sz w:val="18"/>
          <w:szCs w:val="18"/>
        </w:rPr>
        <w:t>Župan</w:t>
      </w:r>
      <w:proofErr w:type="spellEnd"/>
      <w:r w:rsidRPr="003A1838">
        <w:rPr>
          <w:sz w:val="18"/>
          <w:szCs w:val="18"/>
        </w:rPr>
        <w:t xml:space="preserve">, M., </w:t>
      </w:r>
      <w:proofErr w:type="spellStart"/>
      <w:r w:rsidRPr="003A1838">
        <w:rPr>
          <w:i/>
          <w:sz w:val="18"/>
          <w:szCs w:val="18"/>
        </w:rPr>
        <w:t>Osobitosti</w:t>
      </w:r>
      <w:proofErr w:type="spellEnd"/>
      <w:r w:rsidRPr="003A1838">
        <w:rPr>
          <w:i/>
          <w:sz w:val="18"/>
          <w:szCs w:val="18"/>
        </w:rPr>
        <w:t xml:space="preserve"> </w:t>
      </w:r>
      <w:proofErr w:type="spellStart"/>
      <w:r w:rsidRPr="003A1838">
        <w:rPr>
          <w:i/>
          <w:sz w:val="18"/>
          <w:szCs w:val="18"/>
        </w:rPr>
        <w:t>ovrhe</w:t>
      </w:r>
      <w:proofErr w:type="spellEnd"/>
      <w:r w:rsidRPr="003A1838">
        <w:rPr>
          <w:i/>
          <w:sz w:val="18"/>
          <w:szCs w:val="18"/>
        </w:rPr>
        <w:t xml:space="preserve"> </w:t>
      </w:r>
      <w:proofErr w:type="spellStart"/>
      <w:r w:rsidRPr="003A1838">
        <w:rPr>
          <w:i/>
          <w:sz w:val="18"/>
          <w:szCs w:val="18"/>
        </w:rPr>
        <w:t>strane</w:t>
      </w:r>
      <w:proofErr w:type="spellEnd"/>
      <w:r w:rsidRPr="003A1838">
        <w:rPr>
          <w:i/>
          <w:sz w:val="18"/>
          <w:szCs w:val="18"/>
        </w:rPr>
        <w:t xml:space="preserve"> </w:t>
      </w:r>
      <w:proofErr w:type="spellStart"/>
      <w:r w:rsidRPr="003A1838">
        <w:rPr>
          <w:i/>
          <w:sz w:val="18"/>
          <w:szCs w:val="18"/>
        </w:rPr>
        <w:t>odluke</w:t>
      </w:r>
      <w:proofErr w:type="spellEnd"/>
      <w:r w:rsidRPr="003A1838">
        <w:rPr>
          <w:i/>
          <w:sz w:val="18"/>
          <w:szCs w:val="18"/>
        </w:rPr>
        <w:t xml:space="preserve"> o </w:t>
      </w:r>
      <w:proofErr w:type="spellStart"/>
      <w:r w:rsidRPr="003A1838">
        <w:rPr>
          <w:i/>
          <w:sz w:val="18"/>
          <w:szCs w:val="18"/>
        </w:rPr>
        <w:t>uzdržavanju</w:t>
      </w:r>
      <w:proofErr w:type="spellEnd"/>
      <w:r w:rsidRPr="003A1838">
        <w:rPr>
          <w:sz w:val="18"/>
          <w:szCs w:val="18"/>
        </w:rPr>
        <w:t xml:space="preserve">, u: </w:t>
      </w:r>
      <w:proofErr w:type="spellStart"/>
      <w:r w:rsidRPr="003A1838">
        <w:rPr>
          <w:sz w:val="18"/>
          <w:szCs w:val="18"/>
        </w:rPr>
        <w:t>Rešetar</w:t>
      </w:r>
      <w:proofErr w:type="spellEnd"/>
      <w:r w:rsidRPr="003A1838">
        <w:rPr>
          <w:sz w:val="18"/>
          <w:szCs w:val="18"/>
        </w:rPr>
        <w:t xml:space="preserve">, B., </w:t>
      </w:r>
      <w:proofErr w:type="spellStart"/>
      <w:r w:rsidRPr="003A1838">
        <w:rPr>
          <w:sz w:val="18"/>
          <w:szCs w:val="18"/>
        </w:rPr>
        <w:t>Župan</w:t>
      </w:r>
      <w:proofErr w:type="spellEnd"/>
      <w:r w:rsidRPr="003A1838">
        <w:rPr>
          <w:sz w:val="18"/>
          <w:szCs w:val="18"/>
        </w:rPr>
        <w:t xml:space="preserve">, M., </w:t>
      </w:r>
      <w:proofErr w:type="spellStart"/>
      <w:r w:rsidRPr="003A1838">
        <w:rPr>
          <w:i/>
          <w:sz w:val="18"/>
          <w:szCs w:val="18"/>
        </w:rPr>
        <w:t>Imovinskopravni</w:t>
      </w:r>
      <w:proofErr w:type="spellEnd"/>
      <w:r w:rsidRPr="003A1838">
        <w:rPr>
          <w:i/>
          <w:sz w:val="18"/>
          <w:szCs w:val="18"/>
        </w:rPr>
        <w:t xml:space="preserve"> </w:t>
      </w:r>
      <w:proofErr w:type="spellStart"/>
      <w:r w:rsidRPr="003A1838">
        <w:rPr>
          <w:i/>
          <w:sz w:val="18"/>
          <w:szCs w:val="18"/>
        </w:rPr>
        <w:t>aspekti</w:t>
      </w:r>
      <w:proofErr w:type="spellEnd"/>
      <w:r w:rsidRPr="003A1838">
        <w:rPr>
          <w:i/>
          <w:sz w:val="18"/>
          <w:szCs w:val="18"/>
        </w:rPr>
        <w:t xml:space="preserve"> </w:t>
      </w:r>
      <w:proofErr w:type="spellStart"/>
      <w:r w:rsidRPr="003A1838">
        <w:rPr>
          <w:i/>
          <w:sz w:val="18"/>
          <w:szCs w:val="18"/>
        </w:rPr>
        <w:t>razvoda</w:t>
      </w:r>
      <w:proofErr w:type="spellEnd"/>
      <w:r w:rsidRPr="003A1838">
        <w:rPr>
          <w:i/>
          <w:sz w:val="18"/>
          <w:szCs w:val="18"/>
        </w:rPr>
        <w:t xml:space="preserve"> </w:t>
      </w:r>
      <w:proofErr w:type="spellStart"/>
      <w:r w:rsidRPr="003A1838">
        <w:rPr>
          <w:i/>
          <w:sz w:val="18"/>
          <w:szCs w:val="18"/>
        </w:rPr>
        <w:t>braka</w:t>
      </w:r>
      <w:proofErr w:type="spellEnd"/>
      <w:r w:rsidRPr="003A1838">
        <w:rPr>
          <w:i/>
          <w:sz w:val="18"/>
          <w:szCs w:val="18"/>
        </w:rPr>
        <w:t xml:space="preserve"> – </w:t>
      </w:r>
      <w:proofErr w:type="spellStart"/>
      <w:r w:rsidRPr="003A1838">
        <w:rPr>
          <w:i/>
          <w:sz w:val="18"/>
          <w:szCs w:val="18"/>
        </w:rPr>
        <w:t>hrvatski</w:t>
      </w:r>
      <w:proofErr w:type="spellEnd"/>
      <w:r w:rsidRPr="003A1838">
        <w:rPr>
          <w:i/>
          <w:sz w:val="18"/>
          <w:szCs w:val="18"/>
        </w:rPr>
        <w:t xml:space="preserve">, </w:t>
      </w:r>
      <w:proofErr w:type="spellStart"/>
      <w:r w:rsidRPr="003A1838">
        <w:rPr>
          <w:i/>
          <w:sz w:val="18"/>
          <w:szCs w:val="18"/>
        </w:rPr>
        <w:t>međunarodni</w:t>
      </w:r>
      <w:proofErr w:type="spellEnd"/>
      <w:r w:rsidRPr="003A1838">
        <w:rPr>
          <w:i/>
          <w:sz w:val="18"/>
          <w:szCs w:val="18"/>
        </w:rPr>
        <w:t xml:space="preserve"> i </w:t>
      </w:r>
      <w:proofErr w:type="spellStart"/>
      <w:r w:rsidRPr="003A1838">
        <w:rPr>
          <w:i/>
          <w:sz w:val="18"/>
          <w:szCs w:val="18"/>
        </w:rPr>
        <w:t>europski</w:t>
      </w:r>
      <w:proofErr w:type="spellEnd"/>
      <w:r w:rsidRPr="003A1838">
        <w:rPr>
          <w:i/>
          <w:sz w:val="18"/>
          <w:szCs w:val="18"/>
        </w:rPr>
        <w:t xml:space="preserve"> </w:t>
      </w:r>
      <w:proofErr w:type="spellStart"/>
      <w:r w:rsidRPr="003A1838">
        <w:rPr>
          <w:i/>
          <w:sz w:val="18"/>
          <w:szCs w:val="18"/>
        </w:rPr>
        <w:t>kontekst</w:t>
      </w:r>
      <w:proofErr w:type="spellEnd"/>
      <w:r w:rsidRPr="003A1838">
        <w:rPr>
          <w:sz w:val="18"/>
          <w:szCs w:val="18"/>
        </w:rPr>
        <w:t xml:space="preserve"> (Osijek, 2011) str. 331-367.</w:t>
      </w:r>
    </w:p>
  </w:footnote>
  <w:footnote w:id="28">
    <w:p w:rsidR="003A1838" w:rsidRPr="003A1838" w:rsidRDefault="003A1838" w:rsidP="003A1838">
      <w:pPr>
        <w:pStyle w:val="FootnoteText"/>
        <w:jc w:val="both"/>
        <w:rPr>
          <w:sz w:val="18"/>
          <w:szCs w:val="18"/>
        </w:rPr>
      </w:pPr>
      <w:r w:rsidRPr="003A1838">
        <w:rPr>
          <w:rStyle w:val="FootnoteReference"/>
          <w:sz w:val="18"/>
          <w:szCs w:val="18"/>
        </w:rPr>
        <w:footnoteRef/>
      </w:r>
      <w:r w:rsidRPr="003A1838">
        <w:rPr>
          <w:sz w:val="18"/>
          <w:szCs w:val="18"/>
        </w:rPr>
        <w:t xml:space="preserve"> </w:t>
      </w:r>
      <w:proofErr w:type="spellStart"/>
      <w:r w:rsidRPr="003A1838">
        <w:rPr>
          <w:sz w:val="18"/>
          <w:szCs w:val="18"/>
        </w:rPr>
        <w:t>Župan</w:t>
      </w:r>
      <w:proofErr w:type="spellEnd"/>
      <w:r w:rsidRPr="003A1838">
        <w:rPr>
          <w:sz w:val="18"/>
          <w:szCs w:val="18"/>
        </w:rPr>
        <w:t xml:space="preserve">, M., </w:t>
      </w:r>
      <w:r w:rsidRPr="003A1838">
        <w:rPr>
          <w:i/>
          <w:sz w:val="18"/>
          <w:szCs w:val="18"/>
        </w:rPr>
        <w:t>Cross-border recovery of maintenance taking account of the new European Account Preservation Order (EAPO)</w:t>
      </w:r>
      <w:r w:rsidRPr="003A1838">
        <w:rPr>
          <w:sz w:val="18"/>
          <w:szCs w:val="18"/>
        </w:rPr>
        <w:t xml:space="preserve">, </w:t>
      </w:r>
      <w:proofErr w:type="spellStart"/>
      <w:r w:rsidRPr="003A1838">
        <w:rPr>
          <w:sz w:val="18"/>
          <w:szCs w:val="18"/>
        </w:rPr>
        <w:t>radni</w:t>
      </w:r>
      <w:proofErr w:type="spellEnd"/>
      <w:r w:rsidRPr="003A1838">
        <w:rPr>
          <w:sz w:val="18"/>
          <w:szCs w:val="18"/>
        </w:rPr>
        <w:t xml:space="preserve"> </w:t>
      </w:r>
      <w:proofErr w:type="spellStart"/>
      <w:r w:rsidRPr="003A1838">
        <w:rPr>
          <w:sz w:val="18"/>
          <w:szCs w:val="18"/>
        </w:rPr>
        <w:t>materija</w:t>
      </w:r>
      <w:proofErr w:type="spellEnd"/>
      <w:r w:rsidRPr="003A1838">
        <w:rPr>
          <w:sz w:val="18"/>
          <w:szCs w:val="18"/>
        </w:rPr>
        <w:t xml:space="preserve"> </w:t>
      </w:r>
      <w:proofErr w:type="spellStart"/>
      <w:r w:rsidRPr="003A1838">
        <w:rPr>
          <w:sz w:val="18"/>
          <w:szCs w:val="18"/>
        </w:rPr>
        <w:t>predstavljen</w:t>
      </w:r>
      <w:proofErr w:type="spellEnd"/>
      <w:r w:rsidRPr="003A1838">
        <w:rPr>
          <w:sz w:val="18"/>
          <w:szCs w:val="18"/>
        </w:rPr>
        <w:t xml:space="preserve"> </w:t>
      </w:r>
      <w:proofErr w:type="spellStart"/>
      <w:r w:rsidRPr="003A1838">
        <w:rPr>
          <w:sz w:val="18"/>
          <w:szCs w:val="18"/>
        </w:rPr>
        <w:t>na</w:t>
      </w:r>
      <w:proofErr w:type="spellEnd"/>
      <w:r w:rsidRPr="003A1838">
        <w:rPr>
          <w:sz w:val="18"/>
          <w:szCs w:val="18"/>
        </w:rPr>
        <w:t xml:space="preserve"> ERA ANNUAL CONFERENCE ON EUROPEAN FAMILY LAW, Trier 2014 ( u </w:t>
      </w:r>
      <w:proofErr w:type="spellStart"/>
      <w:r w:rsidRPr="003A1838">
        <w:rPr>
          <w:sz w:val="18"/>
          <w:szCs w:val="18"/>
        </w:rPr>
        <w:t>postupku</w:t>
      </w:r>
      <w:proofErr w:type="spellEnd"/>
      <w:r w:rsidRPr="003A1838">
        <w:rPr>
          <w:sz w:val="18"/>
          <w:szCs w:val="18"/>
        </w:rPr>
        <w:t xml:space="preserve"> </w:t>
      </w:r>
      <w:proofErr w:type="spellStart"/>
      <w:r w:rsidRPr="003A1838">
        <w:rPr>
          <w:sz w:val="18"/>
          <w:szCs w:val="18"/>
        </w:rPr>
        <w:t>objave</w:t>
      </w:r>
      <w:proofErr w:type="spellEnd"/>
      <w:r w:rsidRPr="003A1838">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D27"/>
    <w:multiLevelType w:val="multilevel"/>
    <w:tmpl w:val="0A54AE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FF2612"/>
    <w:multiLevelType w:val="hybridMultilevel"/>
    <w:tmpl w:val="300A41D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71D0D2C"/>
    <w:multiLevelType w:val="hybridMultilevel"/>
    <w:tmpl w:val="F4BEAE9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8415E94"/>
    <w:multiLevelType w:val="hybridMultilevel"/>
    <w:tmpl w:val="3252BFC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ACF4DDC"/>
    <w:multiLevelType w:val="hybridMultilevel"/>
    <w:tmpl w:val="46EE8042"/>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5366746"/>
    <w:multiLevelType w:val="multilevel"/>
    <w:tmpl w:val="06D6BD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6274E8"/>
    <w:multiLevelType w:val="hybridMultilevel"/>
    <w:tmpl w:val="54D25624"/>
    <w:lvl w:ilvl="0" w:tplc="02F4C548">
      <w:start w:val="1"/>
      <w:numFmt w:val="decimal"/>
      <w:lvlText w:val="%1."/>
      <w:lvlJc w:val="left"/>
      <w:pPr>
        <w:ind w:left="786" w:hanging="360"/>
      </w:pPr>
      <w:rPr>
        <w:rFonts w:cs="Times New Roman" w:hint="default"/>
        <w:b/>
        <w:bCs/>
      </w:rPr>
    </w:lvl>
    <w:lvl w:ilvl="1" w:tplc="141A0019" w:tentative="1">
      <w:start w:val="1"/>
      <w:numFmt w:val="lowerLetter"/>
      <w:lvlText w:val="%2."/>
      <w:lvlJc w:val="left"/>
      <w:pPr>
        <w:ind w:left="1506" w:hanging="360"/>
      </w:pPr>
      <w:rPr>
        <w:rFonts w:cs="Times New Roman"/>
      </w:rPr>
    </w:lvl>
    <w:lvl w:ilvl="2" w:tplc="141A001B" w:tentative="1">
      <w:start w:val="1"/>
      <w:numFmt w:val="lowerRoman"/>
      <w:lvlText w:val="%3."/>
      <w:lvlJc w:val="right"/>
      <w:pPr>
        <w:ind w:left="2226" w:hanging="180"/>
      </w:pPr>
      <w:rPr>
        <w:rFonts w:cs="Times New Roman"/>
      </w:rPr>
    </w:lvl>
    <w:lvl w:ilvl="3" w:tplc="141A000F" w:tentative="1">
      <w:start w:val="1"/>
      <w:numFmt w:val="decimal"/>
      <w:lvlText w:val="%4."/>
      <w:lvlJc w:val="left"/>
      <w:pPr>
        <w:ind w:left="2946" w:hanging="360"/>
      </w:pPr>
      <w:rPr>
        <w:rFonts w:cs="Times New Roman"/>
      </w:rPr>
    </w:lvl>
    <w:lvl w:ilvl="4" w:tplc="141A0019" w:tentative="1">
      <w:start w:val="1"/>
      <w:numFmt w:val="lowerLetter"/>
      <w:lvlText w:val="%5."/>
      <w:lvlJc w:val="left"/>
      <w:pPr>
        <w:ind w:left="3666" w:hanging="360"/>
      </w:pPr>
      <w:rPr>
        <w:rFonts w:cs="Times New Roman"/>
      </w:rPr>
    </w:lvl>
    <w:lvl w:ilvl="5" w:tplc="141A001B" w:tentative="1">
      <w:start w:val="1"/>
      <w:numFmt w:val="lowerRoman"/>
      <w:lvlText w:val="%6."/>
      <w:lvlJc w:val="right"/>
      <w:pPr>
        <w:ind w:left="4386" w:hanging="180"/>
      </w:pPr>
      <w:rPr>
        <w:rFonts w:cs="Times New Roman"/>
      </w:rPr>
    </w:lvl>
    <w:lvl w:ilvl="6" w:tplc="141A000F" w:tentative="1">
      <w:start w:val="1"/>
      <w:numFmt w:val="decimal"/>
      <w:lvlText w:val="%7."/>
      <w:lvlJc w:val="left"/>
      <w:pPr>
        <w:ind w:left="5106" w:hanging="360"/>
      </w:pPr>
      <w:rPr>
        <w:rFonts w:cs="Times New Roman"/>
      </w:rPr>
    </w:lvl>
    <w:lvl w:ilvl="7" w:tplc="141A0019" w:tentative="1">
      <w:start w:val="1"/>
      <w:numFmt w:val="lowerLetter"/>
      <w:lvlText w:val="%8."/>
      <w:lvlJc w:val="left"/>
      <w:pPr>
        <w:ind w:left="5826" w:hanging="360"/>
      </w:pPr>
      <w:rPr>
        <w:rFonts w:cs="Times New Roman"/>
      </w:rPr>
    </w:lvl>
    <w:lvl w:ilvl="8" w:tplc="141A001B" w:tentative="1">
      <w:start w:val="1"/>
      <w:numFmt w:val="lowerRoman"/>
      <w:lvlText w:val="%9."/>
      <w:lvlJc w:val="right"/>
      <w:pPr>
        <w:ind w:left="6546" w:hanging="180"/>
      </w:pPr>
      <w:rPr>
        <w:rFonts w:cs="Times New Roman"/>
      </w:rPr>
    </w:lvl>
  </w:abstractNum>
  <w:abstractNum w:abstractNumId="7">
    <w:nsid w:val="1EA85278"/>
    <w:multiLevelType w:val="multilevel"/>
    <w:tmpl w:val="25B8836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0511EC"/>
    <w:multiLevelType w:val="hybridMultilevel"/>
    <w:tmpl w:val="5D061E54"/>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9">
    <w:nsid w:val="42D47053"/>
    <w:multiLevelType w:val="hybridMultilevel"/>
    <w:tmpl w:val="A47CBEC4"/>
    <w:lvl w:ilvl="0" w:tplc="C5085E3C">
      <w:start w:val="1"/>
      <w:numFmt w:val="decimal"/>
      <w:lvlText w:val="%1."/>
      <w:lvlJc w:val="left"/>
      <w:pPr>
        <w:tabs>
          <w:tab w:val="num" w:pos="720"/>
        </w:tabs>
        <w:ind w:left="720" w:hanging="360"/>
      </w:pPr>
      <w:rPr>
        <w:rFonts w:cs="Times New Roman"/>
      </w:rPr>
    </w:lvl>
    <w:lvl w:ilvl="1" w:tplc="AC1AE1EE" w:tentative="1">
      <w:start w:val="1"/>
      <w:numFmt w:val="decimal"/>
      <w:lvlText w:val="%2."/>
      <w:lvlJc w:val="left"/>
      <w:pPr>
        <w:tabs>
          <w:tab w:val="num" w:pos="1440"/>
        </w:tabs>
        <w:ind w:left="1440" w:hanging="360"/>
      </w:pPr>
      <w:rPr>
        <w:rFonts w:cs="Times New Roman"/>
      </w:rPr>
    </w:lvl>
    <w:lvl w:ilvl="2" w:tplc="1B84E638" w:tentative="1">
      <w:start w:val="1"/>
      <w:numFmt w:val="decimal"/>
      <w:lvlText w:val="%3."/>
      <w:lvlJc w:val="left"/>
      <w:pPr>
        <w:tabs>
          <w:tab w:val="num" w:pos="2160"/>
        </w:tabs>
        <w:ind w:left="2160" w:hanging="360"/>
      </w:pPr>
      <w:rPr>
        <w:rFonts w:cs="Times New Roman"/>
      </w:rPr>
    </w:lvl>
    <w:lvl w:ilvl="3" w:tplc="6F6C0B98" w:tentative="1">
      <w:start w:val="1"/>
      <w:numFmt w:val="decimal"/>
      <w:lvlText w:val="%4."/>
      <w:lvlJc w:val="left"/>
      <w:pPr>
        <w:tabs>
          <w:tab w:val="num" w:pos="2880"/>
        </w:tabs>
        <w:ind w:left="2880" w:hanging="360"/>
      </w:pPr>
      <w:rPr>
        <w:rFonts w:cs="Times New Roman"/>
      </w:rPr>
    </w:lvl>
    <w:lvl w:ilvl="4" w:tplc="0B84170E" w:tentative="1">
      <w:start w:val="1"/>
      <w:numFmt w:val="decimal"/>
      <w:lvlText w:val="%5."/>
      <w:lvlJc w:val="left"/>
      <w:pPr>
        <w:tabs>
          <w:tab w:val="num" w:pos="3600"/>
        </w:tabs>
        <w:ind w:left="3600" w:hanging="360"/>
      </w:pPr>
      <w:rPr>
        <w:rFonts w:cs="Times New Roman"/>
      </w:rPr>
    </w:lvl>
    <w:lvl w:ilvl="5" w:tplc="D79AC34E" w:tentative="1">
      <w:start w:val="1"/>
      <w:numFmt w:val="decimal"/>
      <w:lvlText w:val="%6."/>
      <w:lvlJc w:val="left"/>
      <w:pPr>
        <w:tabs>
          <w:tab w:val="num" w:pos="4320"/>
        </w:tabs>
        <w:ind w:left="4320" w:hanging="360"/>
      </w:pPr>
      <w:rPr>
        <w:rFonts w:cs="Times New Roman"/>
      </w:rPr>
    </w:lvl>
    <w:lvl w:ilvl="6" w:tplc="3C866CC2" w:tentative="1">
      <w:start w:val="1"/>
      <w:numFmt w:val="decimal"/>
      <w:lvlText w:val="%7."/>
      <w:lvlJc w:val="left"/>
      <w:pPr>
        <w:tabs>
          <w:tab w:val="num" w:pos="5040"/>
        </w:tabs>
        <w:ind w:left="5040" w:hanging="360"/>
      </w:pPr>
      <w:rPr>
        <w:rFonts w:cs="Times New Roman"/>
      </w:rPr>
    </w:lvl>
    <w:lvl w:ilvl="7" w:tplc="CA9C4BEE" w:tentative="1">
      <w:start w:val="1"/>
      <w:numFmt w:val="decimal"/>
      <w:lvlText w:val="%8."/>
      <w:lvlJc w:val="left"/>
      <w:pPr>
        <w:tabs>
          <w:tab w:val="num" w:pos="5760"/>
        </w:tabs>
        <w:ind w:left="5760" w:hanging="360"/>
      </w:pPr>
      <w:rPr>
        <w:rFonts w:cs="Times New Roman"/>
      </w:rPr>
    </w:lvl>
    <w:lvl w:ilvl="8" w:tplc="52FA90C8" w:tentative="1">
      <w:start w:val="1"/>
      <w:numFmt w:val="decimal"/>
      <w:lvlText w:val="%9."/>
      <w:lvlJc w:val="left"/>
      <w:pPr>
        <w:tabs>
          <w:tab w:val="num" w:pos="6480"/>
        </w:tabs>
        <w:ind w:left="6480" w:hanging="360"/>
      </w:pPr>
      <w:rPr>
        <w:rFonts w:cs="Times New Roman"/>
      </w:rPr>
    </w:lvl>
  </w:abstractNum>
  <w:abstractNum w:abstractNumId="10">
    <w:nsid w:val="54EB144C"/>
    <w:multiLevelType w:val="multilevel"/>
    <w:tmpl w:val="C3587C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DF242A"/>
    <w:multiLevelType w:val="multilevel"/>
    <w:tmpl w:val="183891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D666EEE"/>
    <w:multiLevelType w:val="hybridMultilevel"/>
    <w:tmpl w:val="33603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CF6016"/>
    <w:multiLevelType w:val="hybridMultilevel"/>
    <w:tmpl w:val="FB30F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F943CC"/>
    <w:multiLevelType w:val="hybridMultilevel"/>
    <w:tmpl w:val="A98874C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6E324F1E"/>
    <w:multiLevelType w:val="hybridMultilevel"/>
    <w:tmpl w:val="AD203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594FCF"/>
    <w:multiLevelType w:val="hybridMultilevel"/>
    <w:tmpl w:val="00D4397E"/>
    <w:lvl w:ilvl="0" w:tplc="B6FC9686">
      <w:start w:val="1"/>
      <w:numFmt w:val="decimal"/>
      <w:lvlText w:val="%1."/>
      <w:lvlJc w:val="left"/>
      <w:pPr>
        <w:ind w:left="786" w:hanging="360"/>
      </w:pPr>
      <w:rPr>
        <w:rFonts w:ascii="Times New Roman" w:hAnsi="Times New Roman" w:hint="default"/>
        <w:sz w:val="24"/>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7">
    <w:nsid w:val="784E1E83"/>
    <w:multiLevelType w:val="hybridMultilevel"/>
    <w:tmpl w:val="D7429B1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0"/>
  </w:num>
  <w:num w:numId="5">
    <w:abstractNumId w:val="12"/>
  </w:num>
  <w:num w:numId="6">
    <w:abstractNumId w:val="15"/>
  </w:num>
  <w:num w:numId="7">
    <w:abstractNumId w:val="13"/>
  </w:num>
  <w:num w:numId="8">
    <w:abstractNumId w:val="3"/>
  </w:num>
  <w:num w:numId="9">
    <w:abstractNumId w:val="4"/>
  </w:num>
  <w:num w:numId="10">
    <w:abstractNumId w:val="2"/>
  </w:num>
  <w:num w:numId="11">
    <w:abstractNumId w:val="9"/>
  </w:num>
  <w:num w:numId="12">
    <w:abstractNumId w:val="6"/>
  </w:num>
  <w:num w:numId="13">
    <w:abstractNumId w:val="8"/>
  </w:num>
  <w:num w:numId="14">
    <w:abstractNumId w:val="16"/>
  </w:num>
  <w:num w:numId="15">
    <w:abstractNumId w:val="1"/>
  </w:num>
  <w:num w:numId="16">
    <w:abstractNumId w:val="14"/>
  </w:num>
  <w:num w:numId="17">
    <w:abstractNumId w:val="17"/>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472"/>
    <w:rsid w:val="000116FA"/>
    <w:rsid w:val="00025A35"/>
    <w:rsid w:val="000451A2"/>
    <w:rsid w:val="00066874"/>
    <w:rsid w:val="000A02D8"/>
    <w:rsid w:val="000C24D7"/>
    <w:rsid w:val="000F3E52"/>
    <w:rsid w:val="000F4A20"/>
    <w:rsid w:val="000F6C33"/>
    <w:rsid w:val="00106E0B"/>
    <w:rsid w:val="00134A37"/>
    <w:rsid w:val="00134E6F"/>
    <w:rsid w:val="00172C77"/>
    <w:rsid w:val="001903F6"/>
    <w:rsid w:val="001D07CA"/>
    <w:rsid w:val="001F2CDE"/>
    <w:rsid w:val="00210258"/>
    <w:rsid w:val="0027059D"/>
    <w:rsid w:val="00274A06"/>
    <w:rsid w:val="002D1005"/>
    <w:rsid w:val="00325928"/>
    <w:rsid w:val="003A1838"/>
    <w:rsid w:val="003A7B29"/>
    <w:rsid w:val="003E0CA2"/>
    <w:rsid w:val="004038C8"/>
    <w:rsid w:val="0042164D"/>
    <w:rsid w:val="00421EC0"/>
    <w:rsid w:val="00443C96"/>
    <w:rsid w:val="00454868"/>
    <w:rsid w:val="004634EE"/>
    <w:rsid w:val="0046614E"/>
    <w:rsid w:val="0047576B"/>
    <w:rsid w:val="004B67CC"/>
    <w:rsid w:val="004C7A24"/>
    <w:rsid w:val="004D7FED"/>
    <w:rsid w:val="005C2058"/>
    <w:rsid w:val="006F7472"/>
    <w:rsid w:val="00705391"/>
    <w:rsid w:val="007558E8"/>
    <w:rsid w:val="007A4126"/>
    <w:rsid w:val="007A68CC"/>
    <w:rsid w:val="007B0E67"/>
    <w:rsid w:val="007B56E0"/>
    <w:rsid w:val="007C1C9F"/>
    <w:rsid w:val="007C3637"/>
    <w:rsid w:val="0080013C"/>
    <w:rsid w:val="00844D48"/>
    <w:rsid w:val="00855653"/>
    <w:rsid w:val="00861923"/>
    <w:rsid w:val="00881908"/>
    <w:rsid w:val="00896B16"/>
    <w:rsid w:val="008A693D"/>
    <w:rsid w:val="008E1467"/>
    <w:rsid w:val="00905923"/>
    <w:rsid w:val="00947850"/>
    <w:rsid w:val="0097699C"/>
    <w:rsid w:val="0098261F"/>
    <w:rsid w:val="009A0E4C"/>
    <w:rsid w:val="009E0A9F"/>
    <w:rsid w:val="00A15ADF"/>
    <w:rsid w:val="00AB6CDD"/>
    <w:rsid w:val="00AC2E4C"/>
    <w:rsid w:val="00AE772B"/>
    <w:rsid w:val="00B176F2"/>
    <w:rsid w:val="00B45464"/>
    <w:rsid w:val="00B54124"/>
    <w:rsid w:val="00BC00F7"/>
    <w:rsid w:val="00BF1B6E"/>
    <w:rsid w:val="00C12551"/>
    <w:rsid w:val="00C21D91"/>
    <w:rsid w:val="00CC6641"/>
    <w:rsid w:val="00CC7E0D"/>
    <w:rsid w:val="00CE15F6"/>
    <w:rsid w:val="00CF3FD3"/>
    <w:rsid w:val="00CF6E41"/>
    <w:rsid w:val="00D56327"/>
    <w:rsid w:val="00DD40C1"/>
    <w:rsid w:val="00E1751D"/>
    <w:rsid w:val="00E53564"/>
    <w:rsid w:val="00E720D3"/>
    <w:rsid w:val="00E93BAD"/>
    <w:rsid w:val="00EB4339"/>
    <w:rsid w:val="00EC4538"/>
    <w:rsid w:val="00EC4C82"/>
    <w:rsid w:val="00EC7EAA"/>
    <w:rsid w:val="00ED0A0E"/>
    <w:rsid w:val="00F034BD"/>
    <w:rsid w:val="00F27BE2"/>
    <w:rsid w:val="00F34F1C"/>
    <w:rsid w:val="00F72B00"/>
    <w:rsid w:val="00FB54E3"/>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72"/>
    <w:pPr>
      <w:spacing w:after="0" w:line="240" w:lineRule="auto"/>
    </w:pPr>
    <w:rPr>
      <w:rFonts w:ascii="Times New Roman" w:eastAsia="Calibri" w:hAnsi="Times New Roman" w:cs="Times New Roman"/>
      <w:sz w:val="20"/>
      <w:szCs w:val="20"/>
      <w:lang w:val="hr-HR" w:eastAsia="hr-HR"/>
    </w:rPr>
  </w:style>
  <w:style w:type="paragraph" w:styleId="Heading1">
    <w:name w:val="heading 1"/>
    <w:basedOn w:val="Normal"/>
    <w:link w:val="Heading1Char"/>
    <w:uiPriority w:val="9"/>
    <w:qFormat/>
    <w:rsid w:val="006F74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 Char Char Char"/>
    <w:basedOn w:val="Normal"/>
    <w:link w:val="FootnoteTextChar"/>
    <w:rsid w:val="006F7472"/>
    <w:rPr>
      <w:lang w:val="en-AU"/>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 Char Char Char"/>
    <w:basedOn w:val="DefaultParagraphFont"/>
    <w:link w:val="FootnoteText"/>
    <w:rsid w:val="006F7472"/>
    <w:rPr>
      <w:rFonts w:ascii="Times New Roman" w:eastAsia="Calibri" w:hAnsi="Times New Roman" w:cs="Times New Roman"/>
      <w:sz w:val="20"/>
      <w:szCs w:val="20"/>
      <w:lang w:val="en-AU" w:eastAsia="hr-HR"/>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VI fnr"/>
    <w:link w:val="4GChar"/>
    <w:rsid w:val="006F7472"/>
    <w:rPr>
      <w:rFonts w:cs="Times New Roman"/>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6F7472"/>
    <w:pPr>
      <w:spacing w:after="160" w:line="240" w:lineRule="exact"/>
      <w:jc w:val="both"/>
    </w:pPr>
    <w:rPr>
      <w:rFonts w:asciiTheme="minorHAnsi" w:eastAsiaTheme="minorHAnsi" w:hAnsiTheme="minorHAnsi"/>
      <w:sz w:val="22"/>
      <w:szCs w:val="22"/>
      <w:vertAlign w:val="superscript"/>
      <w:lang w:val="bs-Latn-BA" w:eastAsia="en-US"/>
    </w:rPr>
  </w:style>
  <w:style w:type="character" w:styleId="Hyperlink">
    <w:name w:val="Hyperlink"/>
    <w:uiPriority w:val="99"/>
    <w:rsid w:val="006F7472"/>
    <w:rPr>
      <w:rFonts w:cs="Times New Roman"/>
      <w:color w:val="0000FF"/>
      <w:u w:val="single"/>
    </w:rPr>
  </w:style>
  <w:style w:type="paragraph" w:styleId="NormalWeb">
    <w:name w:val="Normal (Web)"/>
    <w:basedOn w:val="Normal"/>
    <w:link w:val="NormalWebChar"/>
    <w:uiPriority w:val="99"/>
    <w:rsid w:val="006F7472"/>
    <w:pPr>
      <w:spacing w:before="100" w:beforeAutospacing="1" w:after="100" w:afterAutospacing="1"/>
    </w:pPr>
    <w:rPr>
      <w:sz w:val="24"/>
      <w:szCs w:val="24"/>
    </w:rPr>
  </w:style>
  <w:style w:type="character" w:customStyle="1" w:styleId="normal--char">
    <w:name w:val="normal--char"/>
    <w:basedOn w:val="DefaultParagraphFont"/>
    <w:rsid w:val="006F7472"/>
  </w:style>
  <w:style w:type="character" w:customStyle="1" w:styleId="sb8d990e2">
    <w:name w:val="sb8d990e2"/>
    <w:rsid w:val="006F7472"/>
    <w:rPr>
      <w:rFonts w:cs="Times New Roman"/>
    </w:rPr>
  </w:style>
  <w:style w:type="character" w:customStyle="1" w:styleId="s6b621b36">
    <w:name w:val="s6b621b36"/>
    <w:rsid w:val="006F7472"/>
    <w:rPr>
      <w:rFonts w:cs="Times New Roman"/>
    </w:rPr>
  </w:style>
  <w:style w:type="character" w:customStyle="1" w:styleId="ju-005fcase-0020char--char">
    <w:name w:val="ju-005fcase-0020char--char"/>
    <w:rsid w:val="006F7472"/>
    <w:rPr>
      <w:rFonts w:cs="Times New Roman"/>
    </w:rPr>
  </w:style>
  <w:style w:type="paragraph" w:customStyle="1" w:styleId="Normal2">
    <w:name w:val="Normal2"/>
    <w:basedOn w:val="Normal"/>
    <w:rsid w:val="006F7472"/>
    <w:pPr>
      <w:spacing w:after="135"/>
    </w:pPr>
    <w:rPr>
      <w:rFonts w:eastAsia="Times New Roman"/>
      <w:sz w:val="24"/>
      <w:szCs w:val="24"/>
    </w:rPr>
  </w:style>
  <w:style w:type="character" w:styleId="Emphasis">
    <w:name w:val="Emphasis"/>
    <w:qFormat/>
    <w:rsid w:val="006F7472"/>
    <w:rPr>
      <w:i/>
      <w:iCs/>
    </w:rPr>
  </w:style>
  <w:style w:type="paragraph" w:styleId="BodyText">
    <w:name w:val="Body Text"/>
    <w:basedOn w:val="Normal"/>
    <w:link w:val="BodyTextChar"/>
    <w:uiPriority w:val="99"/>
    <w:semiHidden/>
    <w:rsid w:val="006F7472"/>
    <w:pPr>
      <w:spacing w:after="120"/>
    </w:pPr>
    <w:rPr>
      <w:rFonts w:eastAsia="Times New Roman"/>
      <w:sz w:val="24"/>
      <w:szCs w:val="24"/>
      <w:lang w:eastAsia="en-US"/>
    </w:rPr>
  </w:style>
  <w:style w:type="character" w:customStyle="1" w:styleId="BodyTextChar">
    <w:name w:val="Body Text Char"/>
    <w:basedOn w:val="DefaultParagraphFont"/>
    <w:link w:val="BodyText"/>
    <w:uiPriority w:val="99"/>
    <w:semiHidden/>
    <w:rsid w:val="006F7472"/>
    <w:rPr>
      <w:rFonts w:ascii="Times New Roman" w:eastAsia="Times New Roman" w:hAnsi="Times New Roman" w:cs="Times New Roman"/>
      <w:sz w:val="24"/>
      <w:szCs w:val="24"/>
      <w:lang w:val="hr-HR"/>
    </w:rPr>
  </w:style>
  <w:style w:type="paragraph" w:styleId="ListParagraph">
    <w:name w:val="List Paragraph"/>
    <w:basedOn w:val="Normal"/>
    <w:uiPriority w:val="34"/>
    <w:qFormat/>
    <w:rsid w:val="006F7472"/>
    <w:pPr>
      <w:ind w:left="720"/>
      <w:contextualSpacing/>
    </w:pPr>
    <w:rPr>
      <w:rFonts w:eastAsia="Times New Roman"/>
      <w:sz w:val="24"/>
      <w:szCs w:val="24"/>
      <w:lang w:eastAsia="en-US"/>
    </w:rPr>
  </w:style>
  <w:style w:type="paragraph" w:styleId="BodyText2">
    <w:name w:val="Body Text 2"/>
    <w:basedOn w:val="Normal"/>
    <w:link w:val="BodyText2Char"/>
    <w:uiPriority w:val="99"/>
    <w:semiHidden/>
    <w:unhideWhenUsed/>
    <w:rsid w:val="006F7472"/>
    <w:pPr>
      <w:spacing w:after="120" w:line="480" w:lineRule="auto"/>
    </w:pPr>
  </w:style>
  <w:style w:type="character" w:customStyle="1" w:styleId="BodyText2Char">
    <w:name w:val="Body Text 2 Char"/>
    <w:basedOn w:val="DefaultParagraphFont"/>
    <w:link w:val="BodyText2"/>
    <w:uiPriority w:val="99"/>
    <w:semiHidden/>
    <w:rsid w:val="006F7472"/>
    <w:rPr>
      <w:rFonts w:ascii="Times New Roman" w:eastAsia="Calibri" w:hAnsi="Times New Roman" w:cs="Times New Roman"/>
      <w:sz w:val="20"/>
      <w:szCs w:val="20"/>
      <w:lang w:val="hr-HR" w:eastAsia="hr-HR"/>
    </w:rPr>
  </w:style>
  <w:style w:type="character" w:customStyle="1" w:styleId="Heading1Char">
    <w:name w:val="Heading 1 Char"/>
    <w:basedOn w:val="DefaultParagraphFont"/>
    <w:link w:val="Heading1"/>
    <w:uiPriority w:val="9"/>
    <w:rsid w:val="006F7472"/>
    <w:rPr>
      <w:rFonts w:ascii="Times New Roman" w:eastAsia="Calibri" w:hAnsi="Times New Roman" w:cs="Times New Roman"/>
      <w:b/>
      <w:bCs/>
      <w:kern w:val="36"/>
      <w:sz w:val="48"/>
      <w:szCs w:val="48"/>
      <w:lang w:val="hr-HR" w:eastAsia="hr-HR"/>
    </w:rPr>
  </w:style>
  <w:style w:type="paragraph" w:customStyle="1" w:styleId="s32b251d">
    <w:name w:val="s32b251d"/>
    <w:basedOn w:val="Normal"/>
    <w:rsid w:val="006F7472"/>
    <w:pPr>
      <w:spacing w:before="100" w:beforeAutospacing="1" w:after="100" w:afterAutospacing="1"/>
    </w:pPr>
    <w:rPr>
      <w:sz w:val="24"/>
      <w:szCs w:val="24"/>
    </w:rPr>
  </w:style>
  <w:style w:type="paragraph" w:customStyle="1" w:styleId="s30eec3f8">
    <w:name w:val="s30eec3f8"/>
    <w:basedOn w:val="Normal"/>
    <w:rsid w:val="006F7472"/>
    <w:pPr>
      <w:spacing w:before="100" w:beforeAutospacing="1" w:after="100" w:afterAutospacing="1"/>
    </w:pPr>
    <w:rPr>
      <w:rFonts w:eastAsia="Times New Roman"/>
      <w:sz w:val="24"/>
      <w:szCs w:val="24"/>
      <w:lang w:val="bs-Latn-BA" w:eastAsia="bs-Latn-BA"/>
    </w:rPr>
  </w:style>
  <w:style w:type="character" w:customStyle="1" w:styleId="s7d2086b4">
    <w:name w:val="s7d2086b4"/>
    <w:basedOn w:val="DefaultParagraphFont"/>
    <w:rsid w:val="006F7472"/>
  </w:style>
  <w:style w:type="character" w:customStyle="1" w:styleId="s9e9ee488">
    <w:name w:val="s9e9ee488"/>
    <w:basedOn w:val="DefaultParagraphFont"/>
    <w:rsid w:val="006F7472"/>
  </w:style>
  <w:style w:type="character" w:customStyle="1" w:styleId="s4c696b83">
    <w:name w:val="s4c696b83"/>
    <w:basedOn w:val="DefaultParagraphFont"/>
    <w:rsid w:val="006F7472"/>
  </w:style>
  <w:style w:type="paragraph" w:customStyle="1" w:styleId="Default">
    <w:name w:val="Default"/>
    <w:rsid w:val="006F74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005fpara-0020char">
    <w:name w:val="ju-005fpara-0020char"/>
    <w:basedOn w:val="Normal"/>
    <w:uiPriority w:val="99"/>
    <w:rsid w:val="006F7472"/>
    <w:pPr>
      <w:spacing w:before="100" w:beforeAutospacing="1" w:after="100" w:afterAutospacing="1"/>
    </w:pPr>
    <w:rPr>
      <w:rFonts w:eastAsia="Times New Roman"/>
      <w:sz w:val="24"/>
      <w:szCs w:val="24"/>
    </w:rPr>
  </w:style>
  <w:style w:type="paragraph" w:customStyle="1" w:styleId="ecxmsonormal">
    <w:name w:val="ecxmsonormal"/>
    <w:basedOn w:val="Normal"/>
    <w:rsid w:val="006F7472"/>
    <w:pPr>
      <w:spacing w:before="100" w:beforeAutospacing="1" w:after="100" w:afterAutospacing="1"/>
    </w:pPr>
    <w:rPr>
      <w:rFonts w:eastAsia="Times New Roman"/>
      <w:sz w:val="24"/>
      <w:szCs w:val="24"/>
      <w:lang w:val="en-GB" w:eastAsia="en-US"/>
    </w:rPr>
  </w:style>
  <w:style w:type="character" w:customStyle="1" w:styleId="hps">
    <w:name w:val="hps"/>
    <w:basedOn w:val="DefaultParagraphFont"/>
    <w:rsid w:val="006F7472"/>
  </w:style>
  <w:style w:type="paragraph" w:styleId="Header">
    <w:name w:val="header"/>
    <w:basedOn w:val="Normal"/>
    <w:link w:val="HeaderChar"/>
    <w:uiPriority w:val="99"/>
    <w:unhideWhenUsed/>
    <w:rsid w:val="0080013C"/>
    <w:pPr>
      <w:tabs>
        <w:tab w:val="center" w:pos="4536"/>
        <w:tab w:val="right" w:pos="9072"/>
      </w:tabs>
    </w:pPr>
  </w:style>
  <w:style w:type="character" w:customStyle="1" w:styleId="HeaderChar">
    <w:name w:val="Header Char"/>
    <w:basedOn w:val="DefaultParagraphFont"/>
    <w:link w:val="Header"/>
    <w:uiPriority w:val="99"/>
    <w:rsid w:val="0080013C"/>
    <w:rPr>
      <w:rFonts w:ascii="Times New Roman" w:eastAsia="Calibri" w:hAnsi="Times New Roman" w:cs="Times New Roman"/>
      <w:sz w:val="20"/>
      <w:szCs w:val="20"/>
      <w:lang w:val="hr-HR" w:eastAsia="hr-HR"/>
    </w:rPr>
  </w:style>
  <w:style w:type="paragraph" w:styleId="Footer">
    <w:name w:val="footer"/>
    <w:basedOn w:val="Normal"/>
    <w:link w:val="FooterChar"/>
    <w:unhideWhenUsed/>
    <w:rsid w:val="0080013C"/>
    <w:pPr>
      <w:tabs>
        <w:tab w:val="center" w:pos="4536"/>
        <w:tab w:val="right" w:pos="9072"/>
      </w:tabs>
    </w:pPr>
  </w:style>
  <w:style w:type="character" w:customStyle="1" w:styleId="FooterChar">
    <w:name w:val="Footer Char"/>
    <w:basedOn w:val="DefaultParagraphFont"/>
    <w:link w:val="Footer"/>
    <w:uiPriority w:val="99"/>
    <w:rsid w:val="0080013C"/>
    <w:rPr>
      <w:rFonts w:ascii="Times New Roman" w:eastAsia="Calibri" w:hAnsi="Times New Roman" w:cs="Times New Roman"/>
      <w:sz w:val="20"/>
      <w:szCs w:val="20"/>
      <w:lang w:val="hr-HR" w:eastAsia="hr-HR"/>
    </w:rPr>
  </w:style>
  <w:style w:type="character" w:styleId="HTMLCite">
    <w:name w:val="HTML Cite"/>
    <w:rsid w:val="00B54124"/>
    <w:rPr>
      <w:i w:val="0"/>
      <w:iCs w:val="0"/>
      <w:color w:val="008000"/>
    </w:rPr>
  </w:style>
  <w:style w:type="paragraph" w:styleId="Subtitle">
    <w:name w:val="Subtitle"/>
    <w:basedOn w:val="Normal"/>
    <w:next w:val="Normal"/>
    <w:link w:val="SubtitleChar"/>
    <w:qFormat/>
    <w:rsid w:val="00B54124"/>
    <w:pPr>
      <w:spacing w:before="20" w:line="288" w:lineRule="auto"/>
      <w:ind w:firstLine="284"/>
      <w:jc w:val="both"/>
      <w:outlineLvl w:val="1"/>
    </w:pPr>
    <w:rPr>
      <w:rFonts w:eastAsia="Times New Roman"/>
      <w:szCs w:val="24"/>
      <w:lang w:val="en-US" w:eastAsia="en-US"/>
    </w:rPr>
  </w:style>
  <w:style w:type="character" w:customStyle="1" w:styleId="SubtitleChar">
    <w:name w:val="Subtitle Char"/>
    <w:basedOn w:val="DefaultParagraphFont"/>
    <w:link w:val="Subtitle"/>
    <w:rsid w:val="00B54124"/>
    <w:rPr>
      <w:rFonts w:ascii="Times New Roman" w:eastAsia="Times New Roman" w:hAnsi="Times New Roman" w:cs="Times New Roman"/>
      <w:sz w:val="20"/>
      <w:szCs w:val="24"/>
      <w:lang w:val="en-US"/>
    </w:rPr>
  </w:style>
  <w:style w:type="character" w:customStyle="1" w:styleId="st">
    <w:name w:val="st"/>
    <w:basedOn w:val="DefaultParagraphFont"/>
    <w:rsid w:val="00E93BAD"/>
  </w:style>
  <w:style w:type="paragraph" w:styleId="HTMLPreformatted">
    <w:name w:val="HTML Preformatted"/>
    <w:basedOn w:val="Normal"/>
    <w:link w:val="HTMLPreformattedChar"/>
    <w:uiPriority w:val="99"/>
    <w:unhideWhenUsed/>
    <w:rsid w:val="00E9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E93BAD"/>
    <w:rPr>
      <w:rFonts w:ascii="Courier New" w:eastAsia="Calibri" w:hAnsi="Courier New" w:cs="Times New Roman"/>
      <w:sz w:val="20"/>
      <w:szCs w:val="20"/>
      <w:lang w:val="hr-HR" w:eastAsia="hr-HR"/>
    </w:rPr>
  </w:style>
  <w:style w:type="paragraph" w:styleId="BalloonText">
    <w:name w:val="Balloon Text"/>
    <w:basedOn w:val="Normal"/>
    <w:link w:val="BalloonTextChar"/>
    <w:semiHidden/>
    <w:unhideWhenUsed/>
    <w:rsid w:val="007C1C9F"/>
    <w:rPr>
      <w:rFonts w:ascii="Tahoma" w:hAnsi="Tahoma" w:cs="Tahoma"/>
      <w:sz w:val="16"/>
      <w:szCs w:val="16"/>
    </w:rPr>
  </w:style>
  <w:style w:type="character" w:customStyle="1" w:styleId="BalloonTextChar">
    <w:name w:val="Balloon Text Char"/>
    <w:basedOn w:val="DefaultParagraphFont"/>
    <w:link w:val="BalloonText"/>
    <w:uiPriority w:val="99"/>
    <w:semiHidden/>
    <w:rsid w:val="007C1C9F"/>
    <w:rPr>
      <w:rFonts w:ascii="Tahoma" w:eastAsia="Calibri" w:hAnsi="Tahoma" w:cs="Tahoma"/>
      <w:sz w:val="16"/>
      <w:szCs w:val="16"/>
      <w:lang w:val="hr-HR" w:eastAsia="hr-HR"/>
    </w:rPr>
  </w:style>
  <w:style w:type="paragraph" w:customStyle="1" w:styleId="Application3">
    <w:name w:val="Application3"/>
    <w:basedOn w:val="Normal"/>
    <w:autoRedefine/>
    <w:rsid w:val="0046614E"/>
    <w:pPr>
      <w:widowControl w:val="0"/>
      <w:tabs>
        <w:tab w:val="left" w:pos="567"/>
        <w:tab w:val="left" w:pos="851"/>
        <w:tab w:val="right" w:pos="8789"/>
      </w:tabs>
      <w:suppressAutoHyphens/>
      <w:snapToGrid w:val="0"/>
      <w:spacing w:line="360" w:lineRule="auto"/>
      <w:jc w:val="both"/>
    </w:pPr>
    <w:rPr>
      <w:rFonts w:eastAsia="Times New Roman" w:cs="Gothic720 L2"/>
      <w:color w:val="000000"/>
      <w:spacing w:val="-2"/>
      <w:sz w:val="24"/>
      <w:szCs w:val="24"/>
      <w:lang w:val="en-GB" w:eastAsia="en-US" w:bidi="en-US"/>
    </w:rPr>
  </w:style>
  <w:style w:type="character" w:customStyle="1" w:styleId="apple-style-span">
    <w:name w:val="apple-style-span"/>
    <w:basedOn w:val="DefaultParagraphFont"/>
    <w:rsid w:val="0046614E"/>
  </w:style>
  <w:style w:type="paragraph" w:styleId="EndnoteText">
    <w:name w:val="endnote text"/>
    <w:basedOn w:val="Normal"/>
    <w:link w:val="EndnoteTextChar"/>
    <w:uiPriority w:val="99"/>
    <w:semiHidden/>
    <w:unhideWhenUsed/>
    <w:rsid w:val="0046614E"/>
    <w:rPr>
      <w:rFonts w:ascii="Calibri" w:hAnsi="Calibri"/>
      <w:lang w:val="x-none" w:eastAsia="x-none"/>
    </w:rPr>
  </w:style>
  <w:style w:type="character" w:customStyle="1" w:styleId="EndnoteTextChar">
    <w:name w:val="Endnote Text Char"/>
    <w:basedOn w:val="DefaultParagraphFont"/>
    <w:link w:val="EndnoteText"/>
    <w:uiPriority w:val="99"/>
    <w:semiHidden/>
    <w:rsid w:val="0046614E"/>
    <w:rPr>
      <w:rFonts w:ascii="Calibri" w:eastAsia="Calibri" w:hAnsi="Calibri" w:cs="Times New Roman"/>
      <w:sz w:val="20"/>
      <w:szCs w:val="20"/>
      <w:lang w:val="x-none" w:eastAsia="x-none"/>
    </w:rPr>
  </w:style>
  <w:style w:type="character" w:styleId="EndnoteReference">
    <w:name w:val="endnote reference"/>
    <w:uiPriority w:val="99"/>
    <w:semiHidden/>
    <w:unhideWhenUsed/>
    <w:rsid w:val="0046614E"/>
    <w:rPr>
      <w:vertAlign w:val="superscript"/>
    </w:rPr>
  </w:style>
  <w:style w:type="character" w:customStyle="1" w:styleId="NormalWebChar">
    <w:name w:val="Normal (Web) Char"/>
    <w:link w:val="NormalWeb"/>
    <w:uiPriority w:val="99"/>
    <w:rsid w:val="0046614E"/>
    <w:rPr>
      <w:rFonts w:ascii="Times New Roman" w:eastAsia="Calibri" w:hAnsi="Times New Roman" w:cs="Times New Roman"/>
      <w:sz w:val="24"/>
      <w:szCs w:val="24"/>
      <w:lang w:val="hr-HR" w:eastAsia="hr-HR"/>
    </w:rPr>
  </w:style>
  <w:style w:type="paragraph" w:customStyle="1" w:styleId="Style10">
    <w:name w:val="Style10"/>
    <w:basedOn w:val="Normal"/>
    <w:uiPriority w:val="99"/>
    <w:rsid w:val="0046614E"/>
    <w:pPr>
      <w:widowControl w:val="0"/>
      <w:autoSpaceDE w:val="0"/>
      <w:autoSpaceDN w:val="0"/>
      <w:adjustRightInd w:val="0"/>
      <w:spacing w:line="171" w:lineRule="exact"/>
      <w:ind w:firstLine="350"/>
      <w:jc w:val="both"/>
    </w:pPr>
    <w:rPr>
      <w:rFonts w:ascii="Calibri" w:eastAsia="Times New Roman" w:hAnsi="Calibri"/>
      <w:sz w:val="24"/>
      <w:szCs w:val="24"/>
      <w:lang w:val="en-US" w:eastAsia="en-US" w:bidi="en-US"/>
    </w:rPr>
  </w:style>
  <w:style w:type="character" w:customStyle="1" w:styleId="FontStyle27">
    <w:name w:val="Font Style27"/>
    <w:uiPriority w:val="99"/>
    <w:rsid w:val="0046614E"/>
    <w:rPr>
      <w:rFonts w:ascii="Times New Roman" w:hAnsi="Times New Roman" w:cs="Times New Roman"/>
      <w:sz w:val="16"/>
      <w:szCs w:val="16"/>
    </w:rPr>
  </w:style>
  <w:style w:type="paragraph" w:customStyle="1" w:styleId="Style18">
    <w:name w:val="Style18"/>
    <w:basedOn w:val="Normal"/>
    <w:uiPriority w:val="99"/>
    <w:rsid w:val="0046614E"/>
    <w:pPr>
      <w:widowControl w:val="0"/>
      <w:autoSpaceDE w:val="0"/>
      <w:autoSpaceDN w:val="0"/>
      <w:adjustRightInd w:val="0"/>
      <w:spacing w:line="173" w:lineRule="exact"/>
      <w:ind w:hanging="202"/>
      <w:jc w:val="both"/>
    </w:pPr>
    <w:rPr>
      <w:rFonts w:ascii="Calibri" w:eastAsia="Times New Roman" w:hAnsi="Calibri"/>
      <w:sz w:val="24"/>
      <w:szCs w:val="24"/>
      <w:lang w:val="en-US" w:eastAsia="en-US" w:bidi="en-US"/>
    </w:rPr>
  </w:style>
  <w:style w:type="paragraph" w:customStyle="1" w:styleId="Normal1">
    <w:name w:val="Normal+1"/>
    <w:basedOn w:val="Default"/>
    <w:next w:val="Default"/>
    <w:rsid w:val="0046614E"/>
    <w:rPr>
      <w:rFonts w:eastAsia="Times New Roman"/>
      <w:color w:val="auto"/>
      <w:lang w:eastAsia="bs-Latn-BA"/>
    </w:rPr>
  </w:style>
  <w:style w:type="paragraph" w:customStyle="1" w:styleId="Standard">
    <w:name w:val="Standard"/>
    <w:rsid w:val="0046614E"/>
    <w:pPr>
      <w:autoSpaceDE w:val="0"/>
      <w:autoSpaceDN w:val="0"/>
      <w:spacing w:after="0" w:line="240" w:lineRule="auto"/>
    </w:pPr>
    <w:rPr>
      <w:rFonts w:ascii="Times New Roman" w:eastAsia="Calibri" w:hAnsi="Times New Roman" w:cs="Times New Roman"/>
      <w:color w:val="000000"/>
      <w:sz w:val="24"/>
      <w:szCs w:val="24"/>
      <w:lang w:val="hr-HR"/>
    </w:rPr>
  </w:style>
  <w:style w:type="table" w:styleId="TableGrid">
    <w:name w:val="Table Grid"/>
    <w:basedOn w:val="TableNormal"/>
    <w:uiPriority w:val="59"/>
    <w:rsid w:val="0046614E"/>
    <w:pPr>
      <w:spacing w:after="0" w:line="240" w:lineRule="auto"/>
    </w:pPr>
    <w:rPr>
      <w:rFonts w:ascii="Calibri" w:eastAsia="Calibri" w:hAnsi="Calibri" w:cs="Times New Roman"/>
      <w:sz w:val="20"/>
      <w:szCs w:val="20"/>
      <w:lang w:eastAsia="bs-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3A7B29"/>
  </w:style>
  <w:style w:type="paragraph" w:customStyle="1" w:styleId="clanak">
    <w:name w:val="clanak"/>
    <w:basedOn w:val="Normal"/>
    <w:rsid w:val="00E1751D"/>
    <w:pPr>
      <w:spacing w:before="100" w:beforeAutospacing="1" w:after="100" w:afterAutospacing="1"/>
    </w:pPr>
    <w:rPr>
      <w:rFonts w:eastAsia="Times New Roman"/>
      <w:sz w:val="24"/>
      <w:szCs w:val="24"/>
    </w:rPr>
  </w:style>
  <w:style w:type="paragraph" w:customStyle="1" w:styleId="t-9-8">
    <w:name w:val="t-9-8"/>
    <w:basedOn w:val="Normal"/>
    <w:rsid w:val="00E1751D"/>
    <w:pPr>
      <w:spacing w:before="100" w:beforeAutospacing="1" w:after="100" w:afterAutospacing="1"/>
    </w:pPr>
    <w:rPr>
      <w:rFonts w:eastAsia="Times New Roman"/>
      <w:sz w:val="24"/>
      <w:szCs w:val="24"/>
    </w:rPr>
  </w:style>
  <w:style w:type="paragraph" w:styleId="NoSpacing">
    <w:name w:val="No Spacing"/>
    <w:uiPriority w:val="1"/>
    <w:qFormat/>
    <w:rsid w:val="0027059D"/>
    <w:pPr>
      <w:spacing w:after="0" w:line="240" w:lineRule="auto"/>
    </w:pPr>
    <w:rPr>
      <w:lang w:val="en-US"/>
    </w:rPr>
  </w:style>
  <w:style w:type="character" w:customStyle="1" w:styleId="shorttext">
    <w:name w:val="short_text"/>
    <w:basedOn w:val="DefaultParagraphFont"/>
    <w:rsid w:val="0027059D"/>
  </w:style>
  <w:style w:type="character" w:styleId="PageNumber">
    <w:name w:val="page number"/>
    <w:basedOn w:val="DefaultParagraphFont"/>
    <w:rsid w:val="003E0CA2"/>
  </w:style>
  <w:style w:type="paragraph" w:customStyle="1" w:styleId="clan">
    <w:name w:val="clan"/>
    <w:basedOn w:val="Normal"/>
    <w:rsid w:val="00D56327"/>
    <w:pPr>
      <w:spacing w:before="100" w:beforeAutospacing="1" w:after="100" w:afterAutospacing="1"/>
    </w:pPr>
    <w:rPr>
      <w:rFonts w:eastAsia="Times New Roman"/>
      <w:sz w:val="24"/>
      <w:szCs w:val="24"/>
      <w:lang w:val="sr-Latn-CS" w:eastAsia="sr-Latn-CS"/>
    </w:rPr>
  </w:style>
  <w:style w:type="paragraph" w:customStyle="1" w:styleId="Normal10">
    <w:name w:val="Normal1"/>
    <w:basedOn w:val="Normal"/>
    <w:rsid w:val="00D56327"/>
    <w:pPr>
      <w:spacing w:before="100" w:beforeAutospacing="1" w:after="100" w:afterAutospacing="1"/>
    </w:pPr>
    <w:rPr>
      <w:rFonts w:eastAsia="Times New Roman"/>
      <w:sz w:val="24"/>
      <w:szCs w:val="24"/>
      <w:lang w:val="sr-Latn-CS" w:eastAsia="sr-Latn-CS"/>
    </w:rPr>
  </w:style>
  <w:style w:type="character" w:styleId="Strong">
    <w:name w:val="Strong"/>
    <w:basedOn w:val="DefaultParagraphFont"/>
    <w:uiPriority w:val="22"/>
    <w:qFormat/>
    <w:rsid w:val="00066874"/>
    <w:rPr>
      <w:b/>
      <w:bCs/>
    </w:rPr>
  </w:style>
  <w:style w:type="paragraph" w:customStyle="1" w:styleId="CM1">
    <w:name w:val="CM1"/>
    <w:basedOn w:val="Normal"/>
    <w:next w:val="Normal"/>
    <w:uiPriority w:val="99"/>
    <w:rsid w:val="003A1838"/>
    <w:pPr>
      <w:autoSpaceDE w:val="0"/>
      <w:autoSpaceDN w:val="0"/>
      <w:adjustRightInd w:val="0"/>
    </w:pPr>
    <w:rPr>
      <w:rFonts w:ascii="EUAlbertina" w:eastAsiaTheme="minorEastAsia" w:hAnsi="EUAlbertina"/>
      <w:sz w:val="24"/>
      <w:szCs w:val="24"/>
      <w:lang w:eastAsia="zh-CN"/>
    </w:rPr>
  </w:style>
  <w:style w:type="paragraph" w:customStyle="1" w:styleId="CM3">
    <w:name w:val="CM3"/>
    <w:basedOn w:val="Normal"/>
    <w:next w:val="Normal"/>
    <w:uiPriority w:val="99"/>
    <w:rsid w:val="003A1838"/>
    <w:pPr>
      <w:autoSpaceDE w:val="0"/>
      <w:autoSpaceDN w:val="0"/>
      <w:adjustRightInd w:val="0"/>
    </w:pPr>
    <w:rPr>
      <w:rFonts w:ascii="EUAlbertina" w:eastAsiaTheme="minorEastAsia" w:hAnsi="EUAlbertina"/>
      <w:sz w:val="24"/>
      <w:szCs w:val="24"/>
      <w:lang w:eastAsia="zh-CN"/>
    </w:rPr>
  </w:style>
  <w:style w:type="paragraph" w:customStyle="1" w:styleId="Odlomakpopisa">
    <w:name w:val="Odlomak popisa"/>
    <w:basedOn w:val="Normal"/>
    <w:qFormat/>
    <w:rsid w:val="003A1838"/>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11</Pages>
  <Words>3779</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irfan.hasic</cp:lastModifiedBy>
  <cp:revision>32</cp:revision>
  <dcterms:created xsi:type="dcterms:W3CDTF">2014-07-08T07:19:00Z</dcterms:created>
  <dcterms:modified xsi:type="dcterms:W3CDTF">2015-09-16T13:02:00Z</dcterms:modified>
</cp:coreProperties>
</file>